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ind w:left="1080" w:leftChars="257" w:hanging="540"/>
        <w:jc w:val="center"/>
        <w:rPr>
          <w:rFonts w:ascii="宋体" w:hAnsi="宋体" w:cs="宋体"/>
          <w:b/>
          <w:sz w:val="52"/>
          <w:szCs w:val="52"/>
          <w:highlight w:val="none"/>
        </w:rPr>
      </w:pPr>
    </w:p>
    <w:p>
      <w:pPr>
        <w:spacing w:line="560" w:lineRule="exact"/>
        <w:ind w:left="1080" w:leftChars="257" w:hanging="540"/>
        <w:jc w:val="center"/>
        <w:rPr>
          <w:rFonts w:ascii="宋体" w:hAnsi="宋体" w:cs="宋体"/>
          <w:b/>
          <w:sz w:val="52"/>
          <w:szCs w:val="52"/>
          <w:highlight w:val="none"/>
        </w:rPr>
      </w:pPr>
    </w:p>
    <w:p>
      <w:pPr>
        <w:spacing w:line="560" w:lineRule="exact"/>
        <w:ind w:left="1080" w:leftChars="257" w:hanging="540"/>
        <w:jc w:val="center"/>
        <w:rPr>
          <w:rFonts w:ascii="宋体" w:hAnsi="宋体" w:cs="宋体"/>
          <w:b/>
          <w:sz w:val="52"/>
          <w:szCs w:val="52"/>
          <w:highlight w:val="none"/>
        </w:rPr>
      </w:pPr>
    </w:p>
    <w:p>
      <w:pPr>
        <w:ind w:left="1080" w:hanging="540"/>
        <w:jc w:val="center"/>
        <w:outlineLvl w:val="0"/>
        <w:rPr>
          <w:rFonts w:ascii="宋体" w:hAnsi="宋体" w:cs="宋体"/>
          <w:sz w:val="52"/>
          <w:highlight w:val="none"/>
        </w:rPr>
      </w:pPr>
      <w:bookmarkStart w:id="0" w:name="_Toc12780"/>
      <w:bookmarkStart w:id="1" w:name="_Toc32128"/>
      <w:bookmarkStart w:id="2" w:name="_Toc32443"/>
      <w:bookmarkStart w:id="3" w:name="_Toc9356"/>
      <w:r>
        <w:rPr>
          <w:rFonts w:hint="eastAsia" w:ascii="宋体" w:hAnsi="宋体" w:cs="宋体"/>
          <w:sz w:val="52"/>
          <w:highlight w:val="none"/>
        </w:rPr>
        <w:t>竞争性谈判文件</w:t>
      </w:r>
      <w:bookmarkEnd w:id="0"/>
      <w:bookmarkEnd w:id="1"/>
      <w:bookmarkEnd w:id="2"/>
      <w:bookmarkEnd w:id="3"/>
    </w:p>
    <w:p>
      <w:pPr>
        <w:ind w:left="1080" w:hanging="540"/>
        <w:jc w:val="center"/>
        <w:outlineLvl w:val="0"/>
        <w:rPr>
          <w:rFonts w:ascii="宋体" w:hAnsi="宋体" w:cs="宋体"/>
          <w:b/>
          <w:sz w:val="36"/>
          <w:highlight w:val="none"/>
        </w:rPr>
      </w:pPr>
    </w:p>
    <w:p>
      <w:pPr>
        <w:ind w:left="1080" w:hanging="540"/>
        <w:jc w:val="center"/>
        <w:outlineLvl w:val="0"/>
        <w:rPr>
          <w:rFonts w:ascii="宋体" w:hAnsi="宋体" w:cs="宋体"/>
          <w:sz w:val="36"/>
          <w:highlight w:val="none"/>
        </w:rPr>
      </w:pPr>
      <w:bookmarkStart w:id="4" w:name="_Toc25268"/>
      <w:bookmarkStart w:id="5" w:name="_Toc31366"/>
      <w:bookmarkStart w:id="6" w:name="_Toc7093"/>
      <w:bookmarkStart w:id="7" w:name="_Toc20325"/>
      <w:r>
        <w:rPr>
          <w:rFonts w:hint="eastAsia" w:ascii="宋体" w:hAnsi="宋体" w:cs="宋体"/>
          <w:b/>
          <w:sz w:val="36"/>
          <w:highlight w:val="none"/>
        </w:rPr>
        <w:t>（货物</w:t>
      </w:r>
      <w:r>
        <w:rPr>
          <w:rFonts w:ascii="宋体" w:hAnsi="宋体" w:cs="宋体"/>
          <w:b/>
          <w:sz w:val="36"/>
          <w:highlight w:val="none"/>
        </w:rPr>
        <w:t>类</w:t>
      </w:r>
      <w:r>
        <w:rPr>
          <w:rFonts w:hint="eastAsia" w:ascii="宋体" w:hAnsi="宋体" w:cs="宋体"/>
          <w:b/>
          <w:sz w:val="36"/>
          <w:highlight w:val="none"/>
        </w:rPr>
        <w:t>）</w:t>
      </w:r>
      <w:bookmarkEnd w:id="4"/>
      <w:bookmarkEnd w:id="5"/>
      <w:bookmarkEnd w:id="6"/>
      <w:bookmarkEnd w:id="7"/>
    </w:p>
    <w:p>
      <w:pPr>
        <w:ind w:left="1080" w:hanging="540"/>
        <w:jc w:val="center"/>
        <w:rPr>
          <w:rFonts w:ascii="宋体" w:hAnsi="宋体" w:cs="宋体"/>
          <w:sz w:val="32"/>
          <w:highlight w:val="none"/>
        </w:rPr>
      </w:pPr>
    </w:p>
    <w:p>
      <w:pPr>
        <w:ind w:left="1080" w:hanging="540"/>
        <w:jc w:val="center"/>
        <w:rPr>
          <w:rFonts w:ascii="宋体" w:hAnsi="宋体" w:cs="宋体"/>
          <w:b/>
          <w:sz w:val="32"/>
          <w:highlight w:val="none"/>
        </w:rPr>
      </w:pPr>
    </w:p>
    <w:p>
      <w:pPr>
        <w:ind w:left="1080" w:hanging="540"/>
        <w:jc w:val="center"/>
        <w:rPr>
          <w:rFonts w:ascii="宋体" w:hAnsi="宋体" w:cs="宋体"/>
          <w:b/>
          <w:sz w:val="32"/>
          <w:highlight w:val="none"/>
        </w:rPr>
      </w:pPr>
    </w:p>
    <w:p>
      <w:pPr>
        <w:pStyle w:val="5"/>
        <w:rPr>
          <w:highlight w:val="none"/>
        </w:rPr>
      </w:pPr>
    </w:p>
    <w:p>
      <w:pPr>
        <w:ind w:left="1080" w:hanging="540"/>
        <w:jc w:val="center"/>
        <w:rPr>
          <w:rFonts w:ascii="宋体" w:hAnsi="宋体" w:cs="宋体"/>
          <w:b/>
          <w:sz w:val="32"/>
          <w:highlight w:val="none"/>
        </w:rPr>
      </w:pPr>
    </w:p>
    <w:p>
      <w:pPr>
        <w:ind w:left="1080" w:hanging="540"/>
        <w:rPr>
          <w:rFonts w:ascii="宋体" w:hAnsi="宋体" w:cs="宋体"/>
          <w:b/>
          <w:sz w:val="28"/>
          <w:highlight w:val="none"/>
        </w:rPr>
      </w:pPr>
    </w:p>
    <w:p>
      <w:pPr>
        <w:ind w:left="1080" w:hanging="540"/>
        <w:jc w:val="center"/>
        <w:rPr>
          <w:rFonts w:ascii="宋体" w:hAnsi="宋体" w:cs="宋体"/>
          <w:b/>
          <w:sz w:val="52"/>
          <w:highlight w:val="none"/>
        </w:rPr>
      </w:pPr>
    </w:p>
    <w:p>
      <w:pPr>
        <w:spacing w:line="360" w:lineRule="auto"/>
        <w:ind w:left="645" w:firstLine="904"/>
        <w:jc w:val="left"/>
        <w:outlineLvl w:val="0"/>
        <w:rPr>
          <w:rFonts w:ascii="宋体" w:hAnsi="宋体" w:cs="宋体"/>
          <w:b/>
          <w:sz w:val="30"/>
          <w:highlight w:val="none"/>
        </w:rPr>
      </w:pPr>
      <w:bookmarkStart w:id="8" w:name="_Toc6973"/>
      <w:bookmarkStart w:id="9" w:name="_Toc7159"/>
      <w:bookmarkStart w:id="10" w:name="_Toc22031"/>
      <w:bookmarkStart w:id="11" w:name="_Toc20265"/>
      <w:r>
        <w:rPr>
          <w:rFonts w:ascii="宋体" w:hAnsi="宋体" w:cs="宋体"/>
          <w:b/>
          <w:sz w:val="30"/>
          <w:highlight w:val="none"/>
        </w:rPr>
        <w:t>项目编号：</w:t>
      </w:r>
      <w:bookmarkEnd w:id="8"/>
      <w:bookmarkEnd w:id="9"/>
      <w:bookmarkEnd w:id="10"/>
      <w:bookmarkEnd w:id="11"/>
      <w:r>
        <w:rPr>
          <w:rFonts w:hint="eastAsia" w:ascii="宋体" w:hAnsi="宋体" w:cs="宋体"/>
          <w:b/>
          <w:sz w:val="30"/>
          <w:highlight w:val="none"/>
        </w:rPr>
        <w:t>SDGP370300000202202000553</w:t>
      </w:r>
    </w:p>
    <w:p>
      <w:pPr>
        <w:spacing w:line="360" w:lineRule="auto"/>
        <w:ind w:left="645" w:firstLine="904"/>
        <w:jc w:val="left"/>
        <w:outlineLvl w:val="0"/>
        <w:rPr>
          <w:rFonts w:ascii="宋体" w:hAnsi="宋体" w:cs="宋体"/>
          <w:b/>
          <w:sz w:val="30"/>
          <w:highlight w:val="none"/>
          <w:u w:val="single"/>
        </w:rPr>
      </w:pPr>
      <w:bookmarkStart w:id="12" w:name="_Toc30792"/>
      <w:bookmarkStart w:id="13" w:name="_Toc18174"/>
      <w:bookmarkStart w:id="14" w:name="_Toc22769"/>
      <w:bookmarkStart w:id="15" w:name="_Toc26433"/>
      <w:r>
        <w:rPr>
          <w:rFonts w:ascii="宋体" w:hAnsi="宋体" w:cs="宋体"/>
          <w:b/>
          <w:sz w:val="30"/>
          <w:highlight w:val="none"/>
        </w:rPr>
        <w:t>项目名称:</w:t>
      </w:r>
      <w:bookmarkEnd w:id="12"/>
      <w:bookmarkEnd w:id="13"/>
      <w:bookmarkEnd w:id="14"/>
      <w:bookmarkEnd w:id="15"/>
      <w:r>
        <w:rPr>
          <w:rFonts w:hint="eastAsia" w:ascii="宋体" w:hAnsi="宋体" w:cs="宋体"/>
          <w:b/>
          <w:sz w:val="30"/>
          <w:highlight w:val="none"/>
        </w:rPr>
        <w:t>淄博稷下实验学校校园文化景观建设项目</w:t>
      </w:r>
    </w:p>
    <w:p>
      <w:pPr>
        <w:spacing w:line="360" w:lineRule="auto"/>
        <w:ind w:left="645" w:firstLine="904"/>
        <w:jc w:val="left"/>
        <w:outlineLvl w:val="0"/>
        <w:rPr>
          <w:rFonts w:ascii="宋体" w:hAnsi="宋体" w:cs="宋体"/>
          <w:b/>
          <w:sz w:val="30"/>
          <w:highlight w:val="none"/>
        </w:rPr>
      </w:pPr>
      <w:bookmarkStart w:id="16" w:name="_Toc10595"/>
      <w:bookmarkStart w:id="17" w:name="_Toc17964"/>
      <w:bookmarkStart w:id="18" w:name="_Toc21671"/>
      <w:bookmarkStart w:id="19" w:name="_Toc31083"/>
      <w:r>
        <w:rPr>
          <w:rFonts w:ascii="宋体" w:hAnsi="宋体" w:cs="宋体"/>
          <w:b/>
          <w:sz w:val="30"/>
          <w:highlight w:val="none"/>
        </w:rPr>
        <w:t>项目包号：</w:t>
      </w:r>
      <w:bookmarkEnd w:id="16"/>
      <w:bookmarkEnd w:id="17"/>
      <w:bookmarkEnd w:id="18"/>
      <w:bookmarkEnd w:id="19"/>
      <w:r>
        <w:rPr>
          <w:rFonts w:hint="eastAsia" w:ascii="宋体" w:hAnsi="宋体" w:cs="宋体"/>
          <w:b/>
          <w:sz w:val="30"/>
          <w:highlight w:val="none"/>
        </w:rPr>
        <w:t>A</w:t>
      </w:r>
    </w:p>
    <w:p>
      <w:pPr>
        <w:ind w:left="1080" w:hanging="540"/>
        <w:jc w:val="center"/>
        <w:rPr>
          <w:rFonts w:ascii="宋体" w:hAnsi="宋体" w:cs="宋体"/>
          <w:b/>
          <w:sz w:val="52"/>
          <w:highlight w:val="none"/>
        </w:rPr>
      </w:pPr>
    </w:p>
    <w:p>
      <w:pPr>
        <w:ind w:left="1080" w:hanging="540"/>
        <w:jc w:val="center"/>
        <w:rPr>
          <w:rFonts w:ascii="宋体" w:hAnsi="宋体" w:cs="宋体"/>
          <w:b/>
          <w:sz w:val="52"/>
          <w:highlight w:val="none"/>
        </w:rPr>
      </w:pPr>
    </w:p>
    <w:p>
      <w:pPr>
        <w:ind w:left="1080" w:hanging="540"/>
        <w:jc w:val="center"/>
        <w:rPr>
          <w:rFonts w:ascii="宋体" w:hAnsi="宋体" w:cs="宋体"/>
          <w:b/>
          <w:sz w:val="52"/>
          <w:highlight w:val="none"/>
        </w:rPr>
      </w:pPr>
    </w:p>
    <w:p>
      <w:pPr>
        <w:ind w:left="1080" w:hanging="540"/>
        <w:jc w:val="center"/>
        <w:rPr>
          <w:rFonts w:ascii="宋体" w:hAnsi="宋体" w:cs="宋体"/>
          <w:b/>
          <w:sz w:val="52"/>
          <w:highlight w:val="none"/>
        </w:rPr>
      </w:pPr>
    </w:p>
    <w:p>
      <w:pPr>
        <w:spacing w:line="360" w:lineRule="auto"/>
        <w:ind w:firstLine="1285" w:firstLineChars="400"/>
        <w:outlineLvl w:val="0"/>
        <w:rPr>
          <w:rFonts w:ascii="宋体" w:hAnsi="宋体" w:cs="宋体"/>
          <w:b/>
          <w:sz w:val="32"/>
          <w:highlight w:val="none"/>
        </w:rPr>
      </w:pPr>
      <w:bookmarkStart w:id="20" w:name="_Toc31905"/>
      <w:bookmarkStart w:id="21" w:name="_Toc7737"/>
      <w:bookmarkStart w:id="22" w:name="_Toc14789"/>
      <w:bookmarkStart w:id="23" w:name="_Toc26843"/>
      <w:r>
        <w:rPr>
          <w:rFonts w:ascii="宋体" w:hAnsi="宋体" w:cs="宋体"/>
          <w:b/>
          <w:sz w:val="32"/>
          <w:highlight w:val="none"/>
        </w:rPr>
        <w:t>采 购 人:</w:t>
      </w:r>
      <w:bookmarkEnd w:id="20"/>
      <w:bookmarkEnd w:id="21"/>
      <w:bookmarkEnd w:id="22"/>
      <w:bookmarkEnd w:id="23"/>
      <w:r>
        <w:rPr>
          <w:rFonts w:hint="eastAsia" w:ascii="宋体" w:hAnsi="宋体" w:cs="宋体"/>
          <w:b/>
          <w:sz w:val="32"/>
          <w:highlight w:val="none"/>
        </w:rPr>
        <w:t>淄博稷下实验学校</w:t>
      </w:r>
    </w:p>
    <w:p>
      <w:pPr>
        <w:spacing w:line="360" w:lineRule="auto"/>
        <w:ind w:firstLine="1285" w:firstLineChars="400"/>
        <w:outlineLvl w:val="0"/>
        <w:rPr>
          <w:rFonts w:ascii="宋体" w:hAnsi="宋体" w:cs="宋体"/>
          <w:b/>
          <w:highlight w:val="none"/>
        </w:rPr>
      </w:pPr>
      <w:bookmarkStart w:id="24" w:name="_Toc27022"/>
      <w:bookmarkStart w:id="25" w:name="_Toc9244"/>
      <w:bookmarkStart w:id="26" w:name="_Toc23101"/>
      <w:bookmarkStart w:id="27" w:name="_Toc5710"/>
      <w:r>
        <w:rPr>
          <w:rFonts w:ascii="宋体" w:hAnsi="宋体" w:cs="宋体"/>
          <w:b/>
          <w:sz w:val="32"/>
          <w:highlight w:val="none"/>
        </w:rPr>
        <w:t>采购代理机构：</w:t>
      </w:r>
      <w:bookmarkEnd w:id="24"/>
      <w:bookmarkEnd w:id="25"/>
      <w:bookmarkEnd w:id="26"/>
      <w:bookmarkEnd w:id="27"/>
      <w:r>
        <w:rPr>
          <w:rFonts w:hint="eastAsia" w:ascii="宋体" w:hAnsi="宋体" w:cs="宋体"/>
          <w:b/>
          <w:sz w:val="32"/>
          <w:highlight w:val="none"/>
        </w:rPr>
        <w:t>山东瀚广建设项目管理有限公司</w:t>
      </w:r>
    </w:p>
    <w:p>
      <w:pPr>
        <w:spacing w:line="360" w:lineRule="auto"/>
        <w:ind w:firstLine="1285" w:firstLineChars="400"/>
        <w:outlineLvl w:val="0"/>
        <w:rPr>
          <w:rFonts w:ascii="宋体" w:hAnsi="宋体" w:cs="宋体"/>
          <w:b/>
          <w:highlight w:val="none"/>
        </w:rPr>
      </w:pPr>
      <w:bookmarkStart w:id="28" w:name="_Toc17364"/>
      <w:bookmarkStart w:id="29" w:name="_Toc24352"/>
      <w:bookmarkStart w:id="30" w:name="_Toc10109"/>
      <w:bookmarkStart w:id="31" w:name="_Toc25343"/>
      <w:r>
        <w:rPr>
          <w:rFonts w:ascii="宋体" w:hAnsi="宋体" w:cs="宋体"/>
          <w:b/>
          <w:sz w:val="32"/>
          <w:highlight w:val="none"/>
        </w:rPr>
        <w:t>发 出 日 期</w:t>
      </w:r>
      <w:r>
        <w:rPr>
          <w:rFonts w:ascii="宋体" w:hAnsi="宋体" w:cs="宋体"/>
          <w:b/>
          <w:sz w:val="30"/>
          <w:highlight w:val="none"/>
        </w:rPr>
        <w:t>：</w:t>
      </w:r>
      <w:r>
        <w:rPr>
          <w:rFonts w:hint="eastAsia" w:ascii="宋体" w:hAnsi="宋体" w:cs="宋体"/>
          <w:b/>
          <w:sz w:val="30"/>
          <w:highlight w:val="none"/>
        </w:rPr>
        <w:t>2022</w:t>
      </w:r>
      <w:r>
        <w:rPr>
          <w:rFonts w:ascii="宋体" w:hAnsi="宋体" w:cs="宋体"/>
          <w:b/>
          <w:sz w:val="30"/>
          <w:highlight w:val="none"/>
        </w:rPr>
        <w:t>年</w:t>
      </w:r>
      <w:r>
        <w:rPr>
          <w:rFonts w:hint="eastAsia" w:ascii="宋体" w:hAnsi="宋体" w:cs="宋体"/>
          <w:b/>
          <w:sz w:val="30"/>
          <w:highlight w:val="none"/>
        </w:rPr>
        <w:t>8</w:t>
      </w:r>
      <w:r>
        <w:rPr>
          <w:rFonts w:ascii="宋体" w:hAnsi="宋体" w:cs="宋体"/>
          <w:b/>
          <w:sz w:val="30"/>
          <w:highlight w:val="none"/>
        </w:rPr>
        <w:t>月</w:t>
      </w:r>
      <w:bookmarkEnd w:id="28"/>
      <w:bookmarkEnd w:id="29"/>
      <w:bookmarkEnd w:id="30"/>
      <w:bookmarkEnd w:id="31"/>
    </w:p>
    <w:p>
      <w:pPr>
        <w:jc w:val="center"/>
        <w:rPr>
          <w:rFonts w:ascii="宋体" w:hAnsi="宋体" w:cstheme="minorBidi"/>
          <w:szCs w:val="22"/>
          <w:highlight w:val="none"/>
        </w:rPr>
        <w:sectPr>
          <w:footerReference r:id="rId3" w:type="default"/>
          <w:pgSz w:w="11920" w:h="16840"/>
          <w:pgMar w:top="1560" w:right="1580" w:bottom="280" w:left="1580" w:header="720" w:footer="720" w:gutter="0"/>
          <w:pgNumType w:start="1"/>
          <w:cols w:space="720" w:num="1"/>
        </w:sectPr>
      </w:pPr>
    </w:p>
    <w:p>
      <w:pPr>
        <w:spacing w:line="560" w:lineRule="exact"/>
        <w:jc w:val="center"/>
        <w:rPr>
          <w:rFonts w:ascii="宋体" w:hAnsi="宋体" w:cs="宋体"/>
          <w:b/>
          <w:sz w:val="24"/>
          <w:highlight w:val="none"/>
        </w:rPr>
      </w:pPr>
      <w:r>
        <w:rPr>
          <w:rFonts w:hint="eastAsia" w:ascii="宋体" w:hAnsi="宋体" w:cs="宋体"/>
          <w:b/>
          <w:sz w:val="32"/>
          <w:szCs w:val="32"/>
          <w:highlight w:val="none"/>
        </w:rPr>
        <w:t>目    录</w:t>
      </w:r>
    </w:p>
    <w:p>
      <w:pPr>
        <w:pStyle w:val="16"/>
        <w:tabs>
          <w:tab w:val="right" w:leader="dot" w:pos="8845"/>
        </w:tabs>
        <w:spacing w:line="560" w:lineRule="exact"/>
        <w:rPr>
          <w:rFonts w:ascii="宋体" w:hAnsi="宋体" w:cs="宋体"/>
          <w:sz w:val="24"/>
          <w:highlight w:val="none"/>
        </w:rPr>
      </w:pPr>
      <w:r>
        <w:rPr>
          <w:rFonts w:hint="eastAsia" w:ascii="宋体" w:hAnsi="宋体" w:cs="宋体"/>
          <w:kern w:val="0"/>
          <w:sz w:val="24"/>
          <w:highlight w:val="none"/>
        </w:rPr>
        <w:fldChar w:fldCharType="begin"/>
      </w:r>
      <w:r>
        <w:rPr>
          <w:rFonts w:hint="eastAsia" w:ascii="宋体" w:hAnsi="宋体" w:cs="宋体"/>
          <w:kern w:val="0"/>
          <w:sz w:val="24"/>
          <w:highlight w:val="none"/>
        </w:rPr>
        <w:instrText xml:space="preserve"> TOC \o "1-3" \h \z \u </w:instrText>
      </w:r>
      <w:r>
        <w:rPr>
          <w:rFonts w:hint="eastAsia" w:ascii="宋体" w:hAnsi="宋体" w:cs="宋体"/>
          <w:kern w:val="0"/>
          <w:sz w:val="24"/>
          <w:highlight w:val="none"/>
        </w:rPr>
        <w:fldChar w:fldCharType="separate"/>
      </w:r>
    </w:p>
    <w:p>
      <w:pPr>
        <w:pStyle w:val="16"/>
        <w:tabs>
          <w:tab w:val="right" w:leader="dot" w:pos="8845"/>
        </w:tabs>
        <w:spacing w:line="560" w:lineRule="exact"/>
        <w:rPr>
          <w:rFonts w:ascii="宋体" w:hAnsi="宋体" w:cs="宋体"/>
          <w:sz w:val="24"/>
          <w:highlight w:val="none"/>
        </w:rPr>
      </w:pPr>
      <w:r>
        <w:rPr>
          <w:highlight w:val="none"/>
        </w:rPr>
        <w:fldChar w:fldCharType="begin"/>
      </w:r>
      <w:r>
        <w:rPr>
          <w:highlight w:val="none"/>
        </w:rPr>
        <w:instrText xml:space="preserve"> HYPERLINK \l "_Toc4817" </w:instrText>
      </w:r>
      <w:r>
        <w:rPr>
          <w:highlight w:val="none"/>
        </w:rPr>
        <w:fldChar w:fldCharType="separate"/>
      </w:r>
      <w:r>
        <w:rPr>
          <w:rFonts w:hint="eastAsia" w:ascii="宋体" w:hAnsi="宋体" w:cs="宋体"/>
          <w:sz w:val="24"/>
          <w:highlight w:val="none"/>
        </w:rPr>
        <w:t>第一章  采购邀请</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_Toc4817 </w:instrText>
      </w:r>
      <w:r>
        <w:rPr>
          <w:rFonts w:hint="eastAsia" w:ascii="宋体" w:hAnsi="宋体" w:cs="宋体"/>
          <w:sz w:val="24"/>
          <w:highlight w:val="none"/>
        </w:rPr>
        <w:fldChar w:fldCharType="separate"/>
      </w:r>
      <w:r>
        <w:rPr>
          <w:rFonts w:hint="eastAsia" w:ascii="宋体" w:hAnsi="宋体" w:cs="宋体"/>
          <w:sz w:val="24"/>
          <w:highlight w:val="none"/>
        </w:rPr>
        <w:t>3</w:t>
      </w:r>
      <w:r>
        <w:rPr>
          <w:rFonts w:hint="eastAsia" w:ascii="宋体" w:hAnsi="宋体" w:cs="宋体"/>
          <w:sz w:val="24"/>
          <w:highlight w:val="none"/>
        </w:rPr>
        <w:fldChar w:fldCharType="end"/>
      </w:r>
      <w:r>
        <w:rPr>
          <w:rFonts w:hint="eastAsia" w:ascii="宋体" w:hAnsi="宋体" w:cs="宋体"/>
          <w:sz w:val="24"/>
          <w:highlight w:val="none"/>
        </w:rPr>
        <w:fldChar w:fldCharType="end"/>
      </w:r>
    </w:p>
    <w:p>
      <w:pPr>
        <w:pStyle w:val="16"/>
        <w:tabs>
          <w:tab w:val="right" w:leader="dot" w:pos="8845"/>
        </w:tabs>
        <w:spacing w:line="560" w:lineRule="exact"/>
        <w:rPr>
          <w:rFonts w:ascii="宋体" w:hAnsi="宋体" w:cs="宋体"/>
          <w:sz w:val="24"/>
          <w:highlight w:val="none"/>
        </w:rPr>
      </w:pPr>
      <w:r>
        <w:rPr>
          <w:highlight w:val="none"/>
        </w:rPr>
        <w:fldChar w:fldCharType="begin"/>
      </w:r>
      <w:r>
        <w:rPr>
          <w:highlight w:val="none"/>
        </w:rPr>
        <w:instrText xml:space="preserve"> HYPERLINK \l "_Toc7473" </w:instrText>
      </w:r>
      <w:r>
        <w:rPr>
          <w:highlight w:val="none"/>
        </w:rPr>
        <w:fldChar w:fldCharType="separate"/>
      </w:r>
      <w:r>
        <w:rPr>
          <w:rFonts w:hint="eastAsia" w:ascii="宋体" w:hAnsi="宋体" w:cs="宋体"/>
          <w:sz w:val="24"/>
          <w:highlight w:val="none"/>
        </w:rPr>
        <w:t>第二章  供应商须知</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_Toc7473 </w:instrText>
      </w:r>
      <w:r>
        <w:rPr>
          <w:rFonts w:hint="eastAsia" w:ascii="宋体" w:hAnsi="宋体" w:cs="宋体"/>
          <w:sz w:val="24"/>
          <w:highlight w:val="none"/>
        </w:rPr>
        <w:fldChar w:fldCharType="separate"/>
      </w:r>
      <w:r>
        <w:rPr>
          <w:rFonts w:hint="eastAsia" w:ascii="宋体" w:hAnsi="宋体" w:cs="宋体"/>
          <w:sz w:val="24"/>
          <w:highlight w:val="none"/>
        </w:rPr>
        <w:t>7</w:t>
      </w:r>
      <w:r>
        <w:rPr>
          <w:rFonts w:hint="eastAsia" w:ascii="宋体" w:hAnsi="宋体" w:cs="宋体"/>
          <w:sz w:val="24"/>
          <w:highlight w:val="none"/>
        </w:rPr>
        <w:fldChar w:fldCharType="end"/>
      </w:r>
      <w:r>
        <w:rPr>
          <w:rFonts w:hint="eastAsia" w:ascii="宋体" w:hAnsi="宋体" w:cs="宋体"/>
          <w:sz w:val="24"/>
          <w:highlight w:val="none"/>
        </w:rPr>
        <w:fldChar w:fldCharType="end"/>
      </w:r>
    </w:p>
    <w:p>
      <w:pPr>
        <w:pStyle w:val="16"/>
        <w:tabs>
          <w:tab w:val="right" w:leader="dot" w:pos="8845"/>
        </w:tabs>
        <w:spacing w:line="560" w:lineRule="exact"/>
        <w:rPr>
          <w:rFonts w:ascii="宋体" w:hAnsi="宋体" w:cs="宋体"/>
          <w:sz w:val="24"/>
          <w:highlight w:val="none"/>
        </w:rPr>
      </w:pPr>
      <w:r>
        <w:rPr>
          <w:highlight w:val="none"/>
        </w:rPr>
        <w:fldChar w:fldCharType="begin"/>
      </w:r>
      <w:r>
        <w:rPr>
          <w:highlight w:val="none"/>
        </w:rPr>
        <w:instrText xml:space="preserve"> HYPERLINK \l "_Toc17976" </w:instrText>
      </w:r>
      <w:r>
        <w:rPr>
          <w:highlight w:val="none"/>
        </w:rPr>
        <w:fldChar w:fldCharType="separate"/>
      </w:r>
      <w:r>
        <w:rPr>
          <w:rFonts w:hint="eastAsia" w:ascii="宋体" w:hAnsi="宋体" w:cs="宋体"/>
          <w:sz w:val="24"/>
          <w:highlight w:val="none"/>
        </w:rPr>
        <w:t>第三章  货物需求</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_Toc17976 </w:instrText>
      </w:r>
      <w:r>
        <w:rPr>
          <w:rFonts w:hint="eastAsia" w:ascii="宋体" w:hAnsi="宋体" w:cs="宋体"/>
          <w:sz w:val="24"/>
          <w:highlight w:val="none"/>
        </w:rPr>
        <w:fldChar w:fldCharType="separate"/>
      </w:r>
      <w:r>
        <w:rPr>
          <w:rFonts w:hint="eastAsia" w:ascii="宋体" w:hAnsi="宋体" w:cs="宋体"/>
          <w:sz w:val="24"/>
          <w:highlight w:val="none"/>
        </w:rPr>
        <w:t>36</w:t>
      </w:r>
      <w:r>
        <w:rPr>
          <w:rFonts w:hint="eastAsia" w:ascii="宋体" w:hAnsi="宋体" w:cs="宋体"/>
          <w:sz w:val="24"/>
          <w:highlight w:val="none"/>
        </w:rPr>
        <w:fldChar w:fldCharType="end"/>
      </w:r>
      <w:r>
        <w:rPr>
          <w:rFonts w:hint="eastAsia" w:ascii="宋体" w:hAnsi="宋体" w:cs="宋体"/>
          <w:sz w:val="24"/>
          <w:highlight w:val="none"/>
        </w:rPr>
        <w:fldChar w:fldCharType="end"/>
      </w:r>
    </w:p>
    <w:p>
      <w:pPr>
        <w:pStyle w:val="16"/>
        <w:tabs>
          <w:tab w:val="right" w:leader="dot" w:pos="8845"/>
        </w:tabs>
        <w:spacing w:line="560" w:lineRule="exact"/>
        <w:rPr>
          <w:rFonts w:ascii="宋体" w:hAnsi="宋体" w:cs="宋体"/>
          <w:sz w:val="24"/>
          <w:highlight w:val="none"/>
        </w:rPr>
      </w:pPr>
      <w:r>
        <w:rPr>
          <w:highlight w:val="none"/>
        </w:rPr>
        <w:fldChar w:fldCharType="begin"/>
      </w:r>
      <w:r>
        <w:rPr>
          <w:highlight w:val="none"/>
        </w:rPr>
        <w:instrText xml:space="preserve"> HYPERLINK \l "_Toc11322" </w:instrText>
      </w:r>
      <w:r>
        <w:rPr>
          <w:highlight w:val="none"/>
        </w:rPr>
        <w:fldChar w:fldCharType="separate"/>
      </w:r>
      <w:r>
        <w:rPr>
          <w:rFonts w:hint="eastAsia" w:ascii="宋体" w:hAnsi="宋体" w:cs="宋体"/>
          <w:sz w:val="24"/>
          <w:highlight w:val="none"/>
        </w:rPr>
        <w:t>第四章  评审方法和标准</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_Toc11322 </w:instrText>
      </w:r>
      <w:r>
        <w:rPr>
          <w:rFonts w:hint="eastAsia" w:ascii="宋体" w:hAnsi="宋体" w:cs="宋体"/>
          <w:sz w:val="24"/>
          <w:highlight w:val="none"/>
        </w:rPr>
        <w:fldChar w:fldCharType="separate"/>
      </w:r>
      <w:r>
        <w:rPr>
          <w:rFonts w:hint="eastAsia" w:ascii="宋体" w:hAnsi="宋体" w:cs="宋体"/>
          <w:sz w:val="24"/>
          <w:highlight w:val="none"/>
        </w:rPr>
        <w:t>43</w:t>
      </w:r>
      <w:r>
        <w:rPr>
          <w:rFonts w:hint="eastAsia" w:ascii="宋体" w:hAnsi="宋体" w:cs="宋体"/>
          <w:sz w:val="24"/>
          <w:highlight w:val="none"/>
        </w:rPr>
        <w:fldChar w:fldCharType="end"/>
      </w:r>
      <w:r>
        <w:rPr>
          <w:rFonts w:hint="eastAsia" w:ascii="宋体" w:hAnsi="宋体" w:cs="宋体"/>
          <w:sz w:val="24"/>
          <w:highlight w:val="none"/>
        </w:rPr>
        <w:fldChar w:fldCharType="end"/>
      </w:r>
    </w:p>
    <w:p>
      <w:pPr>
        <w:pStyle w:val="16"/>
        <w:tabs>
          <w:tab w:val="right" w:leader="dot" w:pos="8845"/>
        </w:tabs>
        <w:spacing w:line="560" w:lineRule="exact"/>
        <w:rPr>
          <w:rFonts w:ascii="宋体" w:hAnsi="宋体" w:cs="宋体"/>
          <w:sz w:val="24"/>
          <w:highlight w:val="none"/>
        </w:rPr>
      </w:pPr>
      <w:r>
        <w:rPr>
          <w:highlight w:val="none"/>
        </w:rPr>
        <w:fldChar w:fldCharType="begin"/>
      </w:r>
      <w:r>
        <w:rPr>
          <w:highlight w:val="none"/>
        </w:rPr>
        <w:instrText xml:space="preserve"> HYPERLINK \l "_Toc19807" </w:instrText>
      </w:r>
      <w:r>
        <w:rPr>
          <w:highlight w:val="none"/>
        </w:rPr>
        <w:fldChar w:fldCharType="separate"/>
      </w:r>
      <w:r>
        <w:rPr>
          <w:rFonts w:hint="eastAsia" w:ascii="宋体" w:hAnsi="宋体" w:cs="宋体"/>
          <w:sz w:val="24"/>
          <w:highlight w:val="none"/>
        </w:rPr>
        <w:t>第五章 响应文件格式</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_Toc19807 </w:instrText>
      </w:r>
      <w:r>
        <w:rPr>
          <w:rFonts w:hint="eastAsia" w:ascii="宋体" w:hAnsi="宋体" w:cs="宋体"/>
          <w:sz w:val="24"/>
          <w:highlight w:val="none"/>
        </w:rPr>
        <w:fldChar w:fldCharType="separate"/>
      </w:r>
      <w:r>
        <w:rPr>
          <w:rFonts w:hint="eastAsia" w:ascii="宋体" w:hAnsi="宋体" w:cs="宋体"/>
          <w:sz w:val="24"/>
          <w:highlight w:val="none"/>
        </w:rPr>
        <w:t>48</w:t>
      </w:r>
      <w:r>
        <w:rPr>
          <w:rFonts w:hint="eastAsia" w:ascii="宋体" w:hAnsi="宋体" w:cs="宋体"/>
          <w:sz w:val="24"/>
          <w:highlight w:val="none"/>
        </w:rPr>
        <w:fldChar w:fldCharType="end"/>
      </w:r>
      <w:r>
        <w:rPr>
          <w:rFonts w:hint="eastAsia" w:ascii="宋体" w:hAnsi="宋体" w:cs="宋体"/>
          <w:sz w:val="24"/>
          <w:highlight w:val="none"/>
        </w:rPr>
        <w:fldChar w:fldCharType="end"/>
      </w:r>
    </w:p>
    <w:p>
      <w:pPr>
        <w:pStyle w:val="16"/>
        <w:tabs>
          <w:tab w:val="right" w:leader="dot" w:pos="8845"/>
        </w:tabs>
        <w:spacing w:line="560" w:lineRule="exact"/>
        <w:rPr>
          <w:rFonts w:ascii="宋体" w:hAnsi="宋体" w:cs="宋体"/>
          <w:sz w:val="24"/>
          <w:highlight w:val="none"/>
        </w:rPr>
      </w:pPr>
      <w:r>
        <w:rPr>
          <w:highlight w:val="none"/>
        </w:rPr>
        <w:fldChar w:fldCharType="begin"/>
      </w:r>
      <w:r>
        <w:rPr>
          <w:highlight w:val="none"/>
        </w:rPr>
        <w:instrText xml:space="preserve"> HYPERLINK \l "_Toc31576" </w:instrText>
      </w:r>
      <w:r>
        <w:rPr>
          <w:highlight w:val="none"/>
        </w:rPr>
        <w:fldChar w:fldCharType="separate"/>
      </w:r>
      <w:r>
        <w:rPr>
          <w:rFonts w:hint="eastAsia" w:ascii="宋体" w:hAnsi="宋体" w:cs="宋体"/>
          <w:sz w:val="24"/>
          <w:highlight w:val="none"/>
        </w:rPr>
        <w:t>第六章 政府采购合同格式</w:t>
      </w:r>
      <w:r>
        <w:rPr>
          <w:rFonts w:hint="eastAsia" w:ascii="宋体" w:hAnsi="宋体" w:cs="宋体"/>
          <w:sz w:val="24"/>
          <w:highlight w:val="none"/>
        </w:rPr>
        <w:tab/>
      </w:r>
      <w:r>
        <w:rPr>
          <w:rFonts w:hint="eastAsia" w:ascii="宋体" w:hAnsi="宋体" w:cs="宋体"/>
          <w:sz w:val="24"/>
          <w:highlight w:val="none"/>
        </w:rPr>
        <w:fldChar w:fldCharType="begin"/>
      </w:r>
      <w:r>
        <w:rPr>
          <w:rFonts w:hint="eastAsia" w:ascii="宋体" w:hAnsi="宋体" w:cs="宋体"/>
          <w:sz w:val="24"/>
          <w:highlight w:val="none"/>
        </w:rPr>
        <w:instrText xml:space="preserve"> PAGEREF _Toc31576 </w:instrText>
      </w:r>
      <w:r>
        <w:rPr>
          <w:rFonts w:hint="eastAsia" w:ascii="宋体" w:hAnsi="宋体" w:cs="宋体"/>
          <w:sz w:val="24"/>
          <w:highlight w:val="none"/>
        </w:rPr>
        <w:fldChar w:fldCharType="separate"/>
      </w:r>
      <w:r>
        <w:rPr>
          <w:rFonts w:hint="eastAsia" w:ascii="宋体" w:hAnsi="宋体" w:cs="宋体"/>
          <w:sz w:val="24"/>
          <w:highlight w:val="none"/>
        </w:rPr>
        <w:t>64</w:t>
      </w:r>
      <w:r>
        <w:rPr>
          <w:rFonts w:hint="eastAsia" w:ascii="宋体" w:hAnsi="宋体" w:cs="宋体"/>
          <w:sz w:val="24"/>
          <w:highlight w:val="none"/>
        </w:rPr>
        <w:fldChar w:fldCharType="end"/>
      </w:r>
      <w:r>
        <w:rPr>
          <w:rFonts w:hint="eastAsia" w:ascii="宋体" w:hAnsi="宋体" w:cs="宋体"/>
          <w:sz w:val="24"/>
          <w:highlight w:val="none"/>
        </w:rPr>
        <w:fldChar w:fldCharType="end"/>
      </w:r>
    </w:p>
    <w:p>
      <w:pPr>
        <w:spacing w:line="560" w:lineRule="exact"/>
        <w:rPr>
          <w:rFonts w:ascii="宋体" w:hAnsi="宋体" w:cs="宋体"/>
          <w:kern w:val="0"/>
          <w:sz w:val="24"/>
          <w:highlight w:val="none"/>
        </w:rPr>
      </w:pPr>
      <w:r>
        <w:rPr>
          <w:rFonts w:hint="eastAsia" w:ascii="宋体" w:hAnsi="宋体" w:cs="宋体"/>
          <w:kern w:val="0"/>
          <w:sz w:val="24"/>
          <w:highlight w:val="none"/>
        </w:rPr>
        <w:fldChar w:fldCharType="end"/>
      </w:r>
      <w:bookmarkStart w:id="32" w:name="_Toc17230"/>
      <w:bookmarkStart w:id="33" w:name="_Toc22782"/>
      <w:bookmarkStart w:id="34" w:name="_Toc216582804"/>
    </w:p>
    <w:p>
      <w:pPr>
        <w:spacing w:line="560" w:lineRule="exact"/>
        <w:rPr>
          <w:rFonts w:ascii="宋体" w:hAnsi="宋体" w:cs="宋体"/>
          <w:kern w:val="0"/>
          <w:sz w:val="24"/>
          <w:highlight w:val="none"/>
        </w:rPr>
      </w:pPr>
    </w:p>
    <w:p>
      <w:pPr>
        <w:pStyle w:val="5"/>
        <w:spacing w:line="560" w:lineRule="exact"/>
        <w:rPr>
          <w:rFonts w:hAnsi="宋体" w:cs="宋体"/>
          <w:szCs w:val="24"/>
          <w:highlight w:val="none"/>
        </w:rPr>
      </w:pPr>
    </w:p>
    <w:p>
      <w:pPr>
        <w:spacing w:line="560" w:lineRule="exact"/>
        <w:rPr>
          <w:rFonts w:ascii="宋体" w:hAnsi="宋体" w:cs="宋体"/>
          <w:kern w:val="0"/>
          <w:sz w:val="24"/>
          <w:highlight w:val="none"/>
        </w:rPr>
      </w:pPr>
    </w:p>
    <w:p>
      <w:pPr>
        <w:pStyle w:val="3"/>
        <w:tabs>
          <w:tab w:val="left" w:pos="0"/>
        </w:tabs>
        <w:spacing w:before="0" w:after="0" w:line="560" w:lineRule="exact"/>
        <w:rPr>
          <w:rFonts w:hAnsi="宋体" w:cs="宋体"/>
          <w:sz w:val="24"/>
          <w:szCs w:val="24"/>
          <w:highlight w:val="none"/>
        </w:rPr>
        <w:sectPr>
          <w:headerReference r:id="rId4" w:type="default"/>
          <w:footerReference r:id="rId6" w:type="default"/>
          <w:headerReference r:id="rId5" w:type="even"/>
          <w:footerReference r:id="rId7" w:type="even"/>
          <w:pgSz w:w="11906" w:h="16838"/>
          <w:pgMar w:top="2098" w:right="1474" w:bottom="1984" w:left="1587" w:header="851" w:footer="992" w:gutter="0"/>
          <w:cols w:space="0" w:num="1"/>
          <w:docGrid w:linePitch="312" w:charSpace="0"/>
        </w:sectPr>
      </w:pPr>
    </w:p>
    <w:p>
      <w:pPr>
        <w:pStyle w:val="3"/>
        <w:tabs>
          <w:tab w:val="left" w:pos="0"/>
        </w:tabs>
        <w:spacing w:before="0" w:after="0" w:line="560" w:lineRule="exact"/>
        <w:rPr>
          <w:rFonts w:hAnsi="宋体" w:cs="宋体"/>
          <w:highlight w:val="none"/>
        </w:rPr>
      </w:pPr>
      <w:bookmarkStart w:id="35" w:name="_Toc4817"/>
      <w:r>
        <w:rPr>
          <w:rFonts w:hint="eastAsia" w:hAnsi="宋体" w:cs="宋体"/>
          <w:highlight w:val="none"/>
        </w:rPr>
        <w:t xml:space="preserve">第一章  </w:t>
      </w:r>
      <w:bookmarkStart w:id="36" w:name="_Toc4766813"/>
      <w:r>
        <w:rPr>
          <w:rFonts w:hint="eastAsia" w:hAnsi="宋体" w:cs="宋体"/>
          <w:highlight w:val="none"/>
        </w:rPr>
        <w:t>采购邀请</w:t>
      </w:r>
      <w:bookmarkEnd w:id="35"/>
      <w:bookmarkEnd w:id="36"/>
    </w:p>
    <w:p>
      <w:pPr>
        <w:spacing w:line="560" w:lineRule="exact"/>
        <w:rPr>
          <w:rFonts w:ascii="宋体" w:hAnsi="宋体" w:cs="宋体"/>
          <w:highlight w:val="none"/>
        </w:rPr>
      </w:pPr>
    </w:p>
    <w:p>
      <w:pPr>
        <w:pBdr>
          <w:top w:val="single" w:color="auto" w:sz="4" w:space="1"/>
          <w:left w:val="single" w:color="auto" w:sz="4" w:space="4"/>
          <w:bottom w:val="single" w:color="auto" w:sz="4" w:space="1"/>
          <w:right w:val="single" w:color="auto" w:sz="4" w:space="4"/>
        </w:pBdr>
        <w:spacing w:line="560" w:lineRule="exact"/>
        <w:rPr>
          <w:rFonts w:asciiTheme="majorEastAsia" w:hAnsiTheme="majorEastAsia" w:eastAsiaTheme="majorEastAsia" w:cstheme="majorEastAsia"/>
          <w:sz w:val="24"/>
          <w:highlight w:val="none"/>
        </w:rPr>
      </w:pPr>
      <w:bookmarkStart w:id="37" w:name="_Toc512937850"/>
      <w:r>
        <w:rPr>
          <w:rFonts w:hint="eastAsia" w:asciiTheme="majorEastAsia" w:hAnsiTheme="majorEastAsia" w:eastAsiaTheme="majorEastAsia" w:cstheme="majorEastAsia"/>
          <w:sz w:val="24"/>
          <w:highlight w:val="none"/>
        </w:rPr>
        <w:t>项目概况</w:t>
      </w:r>
    </w:p>
    <w:p>
      <w:pPr>
        <w:pBdr>
          <w:top w:val="single" w:color="auto" w:sz="4" w:space="1"/>
          <w:left w:val="single" w:color="auto" w:sz="4" w:space="4"/>
          <w:bottom w:val="single" w:color="auto" w:sz="4" w:space="1"/>
          <w:right w:val="single" w:color="auto" w:sz="4" w:space="4"/>
        </w:pBdr>
        <w:spacing w:line="560" w:lineRule="exact"/>
        <w:ind w:firstLine="480" w:firstLineChars="200"/>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u w:val="single"/>
        </w:rPr>
        <w:t>淄博稷下实验学校校园文化景观建设项目</w:t>
      </w:r>
      <w:r>
        <w:rPr>
          <w:rFonts w:hint="eastAsia" w:asciiTheme="majorEastAsia" w:hAnsiTheme="majorEastAsia" w:eastAsiaTheme="majorEastAsia" w:cstheme="majorEastAsia"/>
          <w:sz w:val="24"/>
          <w:highlight w:val="none"/>
        </w:rPr>
        <w:t>项目的供应商应</w:t>
      </w:r>
      <w:r>
        <w:rPr>
          <w:rFonts w:hint="eastAsia" w:asciiTheme="majorEastAsia" w:hAnsiTheme="majorEastAsia" w:eastAsiaTheme="majorEastAsia" w:cstheme="majorEastAsia"/>
          <w:b/>
          <w:bCs/>
          <w:sz w:val="24"/>
          <w:highlight w:val="none"/>
        </w:rPr>
        <w:t>登录淄博市公共资源交易平台</w:t>
      </w:r>
      <w:r>
        <w:rPr>
          <w:rFonts w:asciiTheme="majorEastAsia" w:hAnsiTheme="majorEastAsia" w:eastAsiaTheme="majorEastAsia" w:cstheme="majorEastAsia"/>
          <w:b/>
          <w:bCs/>
          <w:sz w:val="24"/>
          <w:highlight w:val="none"/>
        </w:rPr>
        <w:t>系统</w:t>
      </w:r>
      <w:r>
        <w:rPr>
          <w:rFonts w:hint="eastAsia" w:asciiTheme="majorEastAsia" w:hAnsiTheme="majorEastAsia" w:eastAsiaTheme="majorEastAsia" w:cstheme="majorEastAsia"/>
          <w:sz w:val="24"/>
          <w:highlight w:val="none"/>
        </w:rPr>
        <w:t>获取采购文件，并于</w:t>
      </w:r>
      <w:r>
        <w:rPr>
          <w:rFonts w:hint="eastAsia" w:asciiTheme="majorEastAsia" w:hAnsiTheme="majorEastAsia" w:eastAsiaTheme="majorEastAsia" w:cstheme="majorEastAsia"/>
          <w:sz w:val="24"/>
          <w:highlight w:val="none"/>
          <w:u w:val="single"/>
        </w:rPr>
        <w:t>2022</w:t>
      </w:r>
      <w:r>
        <w:rPr>
          <w:rFonts w:hint="eastAsia" w:asciiTheme="majorEastAsia" w:hAnsiTheme="majorEastAsia" w:eastAsiaTheme="majorEastAsia" w:cstheme="majorEastAsia"/>
          <w:bCs/>
          <w:sz w:val="24"/>
          <w:highlight w:val="none"/>
          <w:u w:val="single"/>
        </w:rPr>
        <w:t>年8月</w:t>
      </w:r>
      <w:r>
        <w:rPr>
          <w:rFonts w:hint="eastAsia" w:asciiTheme="majorEastAsia" w:hAnsiTheme="majorEastAsia" w:eastAsiaTheme="majorEastAsia" w:cstheme="majorEastAsia"/>
          <w:bCs/>
          <w:sz w:val="24"/>
          <w:highlight w:val="none"/>
          <w:u w:val="single"/>
          <w:lang w:val="en-US" w:eastAsia="zh-CN"/>
        </w:rPr>
        <w:t>17</w:t>
      </w:r>
      <w:r>
        <w:rPr>
          <w:rFonts w:hint="eastAsia" w:asciiTheme="majorEastAsia" w:hAnsiTheme="majorEastAsia" w:eastAsiaTheme="majorEastAsia" w:cstheme="majorEastAsia"/>
          <w:bCs/>
          <w:sz w:val="24"/>
          <w:highlight w:val="none"/>
          <w:u w:val="single"/>
        </w:rPr>
        <w:t>日</w:t>
      </w:r>
      <w:r>
        <w:rPr>
          <w:rFonts w:hint="eastAsia" w:asciiTheme="majorEastAsia" w:hAnsiTheme="majorEastAsia" w:eastAsiaTheme="majorEastAsia" w:cstheme="majorEastAsia"/>
          <w:bCs/>
          <w:sz w:val="24"/>
          <w:highlight w:val="none"/>
          <w:u w:val="single"/>
          <w:lang w:val="en-US" w:eastAsia="zh-CN"/>
        </w:rPr>
        <w:t>14</w:t>
      </w:r>
      <w:r>
        <w:rPr>
          <w:rFonts w:hint="eastAsia" w:asciiTheme="majorEastAsia" w:hAnsiTheme="majorEastAsia" w:eastAsiaTheme="majorEastAsia" w:cstheme="majorEastAsia"/>
          <w:bCs/>
          <w:sz w:val="24"/>
          <w:highlight w:val="none"/>
          <w:u w:val="single"/>
        </w:rPr>
        <w:t>点</w:t>
      </w:r>
      <w:r>
        <w:rPr>
          <w:rFonts w:hint="eastAsia" w:asciiTheme="majorEastAsia" w:hAnsiTheme="majorEastAsia" w:eastAsiaTheme="majorEastAsia" w:cstheme="majorEastAsia"/>
          <w:bCs/>
          <w:sz w:val="24"/>
          <w:highlight w:val="none"/>
          <w:u w:val="single"/>
          <w:lang w:val="en-US" w:eastAsia="zh-CN"/>
        </w:rPr>
        <w:t>00</w:t>
      </w:r>
      <w:r>
        <w:rPr>
          <w:rFonts w:hint="eastAsia" w:asciiTheme="majorEastAsia" w:hAnsiTheme="majorEastAsia" w:eastAsiaTheme="majorEastAsia" w:cstheme="majorEastAsia"/>
          <w:bCs/>
          <w:sz w:val="24"/>
          <w:highlight w:val="none"/>
          <w:u w:val="single"/>
        </w:rPr>
        <w:t>分</w:t>
      </w:r>
      <w:r>
        <w:rPr>
          <w:rFonts w:hint="eastAsia" w:asciiTheme="majorEastAsia" w:hAnsiTheme="majorEastAsia" w:eastAsiaTheme="majorEastAsia" w:cstheme="majorEastAsia"/>
          <w:bCs/>
          <w:sz w:val="24"/>
          <w:highlight w:val="none"/>
        </w:rPr>
        <w:t>（北京时间）前提交响应文件</w:t>
      </w:r>
      <w:r>
        <w:rPr>
          <w:rFonts w:hint="eastAsia" w:asciiTheme="majorEastAsia" w:hAnsiTheme="majorEastAsia" w:eastAsiaTheme="majorEastAsia" w:cstheme="majorEastAsia"/>
          <w:sz w:val="24"/>
          <w:highlight w:val="none"/>
        </w:rPr>
        <w:t>。</w:t>
      </w:r>
    </w:p>
    <w:p>
      <w:pPr>
        <w:pStyle w:val="4"/>
        <w:spacing w:line="560" w:lineRule="exact"/>
        <w:jc w:val="left"/>
        <w:rPr>
          <w:rFonts w:asciiTheme="majorEastAsia" w:hAnsiTheme="majorEastAsia" w:eastAsiaTheme="majorEastAsia" w:cstheme="majorEastAsia"/>
          <w:b w:val="0"/>
          <w:sz w:val="24"/>
          <w:szCs w:val="24"/>
          <w:highlight w:val="none"/>
        </w:rPr>
      </w:pPr>
      <w:bookmarkStart w:id="38" w:name="_Toc19605"/>
      <w:bookmarkStart w:id="39" w:name="_Toc28359012"/>
      <w:bookmarkStart w:id="40" w:name="_Toc28359089"/>
      <w:bookmarkStart w:id="41" w:name="_Toc35393629"/>
      <w:bookmarkStart w:id="42" w:name="_Toc29593"/>
      <w:bookmarkStart w:id="43" w:name="_Toc35393798"/>
      <w:r>
        <w:rPr>
          <w:rFonts w:hint="eastAsia" w:asciiTheme="majorEastAsia" w:hAnsiTheme="majorEastAsia" w:eastAsiaTheme="majorEastAsia" w:cstheme="majorEastAsia"/>
          <w:b w:val="0"/>
          <w:sz w:val="24"/>
          <w:szCs w:val="24"/>
          <w:highlight w:val="none"/>
        </w:rPr>
        <w:t>一、项目基本情况</w:t>
      </w:r>
      <w:bookmarkEnd w:id="38"/>
      <w:bookmarkEnd w:id="39"/>
      <w:bookmarkEnd w:id="40"/>
      <w:bookmarkEnd w:id="41"/>
      <w:bookmarkEnd w:id="42"/>
      <w:bookmarkEnd w:id="43"/>
    </w:p>
    <w:p>
      <w:pPr>
        <w:spacing w:line="560" w:lineRule="exact"/>
        <w:ind w:firstLine="480" w:firstLineChars="200"/>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项目编号：SDGP370300000202202000553</w:t>
      </w:r>
    </w:p>
    <w:p>
      <w:pPr>
        <w:spacing w:line="560" w:lineRule="exact"/>
        <w:ind w:firstLine="480" w:firstLineChars="200"/>
        <w:rPr>
          <w:rFonts w:asciiTheme="majorEastAsia" w:hAnsiTheme="majorEastAsia" w:eastAsiaTheme="majorEastAsia" w:cstheme="majorEastAsia"/>
          <w:sz w:val="24"/>
          <w:highlight w:val="none"/>
          <w:u w:val="single"/>
        </w:rPr>
      </w:pPr>
      <w:r>
        <w:rPr>
          <w:rFonts w:hint="eastAsia" w:asciiTheme="majorEastAsia" w:hAnsiTheme="majorEastAsia" w:eastAsiaTheme="majorEastAsia" w:cstheme="majorEastAsia"/>
          <w:sz w:val="24"/>
          <w:highlight w:val="none"/>
        </w:rPr>
        <w:t>项目名称：淄博稷下实验学校校园文化景观建设项目</w:t>
      </w:r>
    </w:p>
    <w:p>
      <w:pPr>
        <w:spacing w:line="560" w:lineRule="exact"/>
        <w:ind w:firstLine="480" w:firstLineChars="200"/>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采购方式：竞争性谈判</w:t>
      </w:r>
    </w:p>
    <w:p>
      <w:pPr>
        <w:spacing w:line="560" w:lineRule="exact"/>
        <w:ind w:firstLine="480" w:firstLineChars="200"/>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预算金额：382.9431万元</w:t>
      </w:r>
    </w:p>
    <w:p>
      <w:pPr>
        <w:spacing w:line="560" w:lineRule="exact"/>
        <w:ind w:firstLine="480" w:firstLineChars="200"/>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最高限价：382.9431万元</w:t>
      </w:r>
    </w:p>
    <w:p>
      <w:pPr>
        <w:spacing w:line="560" w:lineRule="exact"/>
        <w:ind w:firstLine="480" w:firstLineChars="200"/>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采购需求：1、本项目为淄博稷下实验学校校园文化景观建设项目，主要包括美达菲双语幼儿园、淄博稷下实验学校、淄博美达菲双语高中三处的校园文化景观建设；2、质量要求：合格，达到国家及行业相关验收标准；3、供货地点：采购人指定地点；4、合同签订并接到采购人通知后20日内供货并安装完毕。货物须运至采购人指定的地点，且按要求安装到位后，经采购人验收合格后方可交货。由成交供应商自身原因造成的时间延误，由成交供应商负全部责任，如发现不合格产品或不符合合同质量要求等，采购人有权拒绝验收，由此导致的供货时间延误、费用的增加由成交供应商全部承担，造成的损失采购人保留索赔的权利；5、质保期：自验收合格之日起质保不低于2年，自验收合格之日起开始计算；6、质量要求：所有产品及零部件应是全新的、未使用过的，完全符合采购规定的质量、规格和性能的要求，且须保证其所出售的上述货物没有侵犯任何第三人的知识产权和商业秘密等权利，如采购人使用成交供应商货物构成上述侵权的，则由成交供应商承担全部责任。所供货物的生产、制造、安装等各项技术标准，应当符合国家（强制性）标准、各项规范要求；国家没有相应标准、规范的，可使用行业标准、规定；非标设备按招标约定的技术要求和规范，如因供应商包装不当以及其他原因造成损坏或丢失，应由供应商负责修复或补缺。如发现货物短缺、质次、损坏、产地和规格不符等问题，应作详细记录，由供应商立即无条件为采购人调换或补齐，同时由供应商承担因此而产生的一切后果。</w:t>
      </w:r>
    </w:p>
    <w:p>
      <w:pPr>
        <w:spacing w:line="560" w:lineRule="exact"/>
        <w:ind w:firstLine="480" w:firstLineChars="200"/>
        <w:rPr>
          <w:rFonts w:asciiTheme="majorEastAsia" w:hAnsiTheme="majorEastAsia" w:eastAsiaTheme="majorEastAsia" w:cstheme="majorEastAsia"/>
          <w:sz w:val="24"/>
          <w:highlight w:val="none"/>
          <w:u w:val="single"/>
        </w:rPr>
      </w:pPr>
      <w:r>
        <w:rPr>
          <w:rFonts w:hint="eastAsia" w:asciiTheme="majorEastAsia" w:hAnsiTheme="majorEastAsia" w:eastAsiaTheme="majorEastAsia" w:cstheme="majorEastAsia"/>
          <w:sz w:val="24"/>
          <w:highlight w:val="none"/>
        </w:rPr>
        <w:t>合同履行期限：自接到采购人通知之日起20日历天内供货安装完毕并验收合格（具体供货日期以采购人通知为准）。</w:t>
      </w:r>
    </w:p>
    <w:p>
      <w:pPr>
        <w:spacing w:line="560" w:lineRule="exact"/>
        <w:ind w:firstLine="480" w:firstLineChars="200"/>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本项目不接受联合体。</w:t>
      </w:r>
    </w:p>
    <w:p>
      <w:pPr>
        <w:pStyle w:val="4"/>
        <w:spacing w:line="560" w:lineRule="exact"/>
        <w:jc w:val="left"/>
        <w:rPr>
          <w:rFonts w:asciiTheme="majorEastAsia" w:hAnsiTheme="majorEastAsia" w:eastAsiaTheme="majorEastAsia" w:cstheme="majorEastAsia"/>
          <w:b w:val="0"/>
          <w:sz w:val="24"/>
          <w:szCs w:val="24"/>
          <w:highlight w:val="none"/>
        </w:rPr>
      </w:pPr>
      <w:bookmarkStart w:id="44" w:name="_Toc29526"/>
      <w:bookmarkStart w:id="45" w:name="_Toc29298"/>
      <w:bookmarkStart w:id="46" w:name="_Toc35393799"/>
      <w:bookmarkStart w:id="47" w:name="_Toc28359013"/>
      <w:bookmarkStart w:id="48" w:name="_Toc28359090"/>
      <w:bookmarkStart w:id="49" w:name="_Toc35393630"/>
      <w:r>
        <w:rPr>
          <w:rFonts w:hint="eastAsia" w:asciiTheme="majorEastAsia" w:hAnsiTheme="majorEastAsia" w:eastAsiaTheme="majorEastAsia" w:cstheme="majorEastAsia"/>
          <w:b w:val="0"/>
          <w:sz w:val="24"/>
          <w:szCs w:val="24"/>
          <w:highlight w:val="none"/>
        </w:rPr>
        <w:t>二、申请人的资格要求：</w:t>
      </w:r>
      <w:bookmarkEnd w:id="44"/>
      <w:bookmarkEnd w:id="45"/>
      <w:bookmarkEnd w:id="46"/>
      <w:bookmarkEnd w:id="47"/>
      <w:bookmarkEnd w:id="48"/>
      <w:bookmarkEnd w:id="49"/>
    </w:p>
    <w:p>
      <w:pPr>
        <w:spacing w:line="560" w:lineRule="exact"/>
        <w:ind w:firstLine="480" w:firstLineChars="200"/>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1.满足《中华人民共和国政府采购法》第二十二条规定；</w:t>
      </w:r>
    </w:p>
    <w:p>
      <w:pPr>
        <w:spacing w:line="560" w:lineRule="exact"/>
        <w:ind w:firstLine="480" w:firstLineChars="200"/>
        <w:rPr>
          <w:rFonts w:asciiTheme="majorEastAsia" w:hAnsiTheme="majorEastAsia" w:eastAsiaTheme="majorEastAsia" w:cstheme="majorEastAsia"/>
          <w:sz w:val="24"/>
          <w:highlight w:val="none"/>
        </w:rPr>
      </w:pPr>
      <w:bookmarkStart w:id="50" w:name="_Toc28359014"/>
      <w:bookmarkStart w:id="51" w:name="_Toc28359091"/>
      <w:r>
        <w:rPr>
          <w:rFonts w:hint="eastAsia" w:asciiTheme="majorEastAsia" w:hAnsiTheme="majorEastAsia" w:eastAsiaTheme="majorEastAsia" w:cstheme="majorEastAsia"/>
          <w:sz w:val="24"/>
          <w:highlight w:val="none"/>
        </w:rPr>
        <w:t>2.落实政府采购政策需满足的资格要求：</w:t>
      </w:r>
      <w:r>
        <w:rPr>
          <w:rFonts w:hint="eastAsia" w:asciiTheme="majorEastAsia" w:hAnsiTheme="majorEastAsia" w:eastAsiaTheme="majorEastAsia" w:cstheme="majorEastAsia"/>
          <w:sz w:val="24"/>
          <w:highlight w:val="none"/>
          <w:u w:val="single"/>
        </w:rPr>
        <w:t>谈判文件落实政府采购政采，包括支持节能环保、中小微企业、监狱企业、残疾人福利性单位等政府采购政策</w:t>
      </w:r>
      <w:r>
        <w:rPr>
          <w:rFonts w:hint="eastAsia" w:asciiTheme="majorEastAsia" w:hAnsiTheme="majorEastAsia" w:eastAsiaTheme="majorEastAsia" w:cstheme="majorEastAsia"/>
          <w:sz w:val="24"/>
          <w:highlight w:val="none"/>
        </w:rPr>
        <w:t>。</w:t>
      </w:r>
    </w:p>
    <w:p>
      <w:pPr>
        <w:spacing w:line="560" w:lineRule="exact"/>
        <w:ind w:firstLine="480" w:firstLineChars="200"/>
        <w:rPr>
          <w:rFonts w:asciiTheme="majorEastAsia" w:hAnsiTheme="majorEastAsia" w:eastAsiaTheme="majorEastAsia" w:cstheme="majorEastAsia"/>
          <w:sz w:val="24"/>
          <w:highlight w:val="none"/>
          <w:u w:val="single"/>
        </w:rPr>
      </w:pPr>
      <w:r>
        <w:rPr>
          <w:rFonts w:hint="eastAsia" w:asciiTheme="majorEastAsia" w:hAnsiTheme="majorEastAsia" w:eastAsiaTheme="majorEastAsia" w:cstheme="majorEastAsia"/>
          <w:sz w:val="24"/>
          <w:highlight w:val="none"/>
        </w:rPr>
        <w:t>3.本项目的特定资格要求：</w:t>
      </w:r>
      <w:r>
        <w:rPr>
          <w:rFonts w:hint="eastAsia" w:asciiTheme="majorEastAsia" w:hAnsiTheme="majorEastAsia" w:eastAsiaTheme="majorEastAsia" w:cstheme="majorEastAsia"/>
          <w:sz w:val="24"/>
          <w:highlight w:val="none"/>
          <w:u w:val="single"/>
        </w:rPr>
        <w:t>（1）具备加载有统一社会信用代码的《营业执照》或其他组织有效证件；（2）参加政府采购活动近三年内无行贿犯罪记录、重大税收违法记录；（3）符合《中华人民共和国政府采购法》第二十二条规定且应为未被列入信用中国网站(www.creditchina.gov.cn)、中国政府采购网(www.ccgp.gov.cn)渠道信用记录失信被执行人、重大税收违法案件当事人名单、政府采购严重违法失信行为记录名单的供应商；（4）本项目不接受联合体报价。</w:t>
      </w:r>
    </w:p>
    <w:p>
      <w:pPr>
        <w:pStyle w:val="4"/>
        <w:spacing w:line="560" w:lineRule="exact"/>
        <w:jc w:val="left"/>
        <w:rPr>
          <w:rFonts w:asciiTheme="majorEastAsia" w:hAnsiTheme="majorEastAsia" w:eastAsiaTheme="majorEastAsia" w:cstheme="majorEastAsia"/>
          <w:b w:val="0"/>
          <w:sz w:val="24"/>
          <w:szCs w:val="24"/>
          <w:highlight w:val="none"/>
        </w:rPr>
      </w:pPr>
      <w:bookmarkStart w:id="52" w:name="_Toc35393631"/>
      <w:bookmarkStart w:id="53" w:name="_Toc9096"/>
      <w:bookmarkStart w:id="54" w:name="_Toc13062"/>
      <w:bookmarkStart w:id="55" w:name="_Toc35393800"/>
      <w:r>
        <w:rPr>
          <w:rFonts w:hint="eastAsia" w:asciiTheme="majorEastAsia" w:hAnsiTheme="majorEastAsia" w:eastAsiaTheme="majorEastAsia" w:cstheme="majorEastAsia"/>
          <w:b w:val="0"/>
          <w:sz w:val="24"/>
          <w:szCs w:val="24"/>
          <w:highlight w:val="none"/>
        </w:rPr>
        <w:t>三、获取采购文件</w:t>
      </w:r>
      <w:bookmarkEnd w:id="50"/>
      <w:bookmarkEnd w:id="51"/>
      <w:bookmarkEnd w:id="52"/>
      <w:bookmarkEnd w:id="53"/>
      <w:bookmarkEnd w:id="54"/>
      <w:bookmarkEnd w:id="55"/>
    </w:p>
    <w:p>
      <w:pPr>
        <w:spacing w:line="560" w:lineRule="exact"/>
        <w:ind w:firstLine="540"/>
        <w:rPr>
          <w:rFonts w:asciiTheme="majorEastAsia" w:hAnsiTheme="majorEastAsia" w:eastAsiaTheme="majorEastAsia" w:cstheme="majorEastAsia"/>
          <w:sz w:val="24"/>
          <w:highlight w:val="none"/>
          <w:u w:val="single"/>
        </w:rPr>
      </w:pPr>
      <w:r>
        <w:rPr>
          <w:rFonts w:hint="eastAsia" w:asciiTheme="majorEastAsia" w:hAnsiTheme="majorEastAsia" w:eastAsiaTheme="majorEastAsia" w:cstheme="majorEastAsia"/>
          <w:sz w:val="24"/>
          <w:highlight w:val="none"/>
        </w:rPr>
        <w:t>时间：</w:t>
      </w:r>
      <w:r>
        <w:rPr>
          <w:rFonts w:hint="eastAsia" w:asciiTheme="majorEastAsia" w:hAnsiTheme="majorEastAsia" w:eastAsiaTheme="majorEastAsia" w:cstheme="majorEastAsia"/>
          <w:sz w:val="24"/>
          <w:highlight w:val="none"/>
          <w:u w:val="single"/>
        </w:rPr>
        <w:t>截止到2022年8月</w:t>
      </w:r>
      <w:r>
        <w:rPr>
          <w:rFonts w:hint="eastAsia" w:asciiTheme="majorEastAsia" w:hAnsiTheme="majorEastAsia" w:eastAsiaTheme="majorEastAsia" w:cstheme="majorEastAsia"/>
          <w:sz w:val="24"/>
          <w:highlight w:val="none"/>
          <w:u w:val="single"/>
          <w:lang w:val="en-US" w:eastAsia="zh-CN"/>
        </w:rPr>
        <w:t>16</w:t>
      </w:r>
      <w:r>
        <w:rPr>
          <w:rFonts w:hint="eastAsia" w:asciiTheme="majorEastAsia" w:hAnsiTheme="majorEastAsia" w:eastAsiaTheme="majorEastAsia" w:cstheme="majorEastAsia"/>
          <w:sz w:val="24"/>
          <w:highlight w:val="none"/>
          <w:u w:val="single"/>
        </w:rPr>
        <w:t>日</w:t>
      </w:r>
      <w:r>
        <w:rPr>
          <w:rFonts w:hint="eastAsia" w:asciiTheme="majorEastAsia" w:hAnsiTheme="majorEastAsia" w:eastAsiaTheme="majorEastAsia" w:cstheme="majorEastAsia"/>
          <w:sz w:val="24"/>
          <w:highlight w:val="none"/>
          <w:u w:val="single"/>
          <w:lang w:val="en-US" w:eastAsia="zh-CN"/>
        </w:rPr>
        <w:t>14</w:t>
      </w:r>
      <w:r>
        <w:rPr>
          <w:rFonts w:hint="eastAsia" w:asciiTheme="majorEastAsia" w:hAnsiTheme="majorEastAsia" w:eastAsiaTheme="majorEastAsia" w:cstheme="majorEastAsia"/>
          <w:sz w:val="24"/>
          <w:highlight w:val="none"/>
          <w:u w:val="single"/>
        </w:rPr>
        <w:t>点</w:t>
      </w:r>
      <w:r>
        <w:rPr>
          <w:rFonts w:hint="eastAsia" w:asciiTheme="majorEastAsia" w:hAnsiTheme="majorEastAsia" w:eastAsiaTheme="majorEastAsia" w:cstheme="majorEastAsia"/>
          <w:sz w:val="24"/>
          <w:highlight w:val="none"/>
          <w:u w:val="single"/>
          <w:lang w:val="en-US" w:eastAsia="zh-CN"/>
        </w:rPr>
        <w:t>00</w:t>
      </w:r>
      <w:r>
        <w:rPr>
          <w:rFonts w:hint="eastAsia" w:asciiTheme="majorEastAsia" w:hAnsiTheme="majorEastAsia" w:eastAsiaTheme="majorEastAsia" w:cstheme="majorEastAsia"/>
          <w:sz w:val="24"/>
          <w:highlight w:val="none"/>
          <w:u w:val="single"/>
        </w:rPr>
        <w:t>分</w:t>
      </w:r>
      <w:r>
        <w:rPr>
          <w:rFonts w:hint="eastAsia" w:asciiTheme="majorEastAsia" w:hAnsiTheme="majorEastAsia" w:eastAsiaTheme="majorEastAsia" w:cstheme="majorEastAsia"/>
          <w:sz w:val="24"/>
          <w:highlight w:val="none"/>
        </w:rPr>
        <w:t>（北京时间）</w:t>
      </w:r>
    </w:p>
    <w:p>
      <w:pPr>
        <w:spacing w:line="560" w:lineRule="exact"/>
        <w:ind w:firstLine="540"/>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地点：淄博市公共资源交易网（http://ggzyjy.zibo.gov.cn/）</w:t>
      </w:r>
    </w:p>
    <w:p>
      <w:pPr>
        <w:spacing w:line="560" w:lineRule="exact"/>
        <w:ind w:firstLine="540"/>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方式：①已在淄博市公共资源交易网（http://ggzyjy.zibo.gov.cn/）注册的供应商可直接点击淄博市公共资源交易网首页“新系统登录入口”登录系统</w:t>
      </w:r>
      <w:r>
        <w:rPr>
          <w:rFonts w:hint="eastAsia" w:asciiTheme="majorEastAsia" w:hAnsiTheme="majorEastAsia" w:eastAsiaTheme="majorEastAsia" w:cstheme="majorEastAsia"/>
          <w:b/>
          <w:bCs/>
          <w:sz w:val="24"/>
          <w:highlight w:val="none"/>
        </w:rPr>
        <w:t>免费</w:t>
      </w:r>
      <w:r>
        <w:rPr>
          <w:rFonts w:hint="eastAsia" w:asciiTheme="majorEastAsia" w:hAnsiTheme="majorEastAsia" w:eastAsiaTheme="majorEastAsia" w:cstheme="majorEastAsia"/>
          <w:sz w:val="24"/>
          <w:highlight w:val="none"/>
        </w:rPr>
        <w:t>下载采购文件。②</w:t>
      </w:r>
      <w:bookmarkStart w:id="56" w:name="_Toc35393632"/>
      <w:bookmarkStart w:id="57" w:name="_Toc28359092"/>
      <w:bookmarkStart w:id="58" w:name="_Toc35393801"/>
      <w:bookmarkStart w:id="59" w:name="_Toc28359015"/>
      <w:r>
        <w:rPr>
          <w:rFonts w:hint="eastAsia" w:asciiTheme="majorEastAsia" w:hAnsiTheme="majorEastAsia" w:eastAsiaTheme="majorEastAsia" w:cstheme="majorEastAsia"/>
          <w:sz w:val="24"/>
          <w:highlight w:val="none"/>
        </w:rPr>
        <w:t>未注册的供应商请到淄博市公共资源交易网（http://ggzyjy.zibo.gov.cn:8082/）在网站首页点击“新系统登录入口”（http://ggzyjy.zibo.gov.cn:9181/TPBidder）根据页面提示进行注册（注册类型：交易乙方）。咨询电话：0533-2270020、2270010、2270050，咨询时间：北京时间8：30-12：00，13：30-17：00（法定公休日、法定节假日除外）。技术咨询电话：400-998-0000。③为满足信息公开和供应商诚信体系建设需要，供应商还需同时在中国山东政府采购网（http://www.ccgp-shandong.gov.cn/）进行注册。未注册的供应商须登录中国山东政府采购网点击首页右侧“系统入口”模块的“供应商注册”进行注册。</w:t>
      </w:r>
    </w:p>
    <w:p>
      <w:pPr>
        <w:pStyle w:val="4"/>
        <w:spacing w:line="560" w:lineRule="exact"/>
        <w:jc w:val="left"/>
        <w:rPr>
          <w:rFonts w:asciiTheme="majorEastAsia" w:hAnsiTheme="majorEastAsia" w:eastAsiaTheme="majorEastAsia" w:cstheme="majorEastAsia"/>
          <w:b w:val="0"/>
          <w:sz w:val="24"/>
          <w:szCs w:val="24"/>
          <w:highlight w:val="none"/>
        </w:rPr>
      </w:pPr>
      <w:bookmarkStart w:id="60" w:name="_Toc6110"/>
      <w:bookmarkStart w:id="61" w:name="_Toc26813"/>
      <w:r>
        <w:rPr>
          <w:rFonts w:hint="eastAsia" w:asciiTheme="majorEastAsia" w:hAnsiTheme="majorEastAsia" w:eastAsiaTheme="majorEastAsia" w:cstheme="majorEastAsia"/>
          <w:b w:val="0"/>
          <w:sz w:val="24"/>
          <w:szCs w:val="24"/>
          <w:highlight w:val="none"/>
        </w:rPr>
        <w:t>四、响应文件提交</w:t>
      </w:r>
      <w:bookmarkEnd w:id="56"/>
      <w:bookmarkEnd w:id="57"/>
      <w:bookmarkEnd w:id="58"/>
      <w:bookmarkEnd w:id="59"/>
      <w:bookmarkEnd w:id="60"/>
      <w:bookmarkEnd w:id="61"/>
    </w:p>
    <w:p>
      <w:pPr>
        <w:spacing w:line="560" w:lineRule="exact"/>
        <w:ind w:firstLine="480" w:firstLineChars="200"/>
        <w:rPr>
          <w:rFonts w:asciiTheme="majorEastAsia" w:hAnsiTheme="majorEastAsia" w:eastAsiaTheme="majorEastAsia" w:cstheme="majorEastAsia"/>
          <w:sz w:val="24"/>
          <w:highlight w:val="none"/>
          <w:u w:val="single"/>
        </w:rPr>
      </w:pPr>
      <w:r>
        <w:rPr>
          <w:rFonts w:hint="eastAsia" w:asciiTheme="majorEastAsia" w:hAnsiTheme="majorEastAsia" w:eastAsiaTheme="majorEastAsia" w:cstheme="majorEastAsia"/>
          <w:sz w:val="24"/>
          <w:highlight w:val="none"/>
        </w:rPr>
        <w:t>截止时间：</w:t>
      </w:r>
      <w:r>
        <w:rPr>
          <w:rFonts w:hint="eastAsia" w:asciiTheme="majorEastAsia" w:hAnsiTheme="majorEastAsia" w:eastAsiaTheme="majorEastAsia" w:cstheme="majorEastAsia"/>
          <w:sz w:val="24"/>
          <w:highlight w:val="none"/>
          <w:u w:val="single"/>
        </w:rPr>
        <w:t>2022</w:t>
      </w:r>
      <w:r>
        <w:rPr>
          <w:rFonts w:hint="eastAsia" w:asciiTheme="majorEastAsia" w:hAnsiTheme="majorEastAsia" w:eastAsiaTheme="majorEastAsia" w:cstheme="majorEastAsia"/>
          <w:bCs/>
          <w:sz w:val="24"/>
          <w:highlight w:val="none"/>
          <w:u w:val="single"/>
        </w:rPr>
        <w:t>年8月</w:t>
      </w:r>
      <w:r>
        <w:rPr>
          <w:rFonts w:hint="eastAsia" w:asciiTheme="majorEastAsia" w:hAnsiTheme="majorEastAsia" w:eastAsiaTheme="majorEastAsia" w:cstheme="majorEastAsia"/>
          <w:bCs/>
          <w:sz w:val="24"/>
          <w:highlight w:val="none"/>
          <w:u w:val="single"/>
          <w:lang w:val="en-US" w:eastAsia="zh-CN"/>
        </w:rPr>
        <w:t>17</w:t>
      </w:r>
      <w:r>
        <w:rPr>
          <w:rFonts w:hint="eastAsia" w:asciiTheme="majorEastAsia" w:hAnsiTheme="majorEastAsia" w:eastAsiaTheme="majorEastAsia" w:cstheme="majorEastAsia"/>
          <w:bCs/>
          <w:sz w:val="24"/>
          <w:highlight w:val="none"/>
          <w:u w:val="single"/>
        </w:rPr>
        <w:t>日</w:t>
      </w:r>
      <w:r>
        <w:rPr>
          <w:rFonts w:hint="eastAsia" w:asciiTheme="majorEastAsia" w:hAnsiTheme="majorEastAsia" w:eastAsiaTheme="majorEastAsia" w:cstheme="majorEastAsia"/>
          <w:bCs/>
          <w:sz w:val="24"/>
          <w:highlight w:val="none"/>
          <w:u w:val="single"/>
          <w:lang w:val="en-US" w:eastAsia="zh-CN"/>
        </w:rPr>
        <w:t>14</w:t>
      </w:r>
      <w:r>
        <w:rPr>
          <w:rFonts w:hint="eastAsia" w:asciiTheme="majorEastAsia" w:hAnsiTheme="majorEastAsia" w:eastAsiaTheme="majorEastAsia" w:cstheme="majorEastAsia"/>
          <w:bCs/>
          <w:sz w:val="24"/>
          <w:highlight w:val="none"/>
          <w:u w:val="single"/>
        </w:rPr>
        <w:t>点</w:t>
      </w:r>
      <w:r>
        <w:rPr>
          <w:rFonts w:hint="eastAsia" w:asciiTheme="majorEastAsia" w:hAnsiTheme="majorEastAsia" w:eastAsiaTheme="majorEastAsia" w:cstheme="majorEastAsia"/>
          <w:bCs/>
          <w:sz w:val="24"/>
          <w:highlight w:val="none"/>
          <w:u w:val="single"/>
          <w:lang w:val="en-US" w:eastAsia="zh-CN"/>
        </w:rPr>
        <w:t>00</w:t>
      </w:r>
      <w:r>
        <w:rPr>
          <w:rFonts w:hint="eastAsia" w:asciiTheme="majorEastAsia" w:hAnsiTheme="majorEastAsia" w:eastAsiaTheme="majorEastAsia" w:cstheme="majorEastAsia"/>
          <w:bCs/>
          <w:sz w:val="24"/>
          <w:highlight w:val="none"/>
          <w:u w:val="single"/>
        </w:rPr>
        <w:t>分</w:t>
      </w:r>
      <w:r>
        <w:rPr>
          <w:rFonts w:hint="eastAsia" w:asciiTheme="majorEastAsia" w:hAnsiTheme="majorEastAsia" w:eastAsiaTheme="majorEastAsia" w:cstheme="majorEastAsia"/>
          <w:bCs/>
          <w:sz w:val="24"/>
          <w:highlight w:val="none"/>
        </w:rPr>
        <w:t>（北京时间）</w:t>
      </w:r>
    </w:p>
    <w:p>
      <w:pPr>
        <w:spacing w:line="560" w:lineRule="exact"/>
        <w:ind w:firstLine="540"/>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地点：淄博市公共资源交易网（http://ggzyjy.zibo.gov.cn/）</w:t>
      </w:r>
    </w:p>
    <w:p>
      <w:pPr>
        <w:spacing w:line="560" w:lineRule="exact"/>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 xml:space="preserve">    方式：将加密的电子报价文件在截止时间前通过淄博市公共资源交易网 “上传投标文件”栏目上传完成。①拟参加本项目的供应商须办理并取得数字证书（电子签章）后，方可加密生成及上传电子报价文件。请各供应商仔细阅读《数字证书办理注意事项及相关资料下载》（淄博公共资源交易网→办事指南→服务指南）并按照须知要求办理。②供应商可到淄博市公共资源交易中心一楼大厅办理数字证书，也可网上办理。山东CA（山东省数字证书认证管理有限公司）证书办理电话为400-607-8966，CFCA（中金金融认证中心有限公司）证书办理电话为0533-3590310。其他具体操作请参考“新点投标文件制作软件（淄博版）操作视频-采购类”（淄博市公共资源交易中心网站→办事指南→服务指南），技术咨询电话：400-998-0000。 </w:t>
      </w:r>
    </w:p>
    <w:p>
      <w:pPr>
        <w:spacing w:line="560" w:lineRule="exact"/>
        <w:ind w:firstLine="480" w:firstLineChars="200"/>
        <w:rPr>
          <w:rFonts w:asciiTheme="majorEastAsia" w:hAnsiTheme="majorEastAsia" w:eastAsiaTheme="majorEastAsia" w:cstheme="majorEastAsia"/>
          <w:bCs/>
          <w:sz w:val="24"/>
          <w:highlight w:val="none"/>
          <w:u w:val="single"/>
        </w:rPr>
      </w:pPr>
      <w:r>
        <w:rPr>
          <w:rFonts w:hint="eastAsia" w:asciiTheme="majorEastAsia" w:hAnsiTheme="majorEastAsia" w:eastAsiaTheme="majorEastAsia" w:cstheme="majorEastAsia"/>
          <w:sz w:val="24"/>
          <w:highlight w:val="none"/>
        </w:rPr>
        <w:t>时间：</w:t>
      </w:r>
      <w:r>
        <w:rPr>
          <w:rFonts w:hint="eastAsia" w:asciiTheme="majorEastAsia" w:hAnsiTheme="majorEastAsia" w:eastAsiaTheme="majorEastAsia" w:cstheme="majorEastAsia"/>
          <w:sz w:val="24"/>
          <w:highlight w:val="none"/>
          <w:u w:val="single"/>
        </w:rPr>
        <w:t>2022</w:t>
      </w:r>
      <w:r>
        <w:rPr>
          <w:rFonts w:hint="eastAsia" w:asciiTheme="majorEastAsia" w:hAnsiTheme="majorEastAsia" w:eastAsiaTheme="majorEastAsia" w:cstheme="majorEastAsia"/>
          <w:bCs/>
          <w:sz w:val="24"/>
          <w:highlight w:val="none"/>
          <w:u w:val="single"/>
        </w:rPr>
        <w:t>年8月</w:t>
      </w:r>
      <w:r>
        <w:rPr>
          <w:rFonts w:hint="eastAsia" w:asciiTheme="majorEastAsia" w:hAnsiTheme="majorEastAsia" w:eastAsiaTheme="majorEastAsia" w:cstheme="majorEastAsia"/>
          <w:bCs/>
          <w:sz w:val="24"/>
          <w:highlight w:val="none"/>
          <w:u w:val="single"/>
          <w:lang w:val="en-US" w:eastAsia="zh-CN"/>
        </w:rPr>
        <w:t>17</w:t>
      </w:r>
      <w:r>
        <w:rPr>
          <w:rFonts w:hint="eastAsia" w:asciiTheme="majorEastAsia" w:hAnsiTheme="majorEastAsia" w:eastAsiaTheme="majorEastAsia" w:cstheme="majorEastAsia"/>
          <w:bCs/>
          <w:sz w:val="24"/>
          <w:highlight w:val="none"/>
          <w:u w:val="single"/>
        </w:rPr>
        <w:t>日</w:t>
      </w:r>
      <w:r>
        <w:rPr>
          <w:rFonts w:hint="eastAsia" w:asciiTheme="majorEastAsia" w:hAnsiTheme="majorEastAsia" w:eastAsiaTheme="majorEastAsia" w:cstheme="majorEastAsia"/>
          <w:bCs/>
          <w:sz w:val="24"/>
          <w:highlight w:val="none"/>
          <w:u w:val="single"/>
          <w:lang w:val="en-US" w:eastAsia="zh-CN"/>
        </w:rPr>
        <w:t>14</w:t>
      </w:r>
      <w:r>
        <w:rPr>
          <w:rFonts w:hint="eastAsia" w:asciiTheme="majorEastAsia" w:hAnsiTheme="majorEastAsia" w:eastAsiaTheme="majorEastAsia" w:cstheme="majorEastAsia"/>
          <w:bCs/>
          <w:sz w:val="24"/>
          <w:highlight w:val="none"/>
          <w:u w:val="single"/>
        </w:rPr>
        <w:t>点</w:t>
      </w:r>
      <w:r>
        <w:rPr>
          <w:rFonts w:hint="eastAsia" w:asciiTheme="majorEastAsia" w:hAnsiTheme="majorEastAsia" w:eastAsiaTheme="majorEastAsia" w:cstheme="majorEastAsia"/>
          <w:bCs/>
          <w:sz w:val="24"/>
          <w:highlight w:val="none"/>
          <w:u w:val="single"/>
          <w:lang w:val="en-US" w:eastAsia="zh-CN"/>
        </w:rPr>
        <w:t>00</w:t>
      </w:r>
      <w:r>
        <w:rPr>
          <w:rFonts w:hint="eastAsia" w:asciiTheme="majorEastAsia" w:hAnsiTheme="majorEastAsia" w:eastAsiaTheme="majorEastAsia" w:cstheme="majorEastAsia"/>
          <w:bCs/>
          <w:sz w:val="24"/>
          <w:highlight w:val="none"/>
          <w:u w:val="single"/>
        </w:rPr>
        <w:t>分</w:t>
      </w:r>
      <w:r>
        <w:rPr>
          <w:rFonts w:hint="eastAsia" w:asciiTheme="majorEastAsia" w:hAnsiTheme="majorEastAsia" w:eastAsiaTheme="majorEastAsia" w:cstheme="majorEastAsia"/>
          <w:bCs/>
          <w:sz w:val="24"/>
          <w:highlight w:val="none"/>
        </w:rPr>
        <w:t>（北京时间）</w:t>
      </w:r>
    </w:p>
    <w:p>
      <w:pPr>
        <w:kinsoku w:val="0"/>
        <w:overflowPunct w:val="0"/>
        <w:autoSpaceDE w:val="0"/>
        <w:autoSpaceDN w:val="0"/>
        <w:spacing w:line="560" w:lineRule="exact"/>
        <w:ind w:firstLine="480" w:firstLineChars="200"/>
        <w:rPr>
          <w:rFonts w:asciiTheme="majorEastAsia" w:hAnsiTheme="majorEastAsia" w:eastAsiaTheme="majorEastAsia" w:cstheme="majorEastAsia"/>
          <w:sz w:val="24"/>
          <w:highlight w:val="none"/>
        </w:rPr>
      </w:pPr>
      <w:bookmarkStart w:id="62" w:name="_Toc28359094"/>
      <w:bookmarkStart w:id="63" w:name="_Toc28359017"/>
      <w:bookmarkStart w:id="64" w:name="_Toc35393634"/>
      <w:bookmarkStart w:id="65" w:name="_Toc35393803"/>
      <w:r>
        <w:rPr>
          <w:rFonts w:hint="eastAsia" w:asciiTheme="majorEastAsia" w:hAnsiTheme="majorEastAsia" w:eastAsiaTheme="majorEastAsia" w:cstheme="majorEastAsia"/>
          <w:sz w:val="24"/>
          <w:highlight w:val="none"/>
        </w:rPr>
        <w:t>地点：网上开标大厅。请各供应商在开标前登录网上开标大厅（http://ggzyjy.zibo.gov.cn:9181/BidOpeningHall/bidopeninghallaction/hall/login）,在线准时参加开标活动并进行响应文件解密、答疑、澄清等。</w:t>
      </w:r>
    </w:p>
    <w:p>
      <w:pPr>
        <w:pStyle w:val="4"/>
        <w:spacing w:line="560" w:lineRule="exact"/>
        <w:jc w:val="left"/>
        <w:rPr>
          <w:rFonts w:asciiTheme="majorEastAsia" w:hAnsiTheme="majorEastAsia" w:eastAsiaTheme="majorEastAsia" w:cstheme="majorEastAsia"/>
          <w:b w:val="0"/>
          <w:sz w:val="24"/>
          <w:szCs w:val="24"/>
          <w:highlight w:val="none"/>
        </w:rPr>
      </w:pPr>
      <w:bookmarkStart w:id="66" w:name="_Toc7116"/>
      <w:bookmarkStart w:id="67" w:name="_Toc7008"/>
      <w:r>
        <w:rPr>
          <w:rFonts w:hint="eastAsia" w:asciiTheme="majorEastAsia" w:hAnsiTheme="majorEastAsia" w:eastAsiaTheme="majorEastAsia" w:cstheme="majorEastAsia"/>
          <w:b w:val="0"/>
          <w:sz w:val="24"/>
          <w:szCs w:val="24"/>
          <w:highlight w:val="none"/>
        </w:rPr>
        <w:t>五、公告期限</w:t>
      </w:r>
      <w:bookmarkEnd w:id="62"/>
      <w:bookmarkEnd w:id="63"/>
      <w:bookmarkEnd w:id="64"/>
      <w:bookmarkEnd w:id="65"/>
      <w:bookmarkEnd w:id="66"/>
      <w:bookmarkEnd w:id="67"/>
    </w:p>
    <w:p>
      <w:pPr>
        <w:spacing w:line="560" w:lineRule="exact"/>
        <w:ind w:firstLine="480" w:firstLineChars="200"/>
        <w:rPr>
          <w:rFonts w:asciiTheme="majorEastAsia" w:hAnsiTheme="majorEastAsia" w:eastAsiaTheme="majorEastAsia" w:cstheme="majorEastAsia"/>
          <w:kern w:val="0"/>
          <w:sz w:val="24"/>
          <w:highlight w:val="none"/>
        </w:rPr>
      </w:pPr>
      <w:r>
        <w:rPr>
          <w:rFonts w:hint="eastAsia" w:asciiTheme="majorEastAsia" w:hAnsiTheme="majorEastAsia" w:eastAsiaTheme="majorEastAsia" w:cstheme="majorEastAsia"/>
          <w:kern w:val="0"/>
          <w:sz w:val="24"/>
          <w:highlight w:val="none"/>
        </w:rPr>
        <w:t>自本公告发布之日起3个工作日。</w:t>
      </w:r>
    </w:p>
    <w:p>
      <w:pPr>
        <w:pStyle w:val="4"/>
        <w:spacing w:line="560" w:lineRule="exact"/>
        <w:jc w:val="left"/>
        <w:rPr>
          <w:rFonts w:asciiTheme="majorEastAsia" w:hAnsiTheme="majorEastAsia" w:eastAsiaTheme="majorEastAsia" w:cstheme="majorEastAsia"/>
          <w:b w:val="0"/>
          <w:sz w:val="24"/>
          <w:szCs w:val="24"/>
          <w:highlight w:val="none"/>
        </w:rPr>
      </w:pPr>
      <w:bookmarkStart w:id="68" w:name="_Toc17940"/>
      <w:bookmarkStart w:id="69" w:name="_Toc9522"/>
      <w:bookmarkStart w:id="70" w:name="_Toc35393804"/>
      <w:bookmarkStart w:id="71" w:name="_Toc35393635"/>
      <w:r>
        <w:rPr>
          <w:rFonts w:hint="eastAsia" w:asciiTheme="majorEastAsia" w:hAnsiTheme="majorEastAsia" w:eastAsiaTheme="majorEastAsia" w:cstheme="majorEastAsia"/>
          <w:b w:val="0"/>
          <w:sz w:val="24"/>
          <w:szCs w:val="24"/>
          <w:highlight w:val="none"/>
        </w:rPr>
        <w:t>六、其他补充事宜</w:t>
      </w:r>
      <w:bookmarkEnd w:id="68"/>
      <w:bookmarkEnd w:id="69"/>
      <w:bookmarkEnd w:id="70"/>
      <w:bookmarkEnd w:id="71"/>
    </w:p>
    <w:p>
      <w:pPr>
        <w:spacing w:line="560" w:lineRule="exact"/>
        <w:ind w:firstLine="480" w:firstLineChars="200"/>
        <w:rPr>
          <w:rFonts w:asciiTheme="majorEastAsia" w:hAnsiTheme="majorEastAsia" w:eastAsiaTheme="majorEastAsia" w:cstheme="majorEastAsia"/>
          <w:kern w:val="0"/>
          <w:sz w:val="24"/>
          <w:highlight w:val="none"/>
        </w:rPr>
      </w:pPr>
      <w:bookmarkStart w:id="72" w:name="_Toc35393805"/>
      <w:bookmarkStart w:id="73" w:name="_Toc31926"/>
      <w:bookmarkStart w:id="74" w:name="_Toc13739"/>
      <w:bookmarkStart w:id="75" w:name="_Toc28359018"/>
      <w:bookmarkStart w:id="76" w:name="_Toc35393636"/>
      <w:bookmarkStart w:id="77" w:name="_Toc28359095"/>
      <w:r>
        <w:rPr>
          <w:rFonts w:hint="eastAsia" w:asciiTheme="majorEastAsia" w:hAnsiTheme="majorEastAsia" w:eastAsiaTheme="majorEastAsia" w:cstheme="majorEastAsia"/>
          <w:kern w:val="0"/>
          <w:sz w:val="24"/>
          <w:highlight w:val="none"/>
        </w:rPr>
        <w:t>本项目共分为幼儿园、义务教育阶段（小学+初中）及高中三部分，其中义务教育阶段（小学+初中）为淄博稷下实验学校，幼儿园为淄博市美达菲双语幼儿园（拟），高中部为淄博市美达菲双语高级中学（拟），淄博市美达菲双语高级中学和淄博市美达菲双语幼儿园委托淄博稷下实验学校统一进行采购。</w:t>
      </w:r>
    </w:p>
    <w:p>
      <w:pPr>
        <w:spacing w:line="560" w:lineRule="exact"/>
        <w:ind w:firstLine="480" w:firstLineChars="200"/>
        <w:rPr>
          <w:rFonts w:hint="eastAsia" w:asciiTheme="majorEastAsia" w:hAnsiTheme="majorEastAsia" w:eastAsiaTheme="majorEastAsia" w:cstheme="majorEastAsia"/>
          <w:kern w:val="0"/>
          <w:sz w:val="24"/>
          <w:highlight w:val="none"/>
        </w:rPr>
      </w:pPr>
      <w:r>
        <w:rPr>
          <w:rFonts w:hint="eastAsia" w:asciiTheme="majorEastAsia" w:hAnsiTheme="majorEastAsia" w:eastAsiaTheme="majorEastAsia" w:cstheme="majorEastAsia"/>
          <w:kern w:val="0"/>
          <w:sz w:val="24"/>
          <w:highlight w:val="none"/>
        </w:rPr>
        <w:t>本项目采用采购人和评审专家分别书面推荐的方式邀请不少于3家符合相应资格条件的供应商参与本次谈判采购活动，拟推荐供应商名单：</w:t>
      </w:r>
      <w:r>
        <w:rPr>
          <w:rFonts w:hint="eastAsia" w:asciiTheme="majorEastAsia" w:hAnsiTheme="majorEastAsia" w:eastAsiaTheme="majorEastAsia" w:cstheme="majorEastAsia"/>
          <w:kern w:val="0"/>
          <w:sz w:val="24"/>
          <w:highlight w:val="none"/>
          <w:u w:val="single"/>
          <w:lang w:eastAsia="zh-CN"/>
        </w:rPr>
        <w:t>淄博沙金文化传媒有限公司、淄博鑫鼎文化传媒有限公司、淄博广泰装饰工程有限公司、山东独秀文化传媒有限公司</w:t>
      </w:r>
      <w:r>
        <w:rPr>
          <w:rFonts w:hint="eastAsia" w:asciiTheme="majorEastAsia" w:hAnsiTheme="majorEastAsia" w:eastAsiaTheme="majorEastAsia" w:cstheme="majorEastAsia"/>
          <w:kern w:val="0"/>
          <w:sz w:val="24"/>
          <w:highlight w:val="none"/>
        </w:rPr>
        <w:t>。</w:t>
      </w:r>
    </w:p>
    <w:p>
      <w:pPr>
        <w:pStyle w:val="4"/>
        <w:spacing w:line="560" w:lineRule="exact"/>
        <w:jc w:val="left"/>
        <w:rPr>
          <w:rFonts w:asciiTheme="majorEastAsia" w:hAnsiTheme="majorEastAsia" w:eastAsiaTheme="majorEastAsia" w:cstheme="majorEastAsia"/>
          <w:b w:val="0"/>
          <w:sz w:val="24"/>
          <w:szCs w:val="24"/>
          <w:highlight w:val="none"/>
        </w:rPr>
      </w:pPr>
      <w:r>
        <w:rPr>
          <w:rFonts w:hint="eastAsia" w:asciiTheme="majorEastAsia" w:hAnsiTheme="majorEastAsia" w:eastAsiaTheme="majorEastAsia" w:cstheme="majorEastAsia"/>
          <w:b w:val="0"/>
          <w:sz w:val="24"/>
          <w:szCs w:val="24"/>
          <w:highlight w:val="none"/>
        </w:rPr>
        <w:t>七、凡对本次采购提出询问，请按以下方式联系。</w:t>
      </w:r>
      <w:bookmarkEnd w:id="72"/>
      <w:bookmarkEnd w:id="73"/>
      <w:bookmarkEnd w:id="74"/>
      <w:bookmarkEnd w:id="75"/>
      <w:bookmarkEnd w:id="76"/>
      <w:bookmarkEnd w:id="77"/>
    </w:p>
    <w:p>
      <w:pPr>
        <w:pStyle w:val="4"/>
        <w:spacing w:line="560" w:lineRule="exact"/>
        <w:ind w:firstLine="720" w:firstLineChars="300"/>
        <w:jc w:val="left"/>
        <w:rPr>
          <w:rFonts w:asciiTheme="majorEastAsia" w:hAnsiTheme="majorEastAsia" w:eastAsiaTheme="majorEastAsia" w:cstheme="majorEastAsia"/>
          <w:b w:val="0"/>
          <w:sz w:val="24"/>
          <w:szCs w:val="24"/>
          <w:highlight w:val="none"/>
        </w:rPr>
      </w:pPr>
      <w:bookmarkStart w:id="78" w:name="_Toc29011"/>
      <w:bookmarkStart w:id="79" w:name="_Toc35393806"/>
      <w:bookmarkStart w:id="80" w:name="_Toc28359096"/>
      <w:bookmarkStart w:id="81" w:name="_Toc29665"/>
      <w:bookmarkStart w:id="82" w:name="_Toc35393637"/>
      <w:bookmarkStart w:id="83" w:name="_Toc28359019"/>
      <w:r>
        <w:rPr>
          <w:rFonts w:hint="eastAsia" w:asciiTheme="majorEastAsia" w:hAnsiTheme="majorEastAsia" w:eastAsiaTheme="majorEastAsia" w:cstheme="majorEastAsia"/>
          <w:b w:val="0"/>
          <w:sz w:val="24"/>
          <w:szCs w:val="24"/>
          <w:highlight w:val="none"/>
        </w:rPr>
        <w:t>1.采购人信息</w:t>
      </w:r>
      <w:bookmarkEnd w:id="78"/>
      <w:bookmarkEnd w:id="79"/>
      <w:bookmarkEnd w:id="80"/>
      <w:bookmarkEnd w:id="81"/>
      <w:bookmarkEnd w:id="82"/>
      <w:bookmarkEnd w:id="83"/>
    </w:p>
    <w:p>
      <w:pPr>
        <w:spacing w:line="560" w:lineRule="exact"/>
        <w:ind w:left="1079" w:leftChars="371" w:hanging="300" w:hangingChars="125"/>
        <w:jc w:val="left"/>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名    称：</w:t>
      </w:r>
      <w:r>
        <w:rPr>
          <w:rFonts w:hint="eastAsia" w:asciiTheme="majorEastAsia" w:hAnsiTheme="majorEastAsia" w:eastAsiaTheme="majorEastAsia" w:cstheme="majorEastAsia"/>
          <w:sz w:val="24"/>
          <w:highlight w:val="none"/>
          <w:u w:val="single"/>
        </w:rPr>
        <w:t>淄博稷下实验学校</w:t>
      </w:r>
    </w:p>
    <w:p>
      <w:pPr>
        <w:spacing w:line="560" w:lineRule="exact"/>
        <w:ind w:left="1079" w:leftChars="371" w:hanging="300" w:hangingChars="125"/>
        <w:jc w:val="left"/>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地    址：</w:t>
      </w:r>
      <w:r>
        <w:rPr>
          <w:rFonts w:hint="eastAsia" w:asciiTheme="majorEastAsia" w:hAnsiTheme="majorEastAsia" w:eastAsiaTheme="majorEastAsia" w:cstheme="majorEastAsia"/>
          <w:sz w:val="24"/>
          <w:highlight w:val="none"/>
          <w:u w:val="single"/>
        </w:rPr>
        <w:t>淄博市张店区人民西路天润新城南侧</w:t>
      </w:r>
    </w:p>
    <w:p>
      <w:pPr>
        <w:spacing w:line="560" w:lineRule="exact"/>
        <w:ind w:left="1079" w:leftChars="371" w:hanging="300" w:hangingChars="125"/>
        <w:jc w:val="left"/>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联系方式：</w:t>
      </w:r>
      <w:r>
        <w:rPr>
          <w:rFonts w:hint="eastAsia" w:asciiTheme="majorEastAsia" w:hAnsiTheme="majorEastAsia" w:eastAsiaTheme="majorEastAsia" w:cstheme="majorEastAsia"/>
          <w:sz w:val="24"/>
          <w:highlight w:val="none"/>
          <w:u w:val="single"/>
        </w:rPr>
        <w:t>0533-2229706</w:t>
      </w:r>
    </w:p>
    <w:p>
      <w:pPr>
        <w:pStyle w:val="4"/>
        <w:spacing w:line="560" w:lineRule="exact"/>
        <w:ind w:firstLine="720" w:firstLineChars="300"/>
        <w:jc w:val="left"/>
        <w:rPr>
          <w:rFonts w:asciiTheme="majorEastAsia" w:hAnsiTheme="majorEastAsia" w:eastAsiaTheme="majorEastAsia" w:cstheme="majorEastAsia"/>
          <w:b w:val="0"/>
          <w:sz w:val="24"/>
          <w:szCs w:val="24"/>
          <w:highlight w:val="none"/>
        </w:rPr>
      </w:pPr>
      <w:bookmarkStart w:id="84" w:name="_Toc35393638"/>
      <w:bookmarkStart w:id="85" w:name="_Toc24354"/>
      <w:bookmarkStart w:id="86" w:name="_Toc15885"/>
      <w:bookmarkStart w:id="87" w:name="_Toc35393807"/>
      <w:bookmarkStart w:id="88" w:name="_Toc28359097"/>
      <w:bookmarkStart w:id="89" w:name="_Toc28359020"/>
      <w:r>
        <w:rPr>
          <w:rFonts w:hint="eastAsia" w:asciiTheme="majorEastAsia" w:hAnsiTheme="majorEastAsia" w:eastAsiaTheme="majorEastAsia" w:cstheme="majorEastAsia"/>
          <w:b w:val="0"/>
          <w:sz w:val="24"/>
          <w:szCs w:val="24"/>
          <w:highlight w:val="none"/>
        </w:rPr>
        <w:t>2.采购代理机构信息</w:t>
      </w:r>
      <w:bookmarkEnd w:id="84"/>
      <w:bookmarkEnd w:id="85"/>
      <w:bookmarkEnd w:id="86"/>
      <w:bookmarkEnd w:id="87"/>
      <w:bookmarkEnd w:id="88"/>
      <w:bookmarkEnd w:id="89"/>
    </w:p>
    <w:p>
      <w:pPr>
        <w:spacing w:line="560" w:lineRule="exact"/>
        <w:ind w:firstLine="720" w:firstLineChars="300"/>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名    称：</w:t>
      </w:r>
      <w:r>
        <w:rPr>
          <w:rFonts w:hint="eastAsia" w:asciiTheme="majorEastAsia" w:hAnsiTheme="majorEastAsia" w:eastAsiaTheme="majorEastAsia" w:cstheme="majorEastAsia"/>
          <w:sz w:val="24"/>
          <w:highlight w:val="none"/>
          <w:u w:val="single"/>
        </w:rPr>
        <w:t>山东瀚广建设项目管理有限公司</w:t>
      </w:r>
    </w:p>
    <w:p>
      <w:pPr>
        <w:spacing w:line="560" w:lineRule="exact"/>
        <w:ind w:firstLine="720" w:firstLineChars="300"/>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地　　址：</w:t>
      </w:r>
      <w:r>
        <w:rPr>
          <w:rFonts w:hint="eastAsia" w:asciiTheme="majorEastAsia" w:hAnsiTheme="majorEastAsia" w:eastAsiaTheme="majorEastAsia" w:cstheme="majorEastAsia"/>
          <w:sz w:val="24"/>
          <w:highlight w:val="none"/>
          <w:u w:val="single"/>
        </w:rPr>
        <w:t>淄博高新区中润大道39号九宏大厦三楼</w:t>
      </w:r>
    </w:p>
    <w:p>
      <w:pPr>
        <w:spacing w:line="560" w:lineRule="exact"/>
        <w:ind w:firstLine="720" w:firstLineChars="300"/>
        <w:rPr>
          <w:rFonts w:asciiTheme="majorEastAsia" w:hAnsiTheme="majorEastAsia" w:eastAsiaTheme="majorEastAsia" w:cstheme="majorEastAsia"/>
          <w:sz w:val="24"/>
          <w:highlight w:val="none"/>
          <w:u w:val="single"/>
        </w:rPr>
      </w:pPr>
      <w:r>
        <w:rPr>
          <w:rFonts w:hint="eastAsia" w:asciiTheme="majorEastAsia" w:hAnsiTheme="majorEastAsia" w:eastAsiaTheme="majorEastAsia" w:cstheme="majorEastAsia"/>
          <w:sz w:val="24"/>
          <w:highlight w:val="none"/>
        </w:rPr>
        <w:t>联系方式：</w:t>
      </w:r>
      <w:r>
        <w:rPr>
          <w:rFonts w:hint="eastAsia" w:asciiTheme="majorEastAsia" w:hAnsiTheme="majorEastAsia" w:eastAsiaTheme="majorEastAsia" w:cstheme="majorEastAsia"/>
          <w:sz w:val="24"/>
          <w:highlight w:val="none"/>
          <w:u w:val="single"/>
        </w:rPr>
        <w:t>0533-3579588</w:t>
      </w:r>
    </w:p>
    <w:p>
      <w:pPr>
        <w:pStyle w:val="4"/>
        <w:spacing w:line="560" w:lineRule="exact"/>
        <w:ind w:firstLine="720" w:firstLineChars="300"/>
        <w:jc w:val="left"/>
        <w:rPr>
          <w:rFonts w:asciiTheme="majorEastAsia" w:hAnsiTheme="majorEastAsia" w:eastAsiaTheme="majorEastAsia" w:cstheme="majorEastAsia"/>
          <w:b w:val="0"/>
          <w:sz w:val="24"/>
          <w:szCs w:val="24"/>
          <w:highlight w:val="none"/>
        </w:rPr>
      </w:pPr>
      <w:bookmarkStart w:id="90" w:name="_Toc28359021"/>
      <w:bookmarkStart w:id="91" w:name="_Toc5651"/>
      <w:bookmarkStart w:id="92" w:name="_Toc35393639"/>
      <w:bookmarkStart w:id="93" w:name="_Toc35393808"/>
      <w:bookmarkStart w:id="94" w:name="_Toc13107"/>
      <w:bookmarkStart w:id="95" w:name="_Toc28359098"/>
      <w:r>
        <w:rPr>
          <w:rFonts w:hint="eastAsia" w:asciiTheme="majorEastAsia" w:hAnsiTheme="majorEastAsia" w:eastAsiaTheme="majorEastAsia" w:cstheme="majorEastAsia"/>
          <w:b w:val="0"/>
          <w:sz w:val="24"/>
          <w:szCs w:val="24"/>
          <w:highlight w:val="none"/>
        </w:rPr>
        <w:t>3.项目联系方式</w:t>
      </w:r>
      <w:bookmarkEnd w:id="90"/>
      <w:bookmarkEnd w:id="91"/>
      <w:bookmarkEnd w:id="92"/>
      <w:bookmarkEnd w:id="93"/>
      <w:bookmarkEnd w:id="94"/>
      <w:bookmarkEnd w:id="95"/>
    </w:p>
    <w:p>
      <w:pPr>
        <w:pStyle w:val="37"/>
        <w:spacing w:line="560" w:lineRule="exact"/>
        <w:ind w:firstLine="720" w:firstLineChars="300"/>
        <w:rPr>
          <w:rFonts w:asciiTheme="majorEastAsia" w:hAnsiTheme="majorEastAsia" w:eastAsiaTheme="majorEastAsia" w:cstheme="majorEastAsia"/>
          <w:sz w:val="24"/>
          <w:highlight w:val="none"/>
        </w:rPr>
      </w:pPr>
      <w:r>
        <w:rPr>
          <w:rFonts w:hint="eastAsia" w:asciiTheme="majorEastAsia" w:hAnsiTheme="majorEastAsia" w:eastAsiaTheme="majorEastAsia" w:cstheme="majorEastAsia"/>
          <w:sz w:val="24"/>
          <w:highlight w:val="none"/>
        </w:rPr>
        <w:t>项目联系人：</w:t>
      </w:r>
      <w:r>
        <w:rPr>
          <w:rFonts w:hint="eastAsia" w:asciiTheme="majorEastAsia" w:hAnsiTheme="majorEastAsia" w:eastAsiaTheme="majorEastAsia" w:cstheme="majorEastAsia"/>
          <w:sz w:val="24"/>
          <w:highlight w:val="none"/>
          <w:u w:val="single"/>
        </w:rPr>
        <w:t>陈康</w:t>
      </w:r>
    </w:p>
    <w:p>
      <w:pPr>
        <w:spacing w:line="560" w:lineRule="exact"/>
        <w:ind w:firstLine="720" w:firstLineChars="300"/>
        <w:rPr>
          <w:rFonts w:asciiTheme="majorEastAsia" w:hAnsiTheme="majorEastAsia" w:eastAsiaTheme="majorEastAsia" w:cstheme="majorEastAsia"/>
          <w:sz w:val="24"/>
          <w:highlight w:val="none"/>
          <w:u w:val="single"/>
        </w:rPr>
      </w:pPr>
      <w:r>
        <w:rPr>
          <w:rFonts w:hint="eastAsia" w:asciiTheme="majorEastAsia" w:hAnsiTheme="majorEastAsia" w:eastAsiaTheme="majorEastAsia" w:cstheme="majorEastAsia"/>
          <w:sz w:val="24"/>
          <w:highlight w:val="none"/>
        </w:rPr>
        <w:t>电　　 话：</w:t>
      </w:r>
      <w:r>
        <w:rPr>
          <w:rFonts w:hint="eastAsia" w:asciiTheme="majorEastAsia" w:hAnsiTheme="majorEastAsia" w:eastAsiaTheme="majorEastAsia" w:cstheme="majorEastAsia"/>
          <w:sz w:val="24"/>
          <w:highlight w:val="none"/>
          <w:u w:val="single"/>
        </w:rPr>
        <w:t>0533-3579588</w:t>
      </w:r>
    </w:p>
    <w:p>
      <w:pPr>
        <w:spacing w:line="560" w:lineRule="exact"/>
        <w:rPr>
          <w:rFonts w:ascii="宋体" w:hAnsi="宋体" w:cs="宋体"/>
          <w:i/>
          <w:szCs w:val="21"/>
          <w:highlight w:val="none"/>
        </w:rPr>
      </w:pPr>
    </w:p>
    <w:p>
      <w:pPr>
        <w:spacing w:line="560" w:lineRule="exact"/>
        <w:ind w:left="1041" w:leftChars="371" w:hanging="262" w:hangingChars="125"/>
        <w:jc w:val="left"/>
        <w:rPr>
          <w:rFonts w:ascii="宋体" w:hAnsi="宋体" w:cs="宋体"/>
          <w:i/>
          <w:szCs w:val="21"/>
          <w:highlight w:val="none"/>
        </w:rPr>
      </w:pPr>
    </w:p>
    <w:p>
      <w:pPr>
        <w:spacing w:line="560" w:lineRule="exact"/>
        <w:jc w:val="left"/>
        <w:rPr>
          <w:rFonts w:ascii="宋体" w:hAnsi="宋体" w:cs="宋体"/>
          <w:sz w:val="24"/>
          <w:highlight w:val="none"/>
        </w:rPr>
      </w:pPr>
    </w:p>
    <w:p>
      <w:pPr>
        <w:spacing w:line="560" w:lineRule="exact"/>
        <w:jc w:val="left"/>
        <w:rPr>
          <w:rFonts w:ascii="宋体" w:hAnsi="宋体" w:cs="宋体"/>
          <w:sz w:val="24"/>
          <w:highlight w:val="none"/>
        </w:rPr>
      </w:pPr>
    </w:p>
    <w:p>
      <w:pPr>
        <w:pStyle w:val="5"/>
        <w:rPr>
          <w:rFonts w:hAnsi="宋体" w:cs="宋体"/>
          <w:highlight w:val="none"/>
        </w:rPr>
      </w:pPr>
    </w:p>
    <w:p>
      <w:pPr>
        <w:rPr>
          <w:rFonts w:ascii="宋体" w:hAnsi="宋体" w:cs="宋体"/>
          <w:sz w:val="24"/>
          <w:highlight w:val="none"/>
        </w:rPr>
      </w:pPr>
    </w:p>
    <w:p>
      <w:pPr>
        <w:pStyle w:val="2"/>
        <w:rPr>
          <w:rFonts w:ascii="宋体" w:hAnsi="宋体" w:cs="宋体"/>
          <w:sz w:val="24"/>
          <w:highlight w:val="none"/>
        </w:rPr>
      </w:pPr>
    </w:p>
    <w:p>
      <w:pPr>
        <w:rPr>
          <w:rFonts w:ascii="宋体" w:hAnsi="宋体" w:cs="宋体"/>
          <w:sz w:val="24"/>
          <w:highlight w:val="none"/>
        </w:rPr>
      </w:pPr>
    </w:p>
    <w:p>
      <w:pPr>
        <w:pStyle w:val="2"/>
        <w:rPr>
          <w:rFonts w:ascii="宋体" w:hAnsi="宋体" w:cs="宋体"/>
          <w:sz w:val="24"/>
          <w:highlight w:val="none"/>
        </w:rPr>
      </w:pPr>
    </w:p>
    <w:p>
      <w:pPr>
        <w:rPr>
          <w:rFonts w:ascii="宋体" w:hAnsi="宋体" w:cs="宋体"/>
          <w:sz w:val="24"/>
          <w:highlight w:val="none"/>
        </w:rPr>
      </w:pPr>
    </w:p>
    <w:p>
      <w:pPr>
        <w:pStyle w:val="2"/>
        <w:rPr>
          <w:rFonts w:ascii="宋体" w:hAnsi="宋体" w:cs="宋体"/>
          <w:sz w:val="24"/>
          <w:highlight w:val="none"/>
        </w:rPr>
      </w:pPr>
    </w:p>
    <w:p>
      <w:pPr>
        <w:rPr>
          <w:rFonts w:ascii="宋体" w:hAnsi="宋体" w:cs="宋体"/>
          <w:sz w:val="24"/>
          <w:highlight w:val="none"/>
        </w:rPr>
      </w:pPr>
    </w:p>
    <w:p>
      <w:pPr>
        <w:pStyle w:val="2"/>
        <w:rPr>
          <w:rFonts w:ascii="宋体" w:hAnsi="宋体" w:cs="宋体"/>
          <w:sz w:val="24"/>
          <w:highlight w:val="none"/>
        </w:rPr>
      </w:pPr>
    </w:p>
    <w:p>
      <w:pPr>
        <w:rPr>
          <w:rFonts w:ascii="宋体" w:hAnsi="宋体" w:cs="宋体"/>
          <w:sz w:val="24"/>
          <w:highlight w:val="none"/>
        </w:rPr>
      </w:pPr>
    </w:p>
    <w:p>
      <w:pPr>
        <w:pStyle w:val="2"/>
        <w:rPr>
          <w:rFonts w:ascii="宋体" w:hAnsi="宋体" w:cs="宋体"/>
          <w:sz w:val="24"/>
          <w:highlight w:val="none"/>
        </w:rPr>
      </w:pPr>
    </w:p>
    <w:p>
      <w:pPr>
        <w:rPr>
          <w:rFonts w:ascii="宋体" w:hAnsi="宋体" w:cs="宋体"/>
          <w:sz w:val="24"/>
          <w:highlight w:val="none"/>
        </w:rPr>
      </w:pPr>
    </w:p>
    <w:p>
      <w:pPr>
        <w:pStyle w:val="2"/>
        <w:rPr>
          <w:rFonts w:ascii="宋体" w:hAnsi="宋体" w:cs="宋体"/>
          <w:sz w:val="24"/>
          <w:highlight w:val="none"/>
        </w:rPr>
      </w:pPr>
    </w:p>
    <w:p>
      <w:pPr>
        <w:rPr>
          <w:rFonts w:ascii="宋体" w:hAnsi="宋体" w:cs="宋体"/>
          <w:sz w:val="24"/>
          <w:highlight w:val="none"/>
        </w:rPr>
      </w:pPr>
    </w:p>
    <w:p>
      <w:pPr>
        <w:pStyle w:val="2"/>
        <w:rPr>
          <w:rFonts w:ascii="宋体" w:hAnsi="宋体" w:cs="宋体"/>
          <w:sz w:val="24"/>
          <w:highlight w:val="none"/>
        </w:rPr>
      </w:pPr>
    </w:p>
    <w:p>
      <w:pPr>
        <w:rPr>
          <w:rFonts w:ascii="宋体" w:hAnsi="宋体" w:cs="宋体"/>
          <w:sz w:val="24"/>
          <w:highlight w:val="none"/>
        </w:rPr>
      </w:pPr>
    </w:p>
    <w:p>
      <w:pPr>
        <w:pStyle w:val="2"/>
        <w:rPr>
          <w:rFonts w:ascii="宋体" w:hAnsi="宋体" w:cs="宋体"/>
          <w:sz w:val="24"/>
          <w:highlight w:val="none"/>
        </w:rPr>
      </w:pPr>
    </w:p>
    <w:p>
      <w:pPr>
        <w:rPr>
          <w:rFonts w:ascii="宋体" w:hAnsi="宋体" w:cs="宋体"/>
          <w:sz w:val="24"/>
          <w:highlight w:val="none"/>
        </w:rPr>
      </w:pPr>
    </w:p>
    <w:p>
      <w:pPr>
        <w:pStyle w:val="2"/>
        <w:rPr>
          <w:rFonts w:ascii="宋体" w:hAnsi="宋体" w:cs="宋体"/>
          <w:sz w:val="24"/>
          <w:highlight w:val="none"/>
        </w:rPr>
      </w:pPr>
    </w:p>
    <w:p>
      <w:pPr>
        <w:rPr>
          <w:rFonts w:ascii="宋体" w:hAnsi="宋体" w:cs="宋体"/>
          <w:sz w:val="24"/>
          <w:highlight w:val="none"/>
        </w:rPr>
      </w:pPr>
    </w:p>
    <w:p>
      <w:pPr>
        <w:pStyle w:val="2"/>
        <w:rPr>
          <w:highlight w:val="none"/>
        </w:rPr>
      </w:pPr>
    </w:p>
    <w:p>
      <w:pPr>
        <w:pStyle w:val="5"/>
        <w:rPr>
          <w:rFonts w:hAnsi="宋体" w:cs="宋体"/>
          <w:highlight w:val="none"/>
        </w:rPr>
      </w:pPr>
    </w:p>
    <w:p>
      <w:pPr>
        <w:rPr>
          <w:highlight w:val="none"/>
        </w:rPr>
      </w:pPr>
    </w:p>
    <w:p>
      <w:pPr>
        <w:spacing w:line="560" w:lineRule="exact"/>
        <w:rPr>
          <w:rFonts w:hAnsi="宋体" w:cs="宋体"/>
          <w:szCs w:val="32"/>
          <w:highlight w:val="none"/>
        </w:rPr>
      </w:pPr>
    </w:p>
    <w:p>
      <w:pPr>
        <w:pStyle w:val="3"/>
        <w:tabs>
          <w:tab w:val="left" w:pos="0"/>
        </w:tabs>
        <w:spacing w:before="0" w:after="0" w:line="560" w:lineRule="exact"/>
        <w:rPr>
          <w:rFonts w:hAnsi="宋体" w:cs="宋体"/>
          <w:highlight w:val="none"/>
        </w:rPr>
      </w:pPr>
      <w:bookmarkStart w:id="96" w:name="_Toc7473"/>
      <w:r>
        <w:rPr>
          <w:rFonts w:hint="eastAsia" w:hAnsi="宋体" w:cs="宋体"/>
          <w:highlight w:val="none"/>
        </w:rPr>
        <w:t>第二章</w:t>
      </w:r>
      <w:bookmarkStart w:id="97" w:name="_Toc10488"/>
      <w:bookmarkStart w:id="98" w:name="_Toc4766814"/>
      <w:bookmarkStart w:id="99" w:name="_Toc507399903"/>
      <w:bookmarkStart w:id="100" w:name="_Toc515647830"/>
      <w:bookmarkStart w:id="101" w:name="_Toc216582823"/>
      <w:bookmarkStart w:id="102" w:name="_Toc31583"/>
      <w:r>
        <w:rPr>
          <w:rFonts w:hint="eastAsia" w:hAnsi="宋体" w:cs="宋体"/>
          <w:highlight w:val="none"/>
        </w:rPr>
        <w:t xml:space="preserve">  供应商须知</w:t>
      </w:r>
      <w:bookmarkEnd w:id="96"/>
      <w:bookmarkEnd w:id="97"/>
      <w:bookmarkEnd w:id="98"/>
      <w:bookmarkEnd w:id="99"/>
      <w:bookmarkEnd w:id="100"/>
      <w:bookmarkEnd w:id="101"/>
      <w:bookmarkEnd w:id="102"/>
    </w:p>
    <w:tbl>
      <w:tblPr>
        <w:tblStyle w:val="23"/>
        <w:tblW w:w="938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021"/>
        <w:gridCol w:w="836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9384" w:type="dxa"/>
            <w:gridSpan w:val="2"/>
            <w:tcBorders>
              <w:top w:val="single" w:color="auto" w:sz="12" w:space="0"/>
              <w:left w:val="single" w:color="auto" w:sz="12" w:space="0"/>
              <w:bottom w:val="single" w:color="auto" w:sz="6" w:space="0"/>
              <w:right w:val="single" w:color="auto" w:sz="12" w:space="0"/>
            </w:tcBorders>
            <w:vAlign w:val="center"/>
          </w:tcPr>
          <w:p>
            <w:pPr>
              <w:spacing w:line="560" w:lineRule="exact"/>
              <w:ind w:left="1080" w:leftChars="257" w:hanging="540"/>
              <w:jc w:val="center"/>
              <w:rPr>
                <w:rFonts w:asciiTheme="minorEastAsia" w:hAnsiTheme="minorEastAsia" w:eastAsiaTheme="minorEastAsia" w:cstheme="minorEastAsia"/>
                <w:sz w:val="24"/>
                <w:highlight w:val="none"/>
              </w:rPr>
            </w:pPr>
            <w:r>
              <w:rPr>
                <w:rFonts w:hint="eastAsia" w:ascii="宋体" w:hAnsi="宋体" w:cs="宋体"/>
                <w:b/>
                <w:sz w:val="24"/>
                <w:highlight w:val="none"/>
              </w:rPr>
              <w:t>供应商须知资料表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12"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条款号</w:t>
            </w:r>
          </w:p>
        </w:tc>
        <w:tc>
          <w:tcPr>
            <w:tcW w:w="8363" w:type="dxa"/>
            <w:tcBorders>
              <w:top w:val="single" w:color="auto" w:sz="12" w:space="0"/>
              <w:left w:val="single" w:color="auto" w:sz="6" w:space="0"/>
              <w:bottom w:val="single" w:color="auto" w:sz="6" w:space="0"/>
              <w:right w:val="single" w:color="auto" w:sz="12" w:space="0"/>
            </w:tcBorders>
            <w:vAlign w:val="center"/>
          </w:tcPr>
          <w:p>
            <w:pPr>
              <w:spacing w:line="560" w:lineRule="exact"/>
              <w:ind w:left="1080" w:leftChars="257" w:hanging="54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1.1</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宋体" w:hAnsi="宋体"/>
                <w:sz w:val="24"/>
                <w:highlight w:val="none"/>
                <w:u w:val="single"/>
              </w:rPr>
            </w:pPr>
            <w:r>
              <w:rPr>
                <w:rFonts w:hint="eastAsia" w:ascii="宋体" w:hAnsi="宋体"/>
                <w:sz w:val="24"/>
                <w:highlight w:val="none"/>
              </w:rPr>
              <w:t>采购人：淄博稷下实验学校</w:t>
            </w:r>
          </w:p>
          <w:p>
            <w:pPr>
              <w:spacing w:line="560" w:lineRule="exact"/>
              <w:rPr>
                <w:rFonts w:ascii="宋体" w:hAnsi="宋体"/>
                <w:sz w:val="24"/>
                <w:highlight w:val="none"/>
              </w:rPr>
            </w:pPr>
            <w:r>
              <w:rPr>
                <w:rFonts w:hint="eastAsia" w:ascii="宋体" w:hAnsi="宋体"/>
                <w:sz w:val="24"/>
                <w:highlight w:val="none"/>
              </w:rPr>
              <w:t>地  址：淄博市张店区人民西路天润新城南侧</w:t>
            </w:r>
          </w:p>
          <w:p>
            <w:pPr>
              <w:pStyle w:val="38"/>
              <w:spacing w:line="560" w:lineRule="exact"/>
              <w:ind w:firstLine="0" w:firstLineChars="0"/>
              <w:rPr>
                <w:rFonts w:asciiTheme="minorEastAsia" w:hAnsiTheme="minorEastAsia" w:cstheme="minorEastAsia"/>
                <w:highlight w:val="none"/>
              </w:rPr>
            </w:pPr>
            <w:r>
              <w:rPr>
                <w:rFonts w:hint="eastAsia" w:ascii="宋体" w:hAnsi="宋体"/>
                <w:highlight w:val="none"/>
              </w:rPr>
              <w:t>电  话：0533-2229706</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1.2</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宋体" w:hAnsi="宋体"/>
                <w:sz w:val="24"/>
                <w:highlight w:val="none"/>
                <w:u w:val="single"/>
              </w:rPr>
            </w:pPr>
            <w:r>
              <w:rPr>
                <w:rFonts w:hint="eastAsia" w:ascii="宋体" w:hAnsi="宋体"/>
                <w:sz w:val="24"/>
                <w:highlight w:val="none"/>
              </w:rPr>
              <w:t>采购代理机构：山东瀚广建设项目管理有限公司</w:t>
            </w:r>
          </w:p>
          <w:p>
            <w:pPr>
              <w:spacing w:line="560" w:lineRule="exact"/>
              <w:rPr>
                <w:rFonts w:ascii="宋体" w:hAnsi="宋体"/>
                <w:sz w:val="24"/>
                <w:highlight w:val="none"/>
                <w:u w:val="single"/>
              </w:rPr>
            </w:pPr>
            <w:r>
              <w:rPr>
                <w:rFonts w:hint="eastAsia" w:ascii="宋体" w:hAnsi="宋体"/>
                <w:sz w:val="24"/>
                <w:highlight w:val="none"/>
              </w:rPr>
              <w:t>地址：淄博高新区中润大道39号九宏大厦三楼</w:t>
            </w:r>
          </w:p>
          <w:p>
            <w:pPr>
              <w:spacing w:line="560" w:lineRule="exact"/>
              <w:rPr>
                <w:rFonts w:asciiTheme="minorEastAsia" w:hAnsiTheme="minorEastAsia" w:eastAsiaTheme="minorEastAsia" w:cstheme="minorEastAsia"/>
                <w:sz w:val="24"/>
                <w:highlight w:val="none"/>
              </w:rPr>
            </w:pPr>
            <w:r>
              <w:rPr>
                <w:rFonts w:hint="eastAsia" w:ascii="宋体" w:hAnsi="宋体"/>
                <w:sz w:val="24"/>
                <w:highlight w:val="none"/>
              </w:rPr>
              <w:t>业务联系人：</w:t>
            </w:r>
            <w:r>
              <w:rPr>
                <w:rFonts w:hint="eastAsia" w:ascii="宋体" w:hAnsi="宋体"/>
                <w:sz w:val="24"/>
                <w:highlight w:val="none"/>
                <w:u w:val="single"/>
              </w:rPr>
              <w:t>陈康</w:t>
            </w:r>
            <w:r>
              <w:rPr>
                <w:rFonts w:hint="eastAsia" w:ascii="宋体" w:hAnsi="宋体"/>
                <w:sz w:val="24"/>
                <w:highlight w:val="none"/>
              </w:rPr>
              <w:t xml:space="preserve">  电话：</w:t>
            </w:r>
            <w:r>
              <w:rPr>
                <w:rFonts w:hint="eastAsia" w:ascii="宋体" w:hAnsi="宋体"/>
                <w:sz w:val="24"/>
                <w:highlight w:val="none"/>
                <w:u w:val="single"/>
              </w:rPr>
              <w:t>0533-3579588</w:t>
            </w:r>
            <w:r>
              <w:rPr>
                <w:rFonts w:hint="eastAsia" w:ascii="宋体" w:hAnsi="宋体"/>
                <w:sz w:val="24"/>
                <w:highlight w:val="none"/>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1.3.4</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合格供应商的特定资格要求：（1）具备加载有统一社会信用代码的《营业执照》或其他组织有效证件；（2）参加政府采购活动近三年内无行贿犯罪记录、重大税收违法记录；（3）符合《中华人民共和国政府采购法》第二十二条规定且应为未被列入信用中国网站(www.creditchina.gov.cn)、中国政府采购网(www.ccgp.gov.cn)渠道信用记录失信被执行人、重大税收违法案件当事人名单、政府采购严重违法失信行为记录名单的供应商；（4）本项目不接受联合体报价。</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1.3.5</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是否为专门面向中小企业采购：（</w:t>
            </w:r>
            <w:r>
              <w:rPr>
                <w:rFonts w:hint="eastAsia" w:ascii="宋体" w:hAnsi="宋体"/>
                <w:sz w:val="24"/>
                <w:highlight w:val="none"/>
              </w:rPr>
              <w:t xml:space="preserve">是 </w:t>
            </w:r>
            <w:r>
              <w:rPr>
                <w:rFonts w:hint="eastAsia" w:ascii="仿宋_GB2312" w:hAnsi="仿宋_GB2312" w:eastAsia="仿宋_GB2312" w:cs="仿宋_GB2312"/>
                <w:bCs/>
                <w:sz w:val="24"/>
                <w:highlight w:val="none"/>
              </w:rPr>
              <w:t>☑</w:t>
            </w:r>
            <w:r>
              <w:rPr>
                <w:rFonts w:hint="eastAsia" w:ascii="宋体" w:hAnsi="宋体"/>
                <w:sz w:val="24"/>
                <w:highlight w:val="none"/>
              </w:rPr>
              <w:t xml:space="preserve">  否 </w:t>
            </w:r>
            <w:r>
              <w:rPr>
                <w:rFonts w:hint="eastAsia" w:ascii="仿宋_GB2312" w:hAnsi="仿宋_GB2312" w:eastAsia="仿宋_GB2312" w:cs="仿宋_GB2312"/>
                <w:bCs/>
                <w:sz w:val="24"/>
                <w:highlight w:val="none"/>
              </w:rPr>
              <w:t>□</w:t>
            </w:r>
            <w:r>
              <w:rPr>
                <w:rFonts w:hint="eastAsia" w:ascii="宋体" w:hAnsi="宋体"/>
                <w:sz w:val="24"/>
                <w:highlight w:val="none"/>
              </w:rPr>
              <w:t xml:space="preserve"> </w:t>
            </w:r>
            <w:r>
              <w:rPr>
                <w:rFonts w:hint="eastAsia" w:asciiTheme="minorEastAsia" w:hAnsiTheme="minorEastAsia" w:eastAsiaTheme="minorEastAsia" w:cstheme="minorEastAsia"/>
                <w:sz w:val="24"/>
                <w:highlight w:val="none"/>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宋体" w:hAnsi="宋体"/>
                <w:sz w:val="24"/>
                <w:highlight w:val="none"/>
              </w:rPr>
              <w:t>1.3.6</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hint="eastAsia" w:eastAsia="宋体" w:asciiTheme="minorEastAsia" w:hAnsiTheme="minorEastAsia" w:cstheme="minorEastAsia"/>
                <w:sz w:val="24"/>
                <w:highlight w:val="none"/>
                <w:lang w:eastAsia="zh-CN"/>
              </w:rPr>
            </w:pPr>
            <w:r>
              <w:rPr>
                <w:rFonts w:hint="eastAsia" w:ascii="宋体" w:hAnsi="宋体"/>
                <w:sz w:val="24"/>
                <w:highlight w:val="none"/>
              </w:rPr>
              <w:t>采购标的所属行业：</w:t>
            </w:r>
            <w:r>
              <w:rPr>
                <w:rFonts w:hint="eastAsia" w:ascii="宋体" w:hAnsi="宋体"/>
                <w:sz w:val="24"/>
                <w:highlight w:val="none"/>
                <w:lang w:eastAsia="zh-CN"/>
              </w:rPr>
              <w:t>其他未列明行业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1.3.7</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是否允许采购进口产品：（</w:t>
            </w:r>
            <w:r>
              <w:rPr>
                <w:rFonts w:hint="eastAsia" w:ascii="宋体" w:hAnsi="宋体"/>
                <w:sz w:val="24"/>
                <w:highlight w:val="none"/>
              </w:rPr>
              <w:t xml:space="preserve">是 </w:t>
            </w:r>
            <w:r>
              <w:rPr>
                <w:rFonts w:hint="eastAsia" w:ascii="仿宋_GB2312" w:hAnsi="仿宋_GB2312" w:eastAsia="仿宋_GB2312" w:cs="仿宋_GB2312"/>
                <w:bCs/>
                <w:sz w:val="24"/>
                <w:highlight w:val="none"/>
              </w:rPr>
              <w:t>□</w:t>
            </w:r>
            <w:r>
              <w:rPr>
                <w:rFonts w:hint="eastAsia" w:ascii="宋体" w:hAnsi="宋体"/>
                <w:sz w:val="24"/>
                <w:highlight w:val="none"/>
              </w:rPr>
              <w:t xml:space="preserve">  否 </w:t>
            </w:r>
            <w:r>
              <w:rPr>
                <w:rFonts w:hint="eastAsia" w:ascii="仿宋_GB2312" w:hAnsi="仿宋_GB2312" w:eastAsia="仿宋_GB2312" w:cs="仿宋_GB2312"/>
                <w:bCs/>
                <w:sz w:val="24"/>
                <w:highlight w:val="none"/>
              </w:rPr>
              <w:t>☑</w:t>
            </w:r>
            <w:r>
              <w:rPr>
                <w:rFonts w:hint="eastAsia" w:ascii="宋体" w:hAnsi="宋体"/>
                <w:sz w:val="24"/>
                <w:highlight w:val="none"/>
              </w:rPr>
              <w:t xml:space="preserve"> </w:t>
            </w:r>
            <w:r>
              <w:rPr>
                <w:rFonts w:hint="eastAsia" w:asciiTheme="minorEastAsia" w:hAnsiTheme="minorEastAsia" w:eastAsiaTheme="minorEastAsia" w:cstheme="minorEastAsia"/>
                <w:sz w:val="24"/>
                <w:highlight w:val="none"/>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1.4</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是否允许联合体响应：（</w:t>
            </w:r>
            <w:r>
              <w:rPr>
                <w:rFonts w:hint="eastAsia" w:ascii="宋体" w:hAnsi="宋体"/>
                <w:sz w:val="24"/>
                <w:highlight w:val="none"/>
              </w:rPr>
              <w:t xml:space="preserve">是 </w:t>
            </w:r>
            <w:r>
              <w:rPr>
                <w:rFonts w:hint="eastAsia" w:ascii="仿宋_GB2312" w:hAnsi="仿宋_GB2312" w:eastAsia="仿宋_GB2312" w:cs="仿宋_GB2312"/>
                <w:bCs/>
                <w:sz w:val="24"/>
                <w:highlight w:val="none"/>
              </w:rPr>
              <w:t>□</w:t>
            </w:r>
            <w:r>
              <w:rPr>
                <w:rFonts w:hint="eastAsia" w:ascii="宋体" w:hAnsi="宋体"/>
                <w:sz w:val="24"/>
                <w:highlight w:val="none"/>
              </w:rPr>
              <w:t xml:space="preserve">  否 </w:t>
            </w:r>
            <w:r>
              <w:rPr>
                <w:rFonts w:hint="eastAsia" w:ascii="仿宋_GB2312" w:hAnsi="仿宋_GB2312" w:eastAsia="仿宋_GB2312" w:cs="仿宋_GB2312"/>
                <w:bCs/>
                <w:sz w:val="24"/>
                <w:highlight w:val="none"/>
              </w:rPr>
              <w:t>☑</w:t>
            </w:r>
            <w:r>
              <w:rPr>
                <w:rFonts w:hint="eastAsia" w:ascii="宋体" w:hAnsi="宋体"/>
                <w:sz w:val="24"/>
                <w:highlight w:val="none"/>
              </w:rPr>
              <w:t xml:space="preserve"> </w:t>
            </w:r>
            <w:r>
              <w:rPr>
                <w:rFonts w:hint="eastAsia" w:asciiTheme="minorEastAsia" w:hAnsiTheme="minorEastAsia" w:eastAsiaTheme="minorEastAsia" w:cstheme="minorEastAsia"/>
                <w:sz w:val="24"/>
                <w:highlight w:val="none"/>
              </w:rPr>
              <w:t xml:space="preserve">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1.4.7</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联合体的其他资格要求：无</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2.2</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宋体" w:hAnsi="宋体" w:eastAsia="仿宋_GB2312"/>
                <w:sz w:val="24"/>
                <w:highlight w:val="none"/>
                <w:u w:val="single"/>
              </w:rPr>
            </w:pPr>
            <w:r>
              <w:rPr>
                <w:rFonts w:hint="eastAsia" w:ascii="宋体" w:hAnsi="宋体"/>
                <w:sz w:val="24"/>
                <w:highlight w:val="none"/>
              </w:rPr>
              <w:t xml:space="preserve">是否有分包：是 </w:t>
            </w:r>
            <w:r>
              <w:rPr>
                <w:rFonts w:hint="eastAsia" w:ascii="仿宋_GB2312" w:hAnsi="仿宋_GB2312" w:eastAsia="仿宋_GB2312" w:cs="仿宋_GB2312"/>
                <w:bCs/>
                <w:sz w:val="24"/>
                <w:highlight w:val="none"/>
              </w:rPr>
              <w:t>□</w:t>
            </w:r>
            <w:r>
              <w:rPr>
                <w:rFonts w:hint="eastAsia" w:ascii="宋体" w:hAnsi="宋体"/>
                <w:sz w:val="24"/>
                <w:highlight w:val="none"/>
              </w:rPr>
              <w:t xml:space="preserve">  否 </w:t>
            </w:r>
            <w:r>
              <w:rPr>
                <w:rFonts w:hint="eastAsia" w:ascii="仿宋_GB2312" w:hAnsi="仿宋_GB2312" w:eastAsia="仿宋_GB2312" w:cs="仿宋_GB2312"/>
                <w:bCs/>
                <w:sz w:val="24"/>
                <w:highlight w:val="none"/>
              </w:rPr>
              <w:t>☑</w:t>
            </w:r>
          </w:p>
          <w:p>
            <w:pPr>
              <w:spacing w:line="560" w:lineRule="exact"/>
              <w:rPr>
                <w:rFonts w:ascii="宋体" w:hAnsi="宋体"/>
                <w:sz w:val="24"/>
                <w:highlight w:val="none"/>
              </w:rPr>
            </w:pPr>
            <w:r>
              <w:rPr>
                <w:rFonts w:hint="eastAsia" w:ascii="宋体" w:hAnsi="宋体"/>
                <w:sz w:val="24"/>
                <w:highlight w:val="none"/>
              </w:rPr>
              <w:t>本项目（本包）预算额382.9431万元</w:t>
            </w:r>
          </w:p>
          <w:p>
            <w:pPr>
              <w:spacing w:line="560" w:lineRule="exact"/>
              <w:rPr>
                <w:rFonts w:ascii="宋体" w:hAnsi="宋体"/>
                <w:sz w:val="24"/>
                <w:highlight w:val="none"/>
              </w:rPr>
            </w:pPr>
            <w:r>
              <w:rPr>
                <w:rFonts w:ascii="宋体" w:hAnsi="宋体"/>
                <w:sz w:val="24"/>
                <w:highlight w:val="none"/>
              </w:rPr>
              <w:t>本项目预算属于以下情形：</w:t>
            </w:r>
          </w:p>
          <w:p>
            <w:pPr>
              <w:spacing w:line="560" w:lineRule="exact"/>
              <w:rPr>
                <w:rFonts w:ascii="宋体" w:hAnsi="宋体" w:eastAsia="仿宋_GB2312"/>
                <w:sz w:val="24"/>
                <w:highlight w:val="none"/>
              </w:rPr>
            </w:pPr>
            <w:r>
              <w:rPr>
                <w:rFonts w:ascii="宋体" w:hAnsi="宋体"/>
                <w:sz w:val="24"/>
                <w:highlight w:val="none"/>
              </w:rPr>
              <w:t>(1)项目为非预采购项目</w:t>
            </w:r>
            <w:r>
              <w:rPr>
                <w:rFonts w:hint="eastAsia" w:ascii="仿宋_GB2312" w:hAnsi="仿宋_GB2312" w:eastAsia="仿宋_GB2312" w:cs="仿宋_GB2312"/>
                <w:bCs/>
                <w:sz w:val="24"/>
                <w:highlight w:val="none"/>
              </w:rPr>
              <w:t>□</w:t>
            </w:r>
            <w:r>
              <w:rPr>
                <w:rFonts w:hint="eastAsia" w:ascii="宋体" w:hAnsi="宋体"/>
                <w:sz w:val="24"/>
                <w:highlight w:val="none"/>
              </w:rPr>
              <w:t xml:space="preserve">  </w:t>
            </w:r>
            <w:r>
              <w:rPr>
                <w:rFonts w:ascii="宋体" w:hAnsi="宋体"/>
                <w:sz w:val="24"/>
                <w:highlight w:val="none"/>
              </w:rPr>
              <w:t>预采购项目</w:t>
            </w:r>
            <w:r>
              <w:rPr>
                <w:rFonts w:hint="eastAsia" w:ascii="仿宋_GB2312" w:hAnsi="仿宋_GB2312" w:eastAsia="仿宋_GB2312" w:cs="仿宋_GB2312"/>
                <w:bCs/>
                <w:sz w:val="24"/>
                <w:highlight w:val="none"/>
              </w:rPr>
              <w:t>☑</w:t>
            </w:r>
          </w:p>
          <w:p>
            <w:pPr>
              <w:spacing w:line="560" w:lineRule="exact"/>
              <w:rPr>
                <w:rFonts w:ascii="宋体" w:hAnsi="宋体" w:eastAsiaTheme="minorEastAsia"/>
                <w:sz w:val="24"/>
                <w:highlight w:val="none"/>
              </w:rPr>
            </w:pPr>
            <w:r>
              <w:rPr>
                <w:rFonts w:ascii="宋体" w:hAnsi="宋体"/>
                <w:sz w:val="24"/>
                <w:highlight w:val="none"/>
              </w:rPr>
              <w:t>(</w:t>
            </w:r>
            <w:r>
              <w:rPr>
                <w:rFonts w:hint="eastAsia" w:ascii="宋体" w:hAnsi="宋体"/>
                <w:sz w:val="24"/>
                <w:highlight w:val="none"/>
              </w:rPr>
              <w:t>2</w:t>
            </w:r>
            <w:r>
              <w:rPr>
                <w:rFonts w:ascii="宋体" w:hAnsi="宋体"/>
                <w:sz w:val="24"/>
                <w:highlight w:val="none"/>
              </w:rPr>
              <w:t xml:space="preserve">)项目为跨年度预采购项目，概算总金额      </w:t>
            </w:r>
            <w:r>
              <w:rPr>
                <w:rFonts w:hint="eastAsia" w:ascii="宋体" w:hAnsi="宋体"/>
                <w:sz w:val="24"/>
                <w:highlight w:val="none"/>
              </w:rPr>
              <w:t>万</w:t>
            </w:r>
            <w:r>
              <w:rPr>
                <w:rFonts w:ascii="宋体" w:hAnsi="宋体"/>
                <w:sz w:val="24"/>
                <w:highlight w:val="none"/>
              </w:rPr>
              <w:t>元，采购年限为</w:t>
            </w:r>
            <w:r>
              <w:rPr>
                <w:rFonts w:hint="eastAsia" w:ascii="宋体" w:hAnsi="宋体"/>
                <w:sz w:val="24"/>
                <w:highlight w:val="none"/>
              </w:rPr>
              <w:t xml:space="preserve">   </w:t>
            </w:r>
            <w:r>
              <w:rPr>
                <w:rFonts w:ascii="宋体" w:hAnsi="宋体"/>
                <w:sz w:val="24"/>
                <w:highlight w:val="none"/>
              </w:rPr>
              <w:t xml:space="preserve">    年，当年安排数      </w:t>
            </w:r>
            <w:r>
              <w:rPr>
                <w:rFonts w:hint="eastAsia" w:ascii="宋体" w:hAnsi="宋体"/>
                <w:sz w:val="24"/>
                <w:highlight w:val="none"/>
              </w:rPr>
              <w:t>万</w:t>
            </w:r>
            <w:r>
              <w:rPr>
                <w:rFonts w:ascii="宋体" w:hAnsi="宋体"/>
                <w:sz w:val="24"/>
                <w:highlight w:val="none"/>
              </w:rPr>
              <w:t>元</w:t>
            </w:r>
            <w:r>
              <w:rPr>
                <w:rFonts w:hint="eastAsia" w:ascii="宋体" w:hAnsi="宋体"/>
                <w:sz w:val="24"/>
                <w:highlight w:val="none"/>
              </w:rPr>
              <w:t>。</w:t>
            </w:r>
          </w:p>
          <w:p>
            <w:pPr>
              <w:spacing w:line="560" w:lineRule="exact"/>
              <w:jc w:val="left"/>
              <w:rPr>
                <w:rFonts w:asciiTheme="minorEastAsia" w:hAnsiTheme="minorEastAsia" w:eastAsiaTheme="minorEastAsia" w:cstheme="minorEastAsia"/>
                <w:sz w:val="24"/>
                <w:highlight w:val="none"/>
              </w:rPr>
            </w:pPr>
            <w:r>
              <w:rPr>
                <w:rFonts w:hint="eastAsia" w:ascii="宋体" w:hAnsi="宋体"/>
                <w:sz w:val="24"/>
                <w:highlight w:val="none"/>
              </w:rPr>
              <w:t>根据《转发财政部关于做好政府采购信息公开工作的通知》（鲁财采</w:t>
            </w:r>
            <w:r>
              <w:rPr>
                <w:rFonts w:hint="eastAsia" w:ascii="宋体" w:hAnsi="宋体" w:cs="宋体"/>
                <w:bCs/>
                <w:sz w:val="24"/>
                <w:highlight w:val="none"/>
              </w:rPr>
              <w:t>﹝2015﹞</w:t>
            </w:r>
            <w:r>
              <w:rPr>
                <w:rFonts w:ascii="宋体" w:hAnsi="宋体"/>
                <w:sz w:val="24"/>
                <w:highlight w:val="none"/>
              </w:rPr>
              <w:t>33号）文件规定，预采购项目有取消和终止采购的可能。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5.6</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是否现场踏勘：（</w:t>
            </w:r>
            <w:r>
              <w:rPr>
                <w:rFonts w:hint="eastAsia" w:ascii="宋体" w:hAnsi="宋体"/>
                <w:sz w:val="24"/>
                <w:highlight w:val="none"/>
              </w:rPr>
              <w:t xml:space="preserve">是 </w:t>
            </w:r>
            <w:r>
              <w:rPr>
                <w:rFonts w:hint="eastAsia" w:ascii="仿宋_GB2312" w:hAnsi="仿宋_GB2312" w:eastAsia="仿宋_GB2312" w:cs="仿宋_GB2312"/>
                <w:bCs/>
                <w:sz w:val="24"/>
                <w:highlight w:val="none"/>
              </w:rPr>
              <w:t>□</w:t>
            </w:r>
            <w:r>
              <w:rPr>
                <w:rFonts w:hint="eastAsia" w:ascii="宋体" w:hAnsi="宋体"/>
                <w:sz w:val="24"/>
                <w:highlight w:val="none"/>
              </w:rPr>
              <w:t xml:space="preserve">  否 </w:t>
            </w:r>
            <w:r>
              <w:rPr>
                <w:rFonts w:hint="eastAsia" w:ascii="仿宋_GB2312" w:hAnsi="仿宋_GB2312" w:eastAsia="仿宋_GB2312" w:cs="仿宋_GB2312"/>
                <w:bCs/>
                <w:sz w:val="24"/>
                <w:highlight w:val="none"/>
              </w:rPr>
              <w:t>☑</w:t>
            </w:r>
            <w:r>
              <w:rPr>
                <w:rFonts w:hint="eastAsia" w:ascii="宋体" w:hAnsi="宋体"/>
                <w:sz w:val="24"/>
                <w:highlight w:val="none"/>
              </w:rPr>
              <w:t xml:space="preserve"> </w:t>
            </w:r>
            <w:r>
              <w:rPr>
                <w:rFonts w:hint="eastAsia" w:asciiTheme="minorEastAsia" w:hAnsiTheme="minorEastAsia" w:eastAsiaTheme="minorEastAsia" w:cstheme="minorEastAsia"/>
                <w:sz w:val="24"/>
                <w:highlight w:val="none"/>
              </w:rPr>
              <w:t xml:space="preserve"> ）</w:t>
            </w:r>
          </w:p>
          <w:p>
            <w:pPr>
              <w:spacing w:line="560" w:lineRule="exact"/>
              <w:ind w:right="311" w:rightChars="148"/>
              <w:jc w:val="left"/>
              <w:rPr>
                <w:rFonts w:eastAsia="仿宋_GB2312" w:asciiTheme="minorEastAsia" w:hAnsiTheme="minorEastAsia" w:cstheme="minorEastAsia"/>
                <w:sz w:val="24"/>
                <w:highlight w:val="none"/>
              </w:rPr>
            </w:pPr>
            <w:r>
              <w:rPr>
                <w:rFonts w:hint="eastAsia" w:asciiTheme="minorEastAsia" w:hAnsiTheme="minorEastAsia" w:eastAsiaTheme="minorEastAsia" w:cstheme="minorEastAsia"/>
                <w:sz w:val="24"/>
                <w:highlight w:val="none"/>
              </w:rPr>
              <w:t>现场踏勘描述：统一现场考察</w:t>
            </w:r>
            <w:r>
              <w:rPr>
                <w:rFonts w:hint="eastAsia" w:ascii="仿宋_GB2312" w:hAnsi="仿宋_GB2312" w:eastAsia="仿宋_GB2312" w:cs="仿宋_GB2312"/>
                <w:bCs/>
                <w:sz w:val="24"/>
                <w:highlight w:val="none"/>
              </w:rPr>
              <w:t>□</w:t>
            </w:r>
            <w:r>
              <w:rPr>
                <w:rFonts w:hint="eastAsia" w:asciiTheme="minorEastAsia" w:hAnsiTheme="minorEastAsia" w:eastAsiaTheme="minorEastAsia" w:cstheme="minorEastAsia"/>
                <w:sz w:val="24"/>
                <w:highlight w:val="none"/>
              </w:rPr>
              <w:t xml:space="preserve">    自行踏勘</w:t>
            </w:r>
            <w:r>
              <w:rPr>
                <w:rFonts w:hint="eastAsia" w:ascii="仿宋_GB2312" w:hAnsi="仿宋_GB2312" w:eastAsia="仿宋_GB2312" w:cs="仿宋_GB2312"/>
                <w:bCs/>
                <w:sz w:val="24"/>
                <w:highlight w:val="none"/>
              </w:rPr>
              <w:t>☑</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现场踏勘时间：    年   月   日至    年   月   日</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踏勘地点：</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联系人：   联系电话：</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是否答疑会：（</w:t>
            </w:r>
            <w:r>
              <w:rPr>
                <w:rFonts w:hint="eastAsia" w:ascii="宋体" w:hAnsi="宋体"/>
                <w:sz w:val="24"/>
                <w:highlight w:val="none"/>
              </w:rPr>
              <w:t xml:space="preserve">是 </w:t>
            </w:r>
            <w:r>
              <w:rPr>
                <w:rFonts w:hint="eastAsia" w:ascii="仿宋_GB2312" w:hAnsi="仿宋_GB2312" w:eastAsia="仿宋_GB2312" w:cs="仿宋_GB2312"/>
                <w:bCs/>
                <w:sz w:val="24"/>
                <w:highlight w:val="none"/>
              </w:rPr>
              <w:t>□</w:t>
            </w:r>
            <w:r>
              <w:rPr>
                <w:rFonts w:hint="eastAsia" w:ascii="宋体" w:hAnsi="宋体"/>
                <w:sz w:val="24"/>
                <w:highlight w:val="none"/>
              </w:rPr>
              <w:t xml:space="preserve">  否 </w:t>
            </w:r>
            <w:r>
              <w:rPr>
                <w:rFonts w:hint="eastAsia" w:ascii="仿宋_GB2312" w:hAnsi="仿宋_GB2312" w:eastAsia="仿宋_GB2312" w:cs="仿宋_GB2312"/>
                <w:bCs/>
                <w:sz w:val="24"/>
                <w:highlight w:val="none"/>
              </w:rPr>
              <w:t>□</w:t>
            </w:r>
            <w:r>
              <w:rPr>
                <w:rFonts w:hint="eastAsia" w:ascii="宋体" w:hAnsi="宋体"/>
                <w:sz w:val="24"/>
                <w:highlight w:val="none"/>
              </w:rPr>
              <w:t xml:space="preserve"> </w:t>
            </w:r>
            <w:r>
              <w:rPr>
                <w:rFonts w:hint="eastAsia" w:asciiTheme="minorEastAsia" w:hAnsiTheme="minorEastAsia" w:eastAsiaTheme="minorEastAsia" w:cstheme="minorEastAsia"/>
                <w:sz w:val="24"/>
                <w:highlight w:val="none"/>
              </w:rPr>
              <w:t>）</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答疑会描述：</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8.5</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宋体" w:hAnsi="宋体"/>
                <w:sz w:val="24"/>
                <w:highlight w:val="none"/>
              </w:rPr>
            </w:pPr>
            <w:r>
              <w:rPr>
                <w:rFonts w:ascii="宋体" w:hAnsi="宋体" w:cs="宋体"/>
                <w:kern w:val="0"/>
                <w:position w:val="-2"/>
                <w:sz w:val="24"/>
                <w:highlight w:val="none"/>
              </w:rPr>
              <w:t>是否兼投不兼中</w:t>
            </w:r>
            <w:r>
              <w:rPr>
                <w:rFonts w:hint="eastAsia" w:ascii="宋体" w:hAnsi="宋体" w:cs="宋体"/>
                <w:kern w:val="0"/>
                <w:position w:val="-2"/>
                <w:sz w:val="24"/>
                <w:highlight w:val="none"/>
              </w:rPr>
              <w:t>：</w:t>
            </w:r>
            <w:r>
              <w:rPr>
                <w:rFonts w:hint="eastAsia" w:ascii="宋体" w:hAnsi="宋体"/>
                <w:sz w:val="24"/>
                <w:highlight w:val="none"/>
              </w:rPr>
              <w:t xml:space="preserve">（是 </w:t>
            </w:r>
            <w:r>
              <w:rPr>
                <w:rFonts w:hint="eastAsia" w:ascii="仿宋_GB2312" w:hAnsi="仿宋_GB2312" w:eastAsia="仿宋_GB2312" w:cs="仿宋_GB2312"/>
                <w:bCs/>
                <w:sz w:val="24"/>
                <w:highlight w:val="none"/>
              </w:rPr>
              <w:t>□</w:t>
            </w:r>
            <w:r>
              <w:rPr>
                <w:rFonts w:hint="eastAsia" w:ascii="宋体" w:hAnsi="宋体"/>
                <w:sz w:val="24"/>
                <w:highlight w:val="none"/>
              </w:rPr>
              <w:t xml:space="preserve">  否 </w:t>
            </w:r>
            <w:r>
              <w:rPr>
                <w:rFonts w:hint="eastAsia" w:ascii="仿宋_GB2312" w:hAnsi="仿宋_GB2312" w:eastAsia="仿宋_GB2312" w:cs="仿宋_GB2312"/>
                <w:bCs/>
                <w:sz w:val="24"/>
                <w:highlight w:val="none"/>
              </w:rPr>
              <w:t>☑</w:t>
            </w:r>
            <w:r>
              <w:rPr>
                <w:rFonts w:hint="eastAsia" w:ascii="宋体" w:hAnsi="宋体"/>
                <w:sz w:val="24"/>
                <w:highlight w:val="none"/>
              </w:rPr>
              <w:t xml:space="preserve"> ）</w:t>
            </w:r>
          </w:p>
          <w:p>
            <w:pPr>
              <w:spacing w:line="560" w:lineRule="exact"/>
              <w:jc w:val="left"/>
              <w:rPr>
                <w:rFonts w:asciiTheme="minorEastAsia" w:hAnsiTheme="minorEastAsia" w:eastAsiaTheme="minorEastAsia" w:cstheme="minorEastAsia"/>
                <w:sz w:val="24"/>
                <w:highlight w:val="none"/>
                <w:u w:val="single"/>
              </w:rPr>
            </w:pPr>
            <w:r>
              <w:rPr>
                <w:rFonts w:hint="eastAsia" w:ascii="宋体" w:hAnsi="宋体" w:cs="宋体"/>
                <w:bCs/>
                <w:sz w:val="24"/>
                <w:highlight w:val="none"/>
              </w:rPr>
              <w:t>说明与要求：本项目不划分包段</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10.1</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报价要求：1、所有报价均以人民币报价。</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各供应商按照谈判文件的要求及谈判文件提供的报价表进行报价，报价含货物达到谈判文件要求送至指定地点安装完成并经验收合格后的全部费税价格，其内容包括但不仅限于：货物、设计、制作、安装、运输费、装卸费、保险费、保管费、检验检测费、服务管理费、备品备件、备件、售后服务、后期维护、技术支持、验收、政策性文件规定及合同包含的所有风险责任的各项费用及其他附带服务的费用、技术指导、税金、利润、不可预见费用等一切费用。供应商免费提供的所有选配件、零配件等项目，应注明免费，不计入总价。供应商应充分考虑本项目合同实施期间可能发生的一切费用，并承担由此而带来的风险。凡供应商在报价中未列明但又为本项目达标所必备的项目和遗漏项目等，一律视为已包括在其报价中，在合同执行中将不予考虑。在其他情况下，由于分项报价填报不完整、不清楚或存在其他任何失误，所导致的任何不利后果均应当由供应商自行承担。若有漏报或缺报，视为该项费用已包括在其他项目中，在合同执行过程中将不予考虑。</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3、所报价格应为货物运至现场并安装完成验收合格直至采购人可以正常使用的全部税费价格。供应商要按报价表（统一格式）的内容填写价格及其他事项，由全权代表签章并加盖供应商公章。</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4、采购人不接受任何选择性报价，只允许有一个报价和一个方案，任何有选择性地报价和方案将不予接受。</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5、供应商应根据市场价格、自身技术装备、管理水平及资金条件、预期利润等情况自行报价，由此进行的测算和报价采购人不承担任何责任。</w:t>
            </w:r>
          </w:p>
          <w:p>
            <w:pPr>
              <w:spacing w:line="560" w:lineRule="exact"/>
              <w:jc w:val="left"/>
              <w:rPr>
                <w:highlight w:val="none"/>
              </w:rPr>
            </w:pPr>
            <w:r>
              <w:rPr>
                <w:rFonts w:hint="eastAsia" w:asciiTheme="minorEastAsia" w:hAnsiTheme="minorEastAsia" w:eastAsiaTheme="minorEastAsia" w:cstheme="minorEastAsia"/>
                <w:sz w:val="24"/>
                <w:highlight w:val="none"/>
              </w:rPr>
              <w:t>6、在评审过程中，谈判小组若发现供应商的报价或个别单价明显高于或低于其他报价的，应当要求该供应商做出说明，其说明报价高或低的理由是否合理，须经谈判小组 2/3 的专家认定；经谈判小组认定为理由不合理的，按照无效报价处理。注：若谈判小组认定供应商的报价明显低于其他通过符合性审查供应商的报价，有可能影响服务质量或者不能诚信履约的，须向谈判小组提供相关证明材料并上传原件扫描件。说明和证明材料应包含:①成本构成。包含服务内容本身成本、人工费用、运输、税收等说明；②较其他供应商且能支撑自己报更低价格的优势说明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11.4</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样品演示    是□  否☑</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演示内容：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13.1</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响应有效期：60日历日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14.1</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需自行上传的文件：加密电子响应文件1份。</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16.1</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响应文件提交截止时间：2022年</w:t>
            </w:r>
            <w:r>
              <w:rPr>
                <w:rFonts w:hint="eastAsia" w:asciiTheme="minorEastAsia" w:hAnsiTheme="minorEastAsia" w:eastAsiaTheme="minorEastAsia" w:cstheme="minorEastAsia"/>
                <w:sz w:val="24"/>
                <w:highlight w:val="none"/>
                <w:lang w:val="en-US" w:eastAsia="zh-CN"/>
              </w:rPr>
              <w:t>8</w:t>
            </w:r>
            <w:r>
              <w:rPr>
                <w:rFonts w:hint="eastAsia" w:asciiTheme="minorEastAsia" w:hAnsiTheme="minorEastAsia" w:eastAsiaTheme="minorEastAsia" w:cstheme="minorEastAsia"/>
                <w:sz w:val="24"/>
                <w:highlight w:val="none"/>
              </w:rPr>
              <w:t>月</w:t>
            </w:r>
            <w:r>
              <w:rPr>
                <w:rFonts w:hint="eastAsia" w:asciiTheme="minorEastAsia" w:hAnsiTheme="minorEastAsia" w:eastAsiaTheme="minorEastAsia" w:cstheme="minorEastAsia"/>
                <w:sz w:val="24"/>
                <w:highlight w:val="none"/>
                <w:lang w:val="en-US" w:eastAsia="zh-CN"/>
              </w:rPr>
              <w:t>17</w:t>
            </w:r>
            <w:r>
              <w:rPr>
                <w:rFonts w:hint="eastAsia" w:asciiTheme="minorEastAsia" w:hAnsiTheme="minorEastAsia" w:eastAsiaTheme="minorEastAsia" w:cstheme="minorEastAsia"/>
                <w:sz w:val="24"/>
                <w:highlight w:val="none"/>
              </w:rPr>
              <w:t xml:space="preserve"> 日</w:t>
            </w:r>
            <w:r>
              <w:rPr>
                <w:rFonts w:hint="eastAsia" w:asciiTheme="minorEastAsia" w:hAnsiTheme="minorEastAsia" w:eastAsiaTheme="minorEastAsia" w:cstheme="minorEastAsia"/>
                <w:sz w:val="24"/>
                <w:highlight w:val="none"/>
                <w:lang w:val="en-US" w:eastAsia="zh-CN"/>
              </w:rPr>
              <w:t>14</w:t>
            </w:r>
            <w:r>
              <w:rPr>
                <w:rFonts w:hint="eastAsia" w:asciiTheme="minorEastAsia" w:hAnsiTheme="minorEastAsia" w:eastAsiaTheme="minorEastAsia" w:cstheme="minorEastAsia"/>
                <w:sz w:val="24"/>
                <w:highlight w:val="none"/>
              </w:rPr>
              <w:t xml:space="preserve"> 时</w:t>
            </w:r>
            <w:r>
              <w:rPr>
                <w:rFonts w:hint="eastAsia" w:asciiTheme="minorEastAsia" w:hAnsiTheme="minorEastAsia" w:eastAsiaTheme="minorEastAsia" w:cstheme="minorEastAsia"/>
                <w:sz w:val="24"/>
                <w:highlight w:val="none"/>
                <w:lang w:val="en-US" w:eastAsia="zh-CN"/>
              </w:rPr>
              <w:t>00</w:t>
            </w:r>
            <w:r>
              <w:rPr>
                <w:rFonts w:hint="eastAsia" w:asciiTheme="minorEastAsia" w:hAnsiTheme="minorEastAsia" w:eastAsiaTheme="minorEastAsia" w:cstheme="minorEastAsia"/>
                <w:sz w:val="24"/>
                <w:highlight w:val="none"/>
              </w:rPr>
              <w:t>分（北京时间）</w:t>
            </w:r>
          </w:p>
          <w:p>
            <w:pPr>
              <w:spacing w:line="560" w:lineRule="exact"/>
              <w:jc w:val="left"/>
              <w:rPr>
                <w:rFonts w:eastAsiaTheme="minorEastAsia"/>
                <w:highlight w:val="none"/>
              </w:rPr>
            </w:pPr>
            <w:bookmarkStart w:id="103" w:name="_Toc12440"/>
            <w:r>
              <w:rPr>
                <w:rFonts w:hint="eastAsia" w:asciiTheme="minorEastAsia" w:hAnsiTheme="minorEastAsia" w:eastAsiaTheme="minorEastAsia" w:cstheme="minorEastAsia"/>
                <w:sz w:val="24"/>
                <w:highlight w:val="none"/>
              </w:rPr>
              <w:t>地址：</w:t>
            </w:r>
            <w:bookmarkEnd w:id="103"/>
            <w:r>
              <w:rPr>
                <w:rFonts w:hint="eastAsia" w:asciiTheme="minorEastAsia" w:hAnsiTheme="minorEastAsia" w:eastAsiaTheme="minorEastAsia" w:cstheme="minorEastAsia"/>
                <w:sz w:val="24"/>
                <w:highlight w:val="none"/>
              </w:rPr>
              <w:t>淄博市公共资源交易网</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18.1</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开标时间：2022年</w:t>
            </w:r>
            <w:r>
              <w:rPr>
                <w:rFonts w:hint="eastAsia" w:asciiTheme="minorEastAsia" w:hAnsiTheme="minorEastAsia" w:eastAsiaTheme="minorEastAsia" w:cstheme="minorEastAsia"/>
                <w:sz w:val="24"/>
                <w:highlight w:val="none"/>
                <w:lang w:val="en-US" w:eastAsia="zh-CN"/>
              </w:rPr>
              <w:t>8</w:t>
            </w:r>
            <w:r>
              <w:rPr>
                <w:rFonts w:hint="eastAsia" w:asciiTheme="minorEastAsia" w:hAnsiTheme="minorEastAsia" w:eastAsiaTheme="minorEastAsia" w:cstheme="minorEastAsia"/>
                <w:sz w:val="24"/>
                <w:highlight w:val="none"/>
              </w:rPr>
              <w:t>月</w:t>
            </w:r>
            <w:r>
              <w:rPr>
                <w:rFonts w:hint="eastAsia" w:asciiTheme="minorEastAsia" w:hAnsiTheme="minorEastAsia" w:eastAsiaTheme="minorEastAsia" w:cstheme="minorEastAsia"/>
                <w:sz w:val="24"/>
                <w:highlight w:val="none"/>
                <w:lang w:val="en-US" w:eastAsia="zh-CN"/>
              </w:rPr>
              <w:t>17</w:t>
            </w:r>
            <w:r>
              <w:rPr>
                <w:rFonts w:hint="eastAsia" w:asciiTheme="minorEastAsia" w:hAnsiTheme="minorEastAsia" w:eastAsiaTheme="minorEastAsia" w:cstheme="minorEastAsia"/>
                <w:sz w:val="24"/>
                <w:highlight w:val="none"/>
              </w:rPr>
              <w:t>日</w:t>
            </w:r>
            <w:r>
              <w:rPr>
                <w:rFonts w:hint="eastAsia" w:asciiTheme="minorEastAsia" w:hAnsiTheme="minorEastAsia" w:eastAsiaTheme="minorEastAsia" w:cstheme="minorEastAsia"/>
                <w:sz w:val="24"/>
                <w:highlight w:val="none"/>
                <w:lang w:val="en-US" w:eastAsia="zh-CN"/>
              </w:rPr>
              <w:t>14</w:t>
            </w:r>
            <w:r>
              <w:rPr>
                <w:rFonts w:hint="eastAsia" w:asciiTheme="minorEastAsia" w:hAnsiTheme="minorEastAsia" w:eastAsiaTheme="minorEastAsia" w:cstheme="minorEastAsia"/>
                <w:sz w:val="24"/>
                <w:highlight w:val="none"/>
              </w:rPr>
              <w:t>时</w:t>
            </w:r>
            <w:r>
              <w:rPr>
                <w:rFonts w:hint="eastAsia" w:asciiTheme="minorEastAsia" w:hAnsiTheme="minorEastAsia" w:eastAsiaTheme="minorEastAsia" w:cstheme="minorEastAsia"/>
                <w:sz w:val="24"/>
                <w:highlight w:val="none"/>
                <w:lang w:val="en-US" w:eastAsia="zh-CN"/>
              </w:rPr>
              <w:t>00</w:t>
            </w:r>
            <w:r>
              <w:rPr>
                <w:rFonts w:hint="eastAsia" w:asciiTheme="minorEastAsia" w:hAnsiTheme="minorEastAsia" w:eastAsiaTheme="minorEastAsia" w:cstheme="minorEastAsia"/>
                <w:sz w:val="24"/>
                <w:highlight w:val="none"/>
              </w:rPr>
              <w:t>分（北京时间）</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开标地点：淄博市公共资源交易网网上开标大厅（http://ggzyjy.zibo.gov.cn:9181/BidOpeningHall/bidopeninghallaction/hall/login）</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18.4</w:t>
            </w:r>
          </w:p>
        </w:tc>
        <w:tc>
          <w:tcPr>
            <w:tcW w:w="8363" w:type="dxa"/>
            <w:tcBorders>
              <w:top w:val="single" w:color="auto" w:sz="6" w:space="0"/>
              <w:left w:val="single" w:color="auto" w:sz="6" w:space="0"/>
              <w:bottom w:val="single" w:color="auto" w:sz="6" w:space="0"/>
              <w:right w:val="single" w:color="auto" w:sz="12" w:space="0"/>
            </w:tcBorders>
            <w:vAlign w:val="center"/>
          </w:tcPr>
          <w:p>
            <w:pPr>
              <w:pStyle w:val="36"/>
              <w:widowControl w:val="0"/>
              <w:spacing w:line="560" w:lineRule="exact"/>
              <w:ind w:firstLine="0" w:firstLineChars="0"/>
              <w:rPr>
                <w:rFonts w:ascii="宋体" w:hAnsi="宋体" w:eastAsia="仿宋_GB2312"/>
                <w:highlight w:val="none"/>
              </w:rPr>
            </w:pPr>
            <w:r>
              <w:rPr>
                <w:rFonts w:hint="eastAsia" w:ascii="宋体" w:hAnsi="宋体" w:cs="宋体"/>
                <w:bCs/>
                <w:snapToGrid w:val="0"/>
                <w:highlight w:val="none"/>
              </w:rPr>
              <w:t>首次响应文件是否唱价：</w:t>
            </w:r>
            <w:r>
              <w:rPr>
                <w:rFonts w:hint="eastAsia" w:ascii="宋体" w:hAnsi="宋体" w:cs="宋体"/>
                <w:bCs/>
                <w:highlight w:val="none"/>
              </w:rPr>
              <w:t>是</w:t>
            </w:r>
            <w:r>
              <w:rPr>
                <w:rFonts w:hint="eastAsia" w:ascii="仿宋_GB2312" w:hAnsi="仿宋_GB2312" w:eastAsia="仿宋_GB2312" w:cs="仿宋_GB2312"/>
                <w:bCs/>
                <w:highlight w:val="none"/>
              </w:rPr>
              <w:t>□</w:t>
            </w:r>
            <w:r>
              <w:rPr>
                <w:rFonts w:hint="eastAsia" w:ascii="宋体" w:hAnsi="宋体" w:cs="宋体"/>
                <w:bCs/>
                <w:highlight w:val="none"/>
              </w:rPr>
              <w:t xml:space="preserve"> 否</w:t>
            </w:r>
            <w:r>
              <w:rPr>
                <w:rFonts w:hint="eastAsia" w:ascii="仿宋_GB2312" w:hAnsi="仿宋_GB2312" w:eastAsia="仿宋_GB2312" w:cs="仿宋_GB2312"/>
                <w:bCs/>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20.2</w:t>
            </w:r>
          </w:p>
        </w:tc>
        <w:tc>
          <w:tcPr>
            <w:tcW w:w="8363" w:type="dxa"/>
            <w:tcBorders>
              <w:top w:val="single" w:color="auto" w:sz="6" w:space="0"/>
              <w:left w:val="single" w:color="auto" w:sz="6" w:space="0"/>
              <w:bottom w:val="single" w:color="auto" w:sz="6" w:space="0"/>
              <w:right w:val="single" w:color="auto" w:sz="12" w:space="0"/>
            </w:tcBorders>
            <w:vAlign w:val="center"/>
          </w:tcPr>
          <w:p>
            <w:pPr>
              <w:pStyle w:val="36"/>
              <w:widowControl w:val="0"/>
              <w:spacing w:line="560" w:lineRule="exact"/>
              <w:ind w:firstLine="0" w:firstLineChars="0"/>
              <w:rPr>
                <w:rFonts w:ascii="宋体" w:hAnsi="宋体"/>
                <w:highlight w:val="none"/>
              </w:rPr>
            </w:pPr>
            <w:r>
              <w:rPr>
                <w:rFonts w:hint="eastAsia" w:ascii="宋体" w:hAnsi="宋体"/>
                <w:highlight w:val="none"/>
              </w:rPr>
              <w:t>信用查询时间:项目开标仪式结束后，评审会议开始前。</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Merge w:val="restart"/>
            <w:tcBorders>
              <w:top w:val="single" w:color="auto" w:sz="6" w:space="0"/>
              <w:left w:val="single" w:color="auto" w:sz="12"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28</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宋体" w:hAnsi="宋体" w:cs="宋体"/>
                <w:highlight w:val="none"/>
              </w:rPr>
            </w:pPr>
            <w:r>
              <w:rPr>
                <w:rFonts w:hint="eastAsia" w:ascii="宋体" w:hAnsi="宋体" w:cs="宋体"/>
                <w:bCs/>
                <w:sz w:val="24"/>
                <w:highlight w:val="none"/>
              </w:rPr>
              <w:t>采购人是否委托谈判小组直接确定成交供应商：是☑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Merge w:val="continue"/>
            <w:tcBorders>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宋体" w:hAnsi="宋体" w:cs="宋体"/>
                <w:highlight w:val="none"/>
              </w:rPr>
            </w:pPr>
            <w:r>
              <w:rPr>
                <w:rFonts w:hint="eastAsia" w:ascii="宋体" w:hAnsi="宋体" w:cs="宋体"/>
                <w:bCs/>
                <w:sz w:val="24"/>
                <w:highlight w:val="none"/>
              </w:rPr>
              <w:t>推荐成交候选人的数量：</w:t>
            </w:r>
            <w:r>
              <w:rPr>
                <w:rFonts w:hint="eastAsia" w:ascii="宋体" w:hAnsi="宋体" w:cs="宋体"/>
                <w:b/>
                <w:sz w:val="24"/>
                <w:highlight w:val="none"/>
              </w:rPr>
              <w:t>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Merge w:val="restart"/>
            <w:tcBorders>
              <w:top w:val="single" w:color="auto" w:sz="6" w:space="0"/>
              <w:left w:val="single" w:color="auto" w:sz="12"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32</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Theme="minorEastAsia" w:hAnsiTheme="minorEastAsia" w:eastAsiaTheme="minorEastAsia" w:cstheme="minorEastAsia"/>
                <w:sz w:val="24"/>
                <w:highlight w:val="none"/>
              </w:rPr>
            </w:pPr>
            <w:r>
              <w:rPr>
                <w:rFonts w:hint="eastAsia" w:ascii="宋体" w:hAnsi="宋体"/>
                <w:sz w:val="24"/>
                <w:highlight w:val="none"/>
              </w:rPr>
              <w:t>是否提交履约保证：是</w:t>
            </w:r>
            <w:r>
              <w:rPr>
                <w:rFonts w:ascii="宋体" w:hAnsi="宋体"/>
                <w:sz w:val="24"/>
                <w:highlight w:val="none"/>
              </w:rPr>
              <w:t>□</w:t>
            </w:r>
            <w:r>
              <w:rPr>
                <w:rFonts w:hint="eastAsia" w:ascii="宋体" w:hAnsi="宋体"/>
                <w:sz w:val="40"/>
                <w:highlight w:val="none"/>
              </w:rPr>
              <w:t xml:space="preserve"> </w:t>
            </w:r>
            <w:r>
              <w:rPr>
                <w:rFonts w:hint="eastAsia" w:ascii="宋体" w:hAnsi="宋体"/>
                <w:sz w:val="24"/>
                <w:highlight w:val="none"/>
              </w:rPr>
              <w:t xml:space="preserve">否☑ </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Merge w:val="continue"/>
            <w:tcBorders>
              <w:left w:val="single" w:color="auto" w:sz="12"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宋体" w:hAnsi="宋体"/>
                <w:sz w:val="24"/>
                <w:highlight w:val="none"/>
              </w:rPr>
            </w:pPr>
            <w:r>
              <w:rPr>
                <w:rFonts w:hint="eastAsia" w:ascii="宋体" w:hAnsi="宋体"/>
                <w:sz w:val="24"/>
                <w:highlight w:val="none"/>
              </w:rPr>
              <w:t>履约保证的形式：履约保证金（非现金形式）、履约保函、履约担保函。</w:t>
            </w:r>
          </w:p>
          <w:p>
            <w:pPr>
              <w:spacing w:line="560" w:lineRule="exact"/>
              <w:rPr>
                <w:rFonts w:asciiTheme="minorEastAsia" w:hAnsiTheme="minorEastAsia" w:eastAsiaTheme="minorEastAsia" w:cstheme="minorEastAsia"/>
                <w:sz w:val="24"/>
                <w:highlight w:val="none"/>
              </w:rPr>
            </w:pPr>
            <w:r>
              <w:rPr>
                <w:rFonts w:hint="eastAsia" w:ascii="宋体" w:hAnsi="宋体"/>
                <w:sz w:val="24"/>
                <w:highlight w:val="none"/>
              </w:rPr>
              <w:t>提交履约保证的时间：</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Merge w:val="continue"/>
            <w:tcBorders>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rPr>
                <w:rFonts w:asciiTheme="minorEastAsia" w:hAnsiTheme="minorEastAsia" w:eastAsiaTheme="minorEastAsia" w:cstheme="minorEastAsia"/>
                <w:sz w:val="24"/>
                <w:highlight w:val="none"/>
              </w:rPr>
            </w:pPr>
            <w:r>
              <w:rPr>
                <w:rFonts w:hint="eastAsia" w:ascii="宋体" w:hAnsi="宋体"/>
                <w:sz w:val="24"/>
                <w:highlight w:val="none"/>
              </w:rPr>
              <w:t>履约保证金额：合同总价的</w:t>
            </w:r>
            <w:r>
              <w:rPr>
                <w:rFonts w:hint="eastAsia" w:ascii="宋体" w:hAnsi="宋体"/>
                <w:sz w:val="24"/>
                <w:highlight w:val="none"/>
                <w:u w:val="single"/>
              </w:rPr>
              <w:t>　　　　　</w:t>
            </w:r>
            <w:r>
              <w:rPr>
                <w:rFonts w:hint="eastAsia" w:ascii="宋体" w:hAnsi="宋体"/>
                <w:i/>
                <w:sz w:val="24"/>
                <w:highlight w:val="none"/>
              </w:rPr>
              <w:t>（</w:t>
            </w:r>
            <w:r>
              <w:rPr>
                <w:rFonts w:ascii="宋体" w:hAnsi="宋体"/>
                <w:i/>
                <w:sz w:val="24"/>
                <w:highlight w:val="none"/>
              </w:rPr>
              <w:t>不得超过政府采购</w:t>
            </w:r>
            <w:r>
              <w:rPr>
                <w:rFonts w:hint="eastAsia" w:ascii="宋体" w:hAnsi="宋体"/>
                <w:i/>
                <w:sz w:val="24"/>
                <w:highlight w:val="none"/>
              </w:rPr>
              <w:t>合同</w:t>
            </w:r>
            <w:r>
              <w:rPr>
                <w:rFonts w:ascii="宋体" w:hAnsi="宋体"/>
                <w:i/>
                <w:sz w:val="24"/>
                <w:highlight w:val="none"/>
              </w:rPr>
              <w:t>金额的</w:t>
            </w:r>
            <w:r>
              <w:rPr>
                <w:rFonts w:hint="eastAsia" w:ascii="宋体" w:hAnsi="宋体"/>
                <w:i/>
                <w:sz w:val="24"/>
                <w:highlight w:val="none"/>
              </w:rPr>
              <w:t>10%）</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34</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宋体" w:hAnsi="宋体"/>
                <w:sz w:val="24"/>
                <w:highlight w:val="none"/>
              </w:rPr>
              <w:t>是否支付预付款：否☑       是□，预付款比例为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35.3</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反腐倡廉监督电话/邮箱：0533-3579588</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37.3</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质疑函接收部门、联系电话和通讯地址：</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联系部门：山东瀚广建设项目管理有限公司</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联系电话：0533-3579588</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通讯地址：淄博高新区中润大道39号九宏大厦三楼</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38.1</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成交服务费：按差额定率累进计费方式，100万以内按成交金额的1.5%收取，100万-500万按成交金额的1.1%收取。</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支付形式：电汇</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支付时间：由成交供应商在谈判结束后五日内一次性向代理机构支付。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tcBorders>
              <w:top w:val="single" w:color="auto" w:sz="6" w:space="0"/>
              <w:left w:val="single" w:color="auto" w:sz="12" w:space="0"/>
              <w:bottom w:val="single" w:color="auto" w:sz="6" w:space="0"/>
              <w:right w:val="single" w:color="auto" w:sz="6" w:space="0"/>
            </w:tcBorders>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42</w:t>
            </w:r>
          </w:p>
        </w:tc>
        <w:tc>
          <w:tcPr>
            <w:tcW w:w="8363" w:type="dxa"/>
            <w:tcBorders>
              <w:top w:val="single" w:color="auto" w:sz="6" w:space="0"/>
              <w:left w:val="single" w:color="auto" w:sz="6" w:space="0"/>
              <w:bottom w:val="single" w:color="auto" w:sz="6" w:space="0"/>
              <w:right w:val="single" w:color="auto" w:sz="12" w:space="0"/>
            </w:tcBorders>
            <w:vAlign w:val="center"/>
          </w:tcPr>
          <w:p>
            <w:pPr>
              <w:spacing w:line="560" w:lineRule="exact"/>
              <w:jc w:val="left"/>
              <w:rPr>
                <w:rFonts w:asciiTheme="minorEastAsia" w:hAnsiTheme="minorEastAsia" w:eastAsiaTheme="minorEastAsia" w:cstheme="minorEastAsia"/>
                <w:sz w:val="24"/>
                <w:highlight w:val="none"/>
              </w:rPr>
            </w:pPr>
            <w:r>
              <w:rPr>
                <w:rFonts w:hint="eastAsia" w:hAnsi="宋体" w:cs="宋体"/>
                <w:sz w:val="24"/>
                <w:highlight w:val="none"/>
              </w:rPr>
              <w:t>竞争性谈判文件</w:t>
            </w:r>
            <w:r>
              <w:rPr>
                <w:rFonts w:hint="eastAsia" w:asciiTheme="minorEastAsia" w:hAnsiTheme="minorEastAsia" w:eastAsiaTheme="minorEastAsia" w:cstheme="minorEastAsia"/>
                <w:sz w:val="24"/>
                <w:highlight w:val="none"/>
              </w:rPr>
              <w:t>解释权：最终解释权归采购人及采购代理机构所有。</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9384" w:type="dxa"/>
            <w:gridSpan w:val="2"/>
            <w:vAlign w:val="center"/>
          </w:tcPr>
          <w:p>
            <w:pPr>
              <w:spacing w:line="560" w:lineRule="exact"/>
              <w:ind w:firstLine="720" w:firstLineChars="300"/>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适用于本供应商须知的额外增加的变动：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c>
          <w:tcPr>
            <w:tcW w:w="8363" w:type="dxa"/>
            <w:vAlign w:val="center"/>
          </w:tcPr>
          <w:p>
            <w:pPr>
              <w:pStyle w:val="5"/>
              <w:spacing w:after="0" w:line="560" w:lineRule="exact"/>
              <w:rPr>
                <w:rFonts w:asciiTheme="minorEastAsia" w:hAnsiTheme="minorEastAsia" w:eastAsiaTheme="minorEastAsia" w:cstheme="minorEastAsia"/>
                <w:b w:val="0"/>
                <w:szCs w:val="24"/>
                <w:highlight w:val="none"/>
              </w:rPr>
            </w:pPr>
            <w:bookmarkStart w:id="104" w:name="_Toc62193440"/>
            <w:bookmarkStart w:id="105" w:name="_Toc18918"/>
            <w:bookmarkStart w:id="106" w:name="_Toc13940"/>
            <w:r>
              <w:rPr>
                <w:rFonts w:hint="eastAsia" w:asciiTheme="minorEastAsia" w:hAnsiTheme="minorEastAsia" w:eastAsiaTheme="minorEastAsia" w:cstheme="minorEastAsia"/>
                <w:b w:val="0"/>
                <w:szCs w:val="24"/>
                <w:highlight w:val="none"/>
              </w:rPr>
              <w:t>供应商资格条件（提供以下资料扫描件）：</w:t>
            </w:r>
            <w:bookmarkEnd w:id="104"/>
            <w:bookmarkEnd w:id="105"/>
            <w:bookmarkEnd w:id="106"/>
          </w:p>
          <w:p>
            <w:pPr>
              <w:numPr>
                <w:ilvl w:val="0"/>
                <w:numId w:val="1"/>
              </w:numPr>
              <w:spacing w:line="560" w:lineRule="exact"/>
              <w:rPr>
                <w:rFonts w:ascii="宋体" w:hAnsi="宋体" w:cs="宋体"/>
                <w:sz w:val="24"/>
                <w:highlight w:val="none"/>
              </w:rPr>
            </w:pPr>
            <w:r>
              <w:rPr>
                <w:rFonts w:hint="eastAsia" w:ascii="宋体" w:hAnsi="宋体" w:cs="宋体"/>
                <w:sz w:val="24"/>
                <w:highlight w:val="none"/>
              </w:rPr>
              <w:t>加载有统一社会信用代码的《营业执照》或其他组织有效证件原件扫描件；</w:t>
            </w:r>
          </w:p>
          <w:p>
            <w:pPr>
              <w:numPr>
                <w:ilvl w:val="0"/>
                <w:numId w:val="1"/>
              </w:numPr>
              <w:spacing w:line="560" w:lineRule="exact"/>
              <w:rPr>
                <w:rFonts w:ascii="宋体" w:hAnsi="宋体" w:cs="宋体"/>
                <w:sz w:val="24"/>
                <w:highlight w:val="none"/>
              </w:rPr>
            </w:pPr>
            <w:r>
              <w:rPr>
                <w:rFonts w:hint="eastAsia" w:ascii="宋体" w:hAnsi="宋体" w:cs="宋体"/>
                <w:sz w:val="24"/>
                <w:highlight w:val="none"/>
              </w:rPr>
              <w:t>法定代表人（非法人组织的负责人）身份证明书或法定代表人（非法人组织的负责人）授权书；</w:t>
            </w:r>
          </w:p>
          <w:p>
            <w:pPr>
              <w:numPr>
                <w:ilvl w:val="0"/>
                <w:numId w:val="1"/>
              </w:numPr>
              <w:spacing w:line="560" w:lineRule="exact"/>
              <w:rPr>
                <w:rFonts w:ascii="宋体" w:hAnsi="宋体" w:cs="宋体"/>
                <w:sz w:val="24"/>
                <w:highlight w:val="none"/>
              </w:rPr>
            </w:pPr>
            <w:r>
              <w:rPr>
                <w:rFonts w:hint="eastAsia" w:ascii="宋体" w:hAnsi="宋体" w:cs="宋体"/>
                <w:sz w:val="24"/>
                <w:highlight w:val="none"/>
              </w:rPr>
              <w:t>法定代表人（非法人组织的负责人）或其授权代表的身份证扫描件；</w:t>
            </w:r>
          </w:p>
          <w:p>
            <w:pPr>
              <w:numPr>
                <w:ilvl w:val="0"/>
                <w:numId w:val="1"/>
              </w:numPr>
              <w:spacing w:line="560" w:lineRule="exact"/>
              <w:rPr>
                <w:rFonts w:ascii="宋体" w:hAnsi="宋体" w:cs="宋体"/>
                <w:sz w:val="24"/>
                <w:highlight w:val="none"/>
              </w:rPr>
            </w:pPr>
            <w:r>
              <w:rPr>
                <w:rFonts w:hint="eastAsia" w:ascii="宋体" w:hAnsi="宋体" w:cs="宋体"/>
                <w:sz w:val="24"/>
                <w:highlight w:val="none"/>
              </w:rPr>
              <w:t>政府采购供应商信用承诺书；</w:t>
            </w:r>
          </w:p>
          <w:p>
            <w:pPr>
              <w:spacing w:line="560" w:lineRule="exact"/>
              <w:rPr>
                <w:rFonts w:asciiTheme="minorEastAsia" w:hAnsiTheme="minorEastAsia" w:eastAsiaTheme="minorEastAsia" w:cstheme="minorEastAsia"/>
                <w:sz w:val="24"/>
                <w:highlight w:val="none"/>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w:t>
            </w:r>
          </w:p>
        </w:tc>
        <w:tc>
          <w:tcPr>
            <w:tcW w:w="8363" w:type="dxa"/>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是否允许供应商将项目非主体、非关键性工作交由他人完成：</w:t>
            </w:r>
          </w:p>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是□  否☑</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9384" w:type="dxa"/>
            <w:gridSpan w:val="2"/>
            <w:vAlign w:val="center"/>
          </w:tcPr>
          <w:p>
            <w:pPr>
              <w:spacing w:line="560" w:lineRule="exact"/>
              <w:jc w:val="center"/>
              <w:rPr>
                <w:rFonts w:asciiTheme="minorEastAsia" w:hAnsiTheme="minorEastAsia" w:eastAsiaTheme="minorEastAsia" w:cstheme="minorEastAsia"/>
                <w:sz w:val="24"/>
                <w:highlight w:val="none"/>
              </w:rPr>
            </w:pPr>
            <w:r>
              <w:rPr>
                <w:rFonts w:hint="eastAsia" w:ascii="宋体" w:hAnsi="宋体"/>
                <w:sz w:val="24"/>
                <w:highlight w:val="none"/>
              </w:rPr>
              <w:t xml:space="preserve"> 其他</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1</w:t>
            </w:r>
          </w:p>
        </w:tc>
        <w:tc>
          <w:tcPr>
            <w:tcW w:w="8363" w:type="dxa"/>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付款途径：采购人自行支付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2</w:t>
            </w:r>
          </w:p>
        </w:tc>
        <w:tc>
          <w:tcPr>
            <w:tcW w:w="8363" w:type="dxa"/>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付款方式：</w:t>
            </w:r>
            <w:r>
              <w:rPr>
                <w:rFonts w:hint="eastAsia" w:asciiTheme="minorEastAsia" w:hAnsiTheme="minorEastAsia" w:eastAsiaTheme="minorEastAsia" w:cstheme="minorEastAsia"/>
                <w:b/>
                <w:bCs/>
                <w:sz w:val="24"/>
                <w:highlight w:val="none"/>
              </w:rPr>
              <w:t>合同签订并供货完毕，支付不超过合同金额30%的货款；经验收合格后，付至结算金额的30％一70%，剩余资金按财政资金计划支付。资金支付自2023年起执行。本合同为固定单价合同，根据实际供货、安装的产品数量据实结算</w:t>
            </w:r>
            <w:r>
              <w:rPr>
                <w:rFonts w:hint="eastAsia" w:asciiTheme="minorEastAsia" w:hAnsiTheme="minorEastAsia" w:eastAsiaTheme="minorEastAsia" w:cstheme="minorEastAsia"/>
                <w:sz w:val="24"/>
                <w:highlight w:val="none"/>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3</w:t>
            </w:r>
          </w:p>
        </w:tc>
        <w:tc>
          <w:tcPr>
            <w:tcW w:w="8363" w:type="dxa"/>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交付日期（服务期限）：自采购人通知之日起20日历天内供货安装完毕并验收合格（具体供货日期以采购人通知为准）。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4</w:t>
            </w:r>
          </w:p>
        </w:tc>
        <w:tc>
          <w:tcPr>
            <w:tcW w:w="8363" w:type="dxa"/>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交付地点：采购人指定地点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021" w:type="dxa"/>
            <w:vAlign w:val="center"/>
          </w:tcPr>
          <w:p>
            <w:pPr>
              <w:spacing w:line="56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5</w:t>
            </w:r>
          </w:p>
        </w:tc>
        <w:tc>
          <w:tcPr>
            <w:tcW w:w="8363" w:type="dxa"/>
            <w:vAlign w:val="center"/>
          </w:tcPr>
          <w:p>
            <w:pPr>
              <w:spacing w:line="56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免费维护期、保修期：本项目整体质保年限不低于2年。质保期从验收合格之日起开始计算。成交供应商应提供及时周到的售后服务。成交供应商在接采购人维修通知后应 2 小时作出响应，且在采购人规定的时间内维修完毕，在规定时间内不能及时维修完毕的成交供应商应免费提供备品备件。</w:t>
            </w:r>
          </w:p>
        </w:tc>
      </w:tr>
      <w:bookmarkEnd w:id="32"/>
      <w:bookmarkEnd w:id="33"/>
      <w:bookmarkEnd w:id="34"/>
      <w:bookmarkEnd w:id="37"/>
    </w:tbl>
    <w:p>
      <w:pPr>
        <w:pStyle w:val="4"/>
        <w:spacing w:before="0" w:line="560" w:lineRule="exact"/>
        <w:ind w:left="565" w:leftChars="12" w:hanging="540"/>
        <w:rPr>
          <w:rFonts w:ascii="宋体" w:hAnsi="宋体" w:eastAsia="宋体" w:cs="宋体"/>
          <w:sz w:val="28"/>
          <w:highlight w:val="none"/>
        </w:rPr>
      </w:pPr>
      <w:bookmarkStart w:id="107" w:name="_Toc515647757"/>
      <w:bookmarkStart w:id="108" w:name="_Toc520356143"/>
      <w:bookmarkStart w:id="109" w:name="_Toc216582805"/>
      <w:bookmarkStart w:id="110" w:name="_Toc21015"/>
      <w:bookmarkStart w:id="111" w:name="_Toc21215"/>
      <w:bookmarkStart w:id="112" w:name="_Toc2073"/>
      <w:r>
        <w:rPr>
          <w:rFonts w:hint="eastAsia" w:ascii="宋体" w:hAnsi="宋体" w:eastAsia="宋体" w:cs="宋体"/>
          <w:sz w:val="28"/>
          <w:highlight w:val="none"/>
        </w:rPr>
        <w:t>一</w:t>
      </w:r>
      <w:bookmarkEnd w:id="107"/>
      <w:bookmarkEnd w:id="108"/>
      <w:bookmarkEnd w:id="109"/>
      <w:r>
        <w:rPr>
          <w:rFonts w:hint="eastAsia" w:ascii="宋体" w:hAnsi="宋体" w:eastAsia="宋体" w:cs="宋体"/>
          <w:sz w:val="28"/>
          <w:highlight w:val="none"/>
        </w:rPr>
        <w:t>、总 则</w:t>
      </w:r>
      <w:bookmarkEnd w:id="110"/>
      <w:bookmarkEnd w:id="111"/>
      <w:bookmarkEnd w:id="112"/>
    </w:p>
    <w:p>
      <w:pPr>
        <w:pStyle w:val="8"/>
        <w:spacing w:line="560" w:lineRule="exact"/>
        <w:rPr>
          <w:rFonts w:hAnsi="宋体" w:cs="宋体"/>
          <w:highlight w:val="none"/>
        </w:rPr>
      </w:pPr>
    </w:p>
    <w:p>
      <w:pPr>
        <w:pStyle w:val="5"/>
        <w:spacing w:before="0" w:after="0" w:line="560" w:lineRule="exact"/>
        <w:rPr>
          <w:rFonts w:hAnsi="宋体" w:cs="宋体"/>
          <w:highlight w:val="none"/>
          <w:u w:val="none"/>
        </w:rPr>
      </w:pPr>
      <w:bookmarkStart w:id="113" w:name="_Toc520356144"/>
      <w:bookmarkStart w:id="114" w:name="_Toc32189"/>
      <w:bookmarkStart w:id="115" w:name="_Toc16173"/>
      <w:bookmarkStart w:id="116" w:name="_Toc515647758"/>
      <w:bookmarkStart w:id="117" w:name="_Toc32623"/>
      <w:r>
        <w:rPr>
          <w:rFonts w:hint="eastAsia" w:hAnsi="宋体" w:cs="宋体"/>
          <w:highlight w:val="none"/>
          <w:u w:val="none"/>
        </w:rPr>
        <w:t>1.采购人、采购代理机构及</w:t>
      </w:r>
      <w:bookmarkEnd w:id="113"/>
      <w:r>
        <w:rPr>
          <w:rFonts w:hint="eastAsia" w:hAnsi="宋体" w:cs="宋体"/>
          <w:highlight w:val="none"/>
          <w:u w:val="none"/>
        </w:rPr>
        <w:t>供应商</w:t>
      </w:r>
      <w:bookmarkEnd w:id="114"/>
      <w:bookmarkEnd w:id="115"/>
      <w:bookmarkEnd w:id="116"/>
      <w:bookmarkEnd w:id="117"/>
    </w:p>
    <w:p>
      <w:pPr>
        <w:tabs>
          <w:tab w:val="left" w:pos="0"/>
        </w:tabs>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1.1采购人：是指依法开展政府采购活动的国家机关、事业单位、团体组织。</w:t>
      </w:r>
    </w:p>
    <w:p>
      <w:pPr>
        <w:tabs>
          <w:tab w:val="left" w:pos="0"/>
        </w:tabs>
        <w:spacing w:line="560" w:lineRule="exact"/>
        <w:ind w:firstLine="480" w:firstLineChars="200"/>
        <w:jc w:val="left"/>
        <w:rPr>
          <w:rFonts w:ascii="宋体" w:hAnsi="宋体" w:cs="宋体"/>
          <w:sz w:val="24"/>
          <w:highlight w:val="none"/>
        </w:rPr>
      </w:pPr>
      <w:r>
        <w:rPr>
          <w:rFonts w:hint="eastAsia" w:ascii="宋体" w:hAnsi="宋体" w:cs="宋体"/>
          <w:sz w:val="24"/>
          <w:highlight w:val="none"/>
        </w:rPr>
        <w:t>本项目的采购人见</w:t>
      </w:r>
      <w:r>
        <w:rPr>
          <w:rFonts w:hint="eastAsia" w:ascii="宋体" w:hAnsi="宋体" w:cs="宋体"/>
          <w:sz w:val="24"/>
          <w:highlight w:val="none"/>
          <w:u w:val="single"/>
        </w:rPr>
        <w:t>供应商须知资料表</w:t>
      </w:r>
      <w:r>
        <w:rPr>
          <w:rFonts w:hint="eastAsia" w:ascii="宋体" w:hAnsi="宋体" w:cs="宋体"/>
          <w:sz w:val="24"/>
          <w:highlight w:val="none"/>
        </w:rPr>
        <w:t>。</w:t>
      </w:r>
    </w:p>
    <w:p>
      <w:pPr>
        <w:tabs>
          <w:tab w:val="left" w:pos="0"/>
        </w:tabs>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1.2采购代理机构：是指集中采购机构或从事采购代理业务的社会中介机构，本项目的采购代理机构见</w:t>
      </w:r>
      <w:r>
        <w:rPr>
          <w:rFonts w:hint="eastAsia" w:ascii="宋体" w:hAnsi="宋体" w:cs="宋体"/>
          <w:sz w:val="24"/>
          <w:highlight w:val="none"/>
          <w:u w:val="single"/>
        </w:rPr>
        <w:t>供应商须知资料表</w:t>
      </w:r>
      <w:r>
        <w:rPr>
          <w:rFonts w:hint="eastAsia" w:ascii="宋体" w:hAnsi="宋体" w:cs="宋体"/>
          <w:sz w:val="24"/>
          <w:highlight w:val="none"/>
        </w:rPr>
        <w:t>。</w:t>
      </w:r>
    </w:p>
    <w:p>
      <w:pPr>
        <w:spacing w:line="560" w:lineRule="exact"/>
        <w:ind w:firstLine="480" w:firstLineChars="200"/>
        <w:jc w:val="left"/>
        <w:rPr>
          <w:rFonts w:ascii="宋体" w:hAnsi="宋体" w:cs="宋体"/>
          <w:sz w:val="24"/>
          <w:highlight w:val="none"/>
        </w:rPr>
      </w:pPr>
      <w:bookmarkStart w:id="118" w:name="_Toc12139"/>
      <w:bookmarkStart w:id="119" w:name="_Toc5286"/>
      <w:bookmarkStart w:id="120" w:name="_Toc515647759"/>
      <w:r>
        <w:rPr>
          <w:rFonts w:hint="eastAsia" w:ascii="宋体" w:hAnsi="宋体" w:cs="宋体"/>
          <w:sz w:val="24"/>
          <w:highlight w:val="none"/>
        </w:rPr>
        <w:t>1.3供应商：是指响应谈判、参加报价竞争的法人、其他组织或者自然人。潜在供应商：以竞争性谈判文件规定的方式获取本项目竞争性谈判文件的法人、其他组织或者自然人。</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本项目的供应商须满足以下条件：</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1.3.1在中华人民共和国境内注册，能够独立承担民事责任，有生产或供应能力的本国供应商。</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1.3.2具备《中华人民共和国政府采购法》第二十二条关于供应商条件的规定，遵守本项目采购人本级和上级财政部门政府采购的有关规定。</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1.3.3以竞争性谈判文件规定的方式获得了本项目的竞争性谈判文件。</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1.3.4符合</w:t>
      </w:r>
      <w:r>
        <w:rPr>
          <w:rFonts w:hint="eastAsia" w:ascii="宋体" w:hAnsi="宋体" w:cs="宋体"/>
          <w:sz w:val="24"/>
          <w:highlight w:val="none"/>
          <w:u w:val="single"/>
        </w:rPr>
        <w:t>供应商须知资料表</w:t>
      </w:r>
      <w:r>
        <w:rPr>
          <w:rFonts w:hint="eastAsia" w:ascii="宋体" w:hAnsi="宋体" w:cs="宋体"/>
          <w:sz w:val="24"/>
          <w:highlight w:val="none"/>
        </w:rPr>
        <w:t>中规定的其他资格要求。</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1.3.5若</w:t>
      </w:r>
      <w:r>
        <w:rPr>
          <w:rFonts w:hint="eastAsia" w:ascii="宋体" w:hAnsi="宋体" w:cs="宋体"/>
          <w:sz w:val="24"/>
          <w:highlight w:val="none"/>
          <w:u w:val="single"/>
        </w:rPr>
        <w:t>供应商须知资料表</w:t>
      </w:r>
      <w:r>
        <w:rPr>
          <w:rFonts w:hint="eastAsia" w:ascii="宋体" w:hAnsi="宋体" w:cs="宋体"/>
          <w:sz w:val="24"/>
          <w:highlight w:val="none"/>
        </w:rPr>
        <w:t>中写明专门面向中小企业采购的，如供应商为非中小企业，其响应文件将被认定为响应文件无效。</w:t>
      </w:r>
    </w:p>
    <w:p>
      <w:pPr>
        <w:spacing w:line="560" w:lineRule="exact"/>
        <w:ind w:firstLine="480" w:firstLineChars="200"/>
        <w:jc w:val="left"/>
        <w:rPr>
          <w:rFonts w:ascii="宋体" w:hAnsi="宋体" w:cs="宋体"/>
          <w:sz w:val="24"/>
          <w:highlight w:val="none"/>
        </w:rPr>
      </w:pPr>
      <w:bookmarkStart w:id="121" w:name="_Toc21719"/>
      <w:r>
        <w:rPr>
          <w:rFonts w:hint="eastAsia" w:ascii="宋体" w:hAnsi="宋体" w:cs="宋体"/>
          <w:sz w:val="24"/>
          <w:highlight w:val="none"/>
        </w:rPr>
        <w:t>1.3.6 本次采购标的所属行业详见</w:t>
      </w:r>
      <w:r>
        <w:rPr>
          <w:rFonts w:hint="eastAsia" w:ascii="宋体" w:hAnsi="宋体" w:cs="宋体"/>
          <w:sz w:val="24"/>
          <w:highlight w:val="none"/>
          <w:u w:val="single"/>
        </w:rPr>
        <w:t>供应商须知资料表</w:t>
      </w:r>
      <w:r>
        <w:rPr>
          <w:rFonts w:hint="eastAsia" w:ascii="宋体" w:hAnsi="宋体" w:cs="宋体"/>
          <w:sz w:val="24"/>
          <w:highlight w:val="none"/>
        </w:rPr>
        <w:t>。</w:t>
      </w:r>
      <w:bookmarkEnd w:id="121"/>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1.3.7进口产品,是指通过中国海关报关验放进入中国境内且产自关境外的产品。若供应商须知资料表中写明允许采购进口产品，供应商应保证所报产品可履行合法报通关手续进入中国关境内。若</w:t>
      </w:r>
      <w:r>
        <w:rPr>
          <w:rFonts w:hint="eastAsia" w:ascii="宋体" w:hAnsi="宋体" w:cs="宋体"/>
          <w:sz w:val="24"/>
          <w:highlight w:val="none"/>
          <w:u w:val="single"/>
        </w:rPr>
        <w:t>供应商须知资料表</w:t>
      </w:r>
      <w:r>
        <w:rPr>
          <w:rFonts w:hint="eastAsia" w:ascii="宋体" w:hAnsi="宋体" w:cs="宋体"/>
          <w:sz w:val="24"/>
          <w:highlight w:val="none"/>
        </w:rPr>
        <w:t>中未写明允许采购进口产品，如供应商所报产品为进口产品，其响应文件将被认定为无效。</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1.4如</w:t>
      </w:r>
      <w:r>
        <w:rPr>
          <w:rFonts w:hint="eastAsia" w:ascii="宋体" w:hAnsi="宋体" w:cs="宋体"/>
          <w:sz w:val="24"/>
          <w:highlight w:val="none"/>
          <w:u w:val="single"/>
        </w:rPr>
        <w:t>供应商须知资料表</w:t>
      </w:r>
      <w:r>
        <w:rPr>
          <w:rFonts w:hint="eastAsia" w:ascii="宋体" w:hAnsi="宋体" w:cs="宋体"/>
          <w:sz w:val="24"/>
          <w:highlight w:val="none"/>
        </w:rPr>
        <w:t>中允许联合体进行响应，对联合体规定如下：</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1.4.1两个以上供应商可以组成一个联合体，以一个供应商的身份响应。</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1.4.2联合体各方均应符合1.3.2规定。</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1.4.3采购人根据采购项目对供应商的特殊要求，联合体中至少应当有一方符合相关规定。</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1.4.4联合体各方应签订共同响应协议，明确约定联合体各方承担的工作和相应的责任，并将共同响应协议连同响应文件一并提交，否则其响应文件将被认定为无效。</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1.4.5大中型企业、其他自然人、法人或者其他组织与小型、微型企业组成联合体共同参加响应，共同响应协议中应写明小型、微型企业的协议合同金额占到共同响应协议响应总金额的比例。</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1.4.6以联合体形式参加政府采购活动的，联合体各方不得再单独参加或者与其他供应商另外组成联合体参加本项目，否则其响应文件将被认定为无效。</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1.4.7对联合体响应的其他资格要求见</w:t>
      </w:r>
      <w:r>
        <w:rPr>
          <w:rFonts w:hint="eastAsia" w:ascii="宋体" w:hAnsi="宋体" w:cs="宋体"/>
          <w:sz w:val="24"/>
          <w:highlight w:val="none"/>
          <w:u w:val="single"/>
        </w:rPr>
        <w:t>供应商须知资料表</w:t>
      </w:r>
      <w:r>
        <w:rPr>
          <w:rFonts w:hint="eastAsia" w:ascii="宋体" w:hAnsi="宋体" w:cs="宋体"/>
          <w:sz w:val="24"/>
          <w:highlight w:val="none"/>
        </w:rPr>
        <w:t>。</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1.5货物：本项目第三章要求的所有项目。</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1.6单位负责人为同一人或者存在直接控股、管理关系的不同供应商，不得参加同一合同项下的政府采购活动，否则其相关响应文件均将被认定为</w:t>
      </w:r>
      <w:r>
        <w:rPr>
          <w:rFonts w:hint="eastAsia" w:ascii="宋体" w:hAnsi="宋体" w:cs="宋体"/>
          <w:bCs/>
          <w:sz w:val="24"/>
          <w:highlight w:val="none"/>
        </w:rPr>
        <w:t>响应文件无效。</w:t>
      </w:r>
    </w:p>
    <w:p>
      <w:pPr>
        <w:pStyle w:val="5"/>
        <w:spacing w:before="0" w:after="0" w:line="560" w:lineRule="exact"/>
        <w:rPr>
          <w:rFonts w:hAnsi="宋体" w:cs="宋体"/>
          <w:highlight w:val="none"/>
          <w:u w:val="none"/>
        </w:rPr>
      </w:pPr>
      <w:bookmarkStart w:id="122" w:name="_Toc26198"/>
      <w:r>
        <w:rPr>
          <w:rFonts w:hint="eastAsia" w:hAnsi="宋体" w:cs="宋体"/>
          <w:highlight w:val="none"/>
          <w:u w:val="none"/>
        </w:rPr>
        <w:t>2.资金来源</w:t>
      </w:r>
      <w:bookmarkEnd w:id="118"/>
      <w:bookmarkEnd w:id="119"/>
      <w:bookmarkEnd w:id="120"/>
      <w:bookmarkEnd w:id="122"/>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2.1本项目的采购人已获得足以支付本次谈判后所签订的合同项下的资金（包括财政性资金和本项目采购中无法与财政性资金分割的非财政性资金，预采购项目除外。）。</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2.2项目预算金额和分项或分包最高限价</w:t>
      </w:r>
      <w:r>
        <w:rPr>
          <w:rFonts w:hint="eastAsia" w:ascii="宋体" w:hAnsi="宋体" w:cs="宋体"/>
          <w:sz w:val="24"/>
          <w:highlight w:val="none"/>
          <w:u w:val="single"/>
        </w:rPr>
        <w:t>见供应商须知资料表</w:t>
      </w:r>
      <w:r>
        <w:rPr>
          <w:rFonts w:hint="eastAsia" w:ascii="宋体" w:hAnsi="宋体" w:cs="宋体"/>
          <w:sz w:val="24"/>
          <w:highlight w:val="none"/>
        </w:rPr>
        <w:t>。</w:t>
      </w:r>
    </w:p>
    <w:p>
      <w:pPr>
        <w:pStyle w:val="5"/>
        <w:spacing w:before="0" w:after="0" w:line="560" w:lineRule="exact"/>
        <w:rPr>
          <w:rFonts w:hAnsi="宋体" w:cs="宋体"/>
          <w:highlight w:val="none"/>
          <w:u w:val="none"/>
        </w:rPr>
      </w:pPr>
      <w:bookmarkStart w:id="123" w:name="_Toc28888"/>
      <w:bookmarkStart w:id="124" w:name="_Toc520356145"/>
      <w:bookmarkStart w:id="125" w:name="_Toc20526"/>
      <w:bookmarkStart w:id="126" w:name="_Toc515647760"/>
      <w:bookmarkStart w:id="127" w:name="_Toc15936"/>
      <w:r>
        <w:rPr>
          <w:rFonts w:hint="eastAsia" w:hAnsi="宋体" w:cs="宋体"/>
          <w:highlight w:val="none"/>
          <w:u w:val="none"/>
        </w:rPr>
        <w:t>3.响应费用</w:t>
      </w:r>
      <w:bookmarkEnd w:id="123"/>
      <w:bookmarkEnd w:id="124"/>
      <w:bookmarkEnd w:id="125"/>
      <w:bookmarkEnd w:id="126"/>
      <w:bookmarkEnd w:id="127"/>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不论响应的结果如何，供应商应承担所有与准备和参加响应有关的费用。</w:t>
      </w:r>
    </w:p>
    <w:p>
      <w:pPr>
        <w:pStyle w:val="5"/>
        <w:spacing w:before="0" w:after="0" w:line="560" w:lineRule="exact"/>
        <w:rPr>
          <w:rFonts w:hAnsi="宋体" w:cs="宋体"/>
          <w:highlight w:val="none"/>
          <w:u w:val="none"/>
        </w:rPr>
      </w:pPr>
      <w:bookmarkStart w:id="128" w:name="_Toc515647761"/>
      <w:bookmarkStart w:id="129" w:name="_Toc6116"/>
      <w:bookmarkStart w:id="130" w:name="_Toc12547"/>
      <w:bookmarkStart w:id="131" w:name="_Toc4463"/>
      <w:r>
        <w:rPr>
          <w:rFonts w:hint="eastAsia" w:hAnsi="宋体" w:cs="宋体"/>
          <w:highlight w:val="none"/>
          <w:u w:val="none"/>
        </w:rPr>
        <w:t>4.适用法律</w:t>
      </w:r>
      <w:bookmarkEnd w:id="128"/>
      <w:bookmarkEnd w:id="129"/>
      <w:bookmarkEnd w:id="130"/>
      <w:bookmarkEnd w:id="131"/>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本项目采购人、采购代理机构、供应商、谈判小组的相关行为均受《中华人民共和国政府采购法》、《中华人民共和国政府采购法实施条例》、</w:t>
      </w:r>
      <w:r>
        <w:rPr>
          <w:rFonts w:hint="eastAsia" w:ascii="宋体" w:hAnsi="宋体"/>
          <w:sz w:val="24"/>
          <w:highlight w:val="none"/>
        </w:rPr>
        <w:t>《政府采购非招标采购方式管理办法》</w:t>
      </w:r>
      <w:r>
        <w:rPr>
          <w:rFonts w:hint="eastAsia" w:ascii="宋体" w:hAnsi="宋体" w:cs="宋体"/>
          <w:sz w:val="24"/>
          <w:highlight w:val="none"/>
        </w:rPr>
        <w:t>及本项目本级和上级财政部门政府采购有关规定的约束和保护。</w:t>
      </w:r>
    </w:p>
    <w:p>
      <w:pPr>
        <w:spacing w:line="560" w:lineRule="exact"/>
        <w:ind w:firstLine="480" w:firstLineChars="200"/>
        <w:jc w:val="left"/>
        <w:rPr>
          <w:rFonts w:ascii="宋体" w:hAnsi="宋体" w:cs="宋体"/>
          <w:sz w:val="24"/>
          <w:highlight w:val="none"/>
        </w:rPr>
      </w:pPr>
    </w:p>
    <w:p>
      <w:pPr>
        <w:pStyle w:val="4"/>
        <w:spacing w:before="0" w:line="560" w:lineRule="exact"/>
        <w:ind w:firstLine="562" w:firstLineChars="200"/>
        <w:rPr>
          <w:rFonts w:ascii="宋体" w:hAnsi="宋体" w:eastAsia="宋体" w:cs="宋体"/>
          <w:sz w:val="28"/>
          <w:highlight w:val="none"/>
        </w:rPr>
      </w:pPr>
      <w:bookmarkStart w:id="132" w:name="_Toc515647762"/>
      <w:bookmarkStart w:id="133" w:name="_Toc216582806"/>
      <w:bookmarkStart w:id="134" w:name="_Toc21566"/>
      <w:bookmarkStart w:id="135" w:name="_Toc520356146"/>
      <w:bookmarkStart w:id="136" w:name="_Toc15198"/>
      <w:bookmarkStart w:id="137" w:name="_Toc4365"/>
      <w:r>
        <w:rPr>
          <w:rFonts w:hint="eastAsia" w:ascii="宋体" w:hAnsi="宋体" w:eastAsia="宋体" w:cs="宋体"/>
          <w:sz w:val="28"/>
          <w:highlight w:val="none"/>
        </w:rPr>
        <w:t>二、竞争性谈判文件</w:t>
      </w:r>
      <w:bookmarkEnd w:id="132"/>
      <w:bookmarkEnd w:id="133"/>
      <w:bookmarkEnd w:id="134"/>
      <w:bookmarkEnd w:id="135"/>
      <w:bookmarkEnd w:id="136"/>
      <w:bookmarkEnd w:id="137"/>
    </w:p>
    <w:p>
      <w:pPr>
        <w:pStyle w:val="8"/>
        <w:spacing w:line="560" w:lineRule="exact"/>
        <w:ind w:firstLine="480" w:firstLineChars="200"/>
        <w:rPr>
          <w:rFonts w:hAnsi="宋体" w:cs="宋体"/>
          <w:highlight w:val="none"/>
        </w:rPr>
      </w:pPr>
    </w:p>
    <w:p>
      <w:pPr>
        <w:pStyle w:val="5"/>
        <w:spacing w:before="0" w:after="0" w:line="560" w:lineRule="exact"/>
        <w:rPr>
          <w:rFonts w:hAnsi="宋体" w:cs="宋体"/>
          <w:highlight w:val="none"/>
          <w:u w:val="none"/>
        </w:rPr>
      </w:pPr>
      <w:bookmarkStart w:id="138" w:name="_Toc25743"/>
      <w:bookmarkStart w:id="139" w:name="_Toc515647763"/>
      <w:bookmarkStart w:id="140" w:name="_Toc15852"/>
      <w:bookmarkStart w:id="141" w:name="_Toc520356147"/>
      <w:bookmarkStart w:id="142" w:name="_Toc14084"/>
      <w:r>
        <w:rPr>
          <w:rFonts w:hint="eastAsia" w:hAnsi="宋体" w:cs="宋体"/>
          <w:highlight w:val="none"/>
          <w:u w:val="none"/>
        </w:rPr>
        <w:t>5.竞争性谈判文件构成</w:t>
      </w:r>
      <w:bookmarkEnd w:id="138"/>
      <w:bookmarkEnd w:id="139"/>
      <w:bookmarkEnd w:id="140"/>
      <w:bookmarkEnd w:id="141"/>
      <w:bookmarkEnd w:id="142"/>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5.1竞争性谈判文件共六章，内容如下：</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第一章  采购邀请</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第二章  供应商须知</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第三章  货物需求</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第四章  评审办法和标准</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第五章  响应文件格式</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第六章  政府采购合同格式</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5.2竞争性谈判文件中有不一致的，有澄清的部分以最终的澄清更正内容为准；未澄清的，以供应商须知资料表为准；供应商须知资料表不涉及的内容，以编排在后的描述为准。</w:t>
      </w:r>
    </w:p>
    <w:p>
      <w:pPr>
        <w:spacing w:line="560" w:lineRule="exact"/>
        <w:ind w:firstLine="480" w:firstLineChars="200"/>
        <w:jc w:val="left"/>
        <w:rPr>
          <w:rFonts w:ascii="宋体" w:hAnsi="宋体" w:cs="宋体"/>
          <w:bCs/>
          <w:sz w:val="24"/>
          <w:highlight w:val="none"/>
        </w:rPr>
      </w:pPr>
      <w:r>
        <w:rPr>
          <w:rFonts w:hint="eastAsia" w:ascii="宋体" w:hAnsi="宋体" w:cs="宋体"/>
          <w:sz w:val="24"/>
          <w:highlight w:val="none"/>
        </w:rPr>
        <w:t>5.3供应商应认真阅读竞争性谈判文件所有的事项、格式、条款和技术规范等。如供应商没有按照竞争性谈判文件要求提交全部资料，或者响应文件没有对竞争性谈判文件在各方面都做出实质性响应，会导致其响应文件将被认定为无效，</w:t>
      </w:r>
      <w:r>
        <w:rPr>
          <w:rFonts w:hint="eastAsia" w:ascii="宋体" w:hAnsi="宋体" w:cs="宋体"/>
          <w:bCs/>
          <w:sz w:val="24"/>
          <w:highlight w:val="none"/>
        </w:rPr>
        <w:t>该风险由供应商承担。</w:t>
      </w:r>
    </w:p>
    <w:p>
      <w:pPr>
        <w:spacing w:line="560" w:lineRule="exact"/>
        <w:ind w:firstLine="480" w:firstLineChars="200"/>
        <w:jc w:val="left"/>
        <w:rPr>
          <w:rFonts w:ascii="宋体" w:hAnsi="宋体" w:cs="宋体"/>
          <w:bCs/>
          <w:sz w:val="24"/>
          <w:highlight w:val="none"/>
        </w:rPr>
      </w:pPr>
      <w:bookmarkStart w:id="143" w:name="_Toc515904805"/>
      <w:bookmarkStart w:id="144" w:name="_Toc520356148"/>
      <w:bookmarkStart w:id="145" w:name="_Toc9232"/>
      <w:bookmarkStart w:id="146" w:name="_Toc26044"/>
      <w:r>
        <w:rPr>
          <w:rFonts w:hint="eastAsia" w:ascii="宋体" w:hAnsi="宋体" w:cs="宋体"/>
          <w:bCs/>
          <w:sz w:val="24"/>
          <w:highlight w:val="none"/>
        </w:rPr>
        <w:t>5.4竞争性谈判文件以中文编印，且以中文为准。</w:t>
      </w:r>
    </w:p>
    <w:p>
      <w:pPr>
        <w:spacing w:line="560" w:lineRule="exact"/>
        <w:ind w:firstLine="480" w:firstLineChars="200"/>
        <w:jc w:val="left"/>
        <w:rPr>
          <w:rFonts w:ascii="宋体" w:hAnsi="宋体" w:cs="宋体"/>
          <w:sz w:val="24"/>
          <w:highlight w:val="none"/>
        </w:rPr>
      </w:pPr>
      <w:r>
        <w:rPr>
          <w:rFonts w:hint="eastAsia" w:ascii="宋体" w:hAnsi="宋体" w:cs="宋体"/>
          <w:bCs/>
          <w:sz w:val="24"/>
          <w:highlight w:val="none"/>
        </w:rPr>
        <w:t>5.5除非有特殊要求，竞争性谈判文件不单独提供响应货物使用地的自然环</w:t>
      </w:r>
      <w:r>
        <w:rPr>
          <w:rFonts w:hint="eastAsia" w:ascii="宋体" w:hAnsi="宋体" w:cs="宋体"/>
          <w:sz w:val="24"/>
          <w:highlight w:val="none"/>
        </w:rPr>
        <w:t>境、气候条件、公用设施等情况，供应商被视为熟悉上述与履行合同有关的一切情况。</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5.6现场考察或者答疑会及相关事项详见</w:t>
      </w:r>
      <w:r>
        <w:rPr>
          <w:rFonts w:hint="eastAsia" w:ascii="宋体" w:hAnsi="宋体" w:cs="宋体"/>
          <w:sz w:val="24"/>
          <w:highlight w:val="none"/>
          <w:u w:val="single"/>
        </w:rPr>
        <w:t>供应商须知资料表</w:t>
      </w:r>
      <w:r>
        <w:rPr>
          <w:rFonts w:hint="eastAsia" w:ascii="宋体" w:hAnsi="宋体" w:cs="宋体"/>
          <w:sz w:val="24"/>
          <w:highlight w:val="none"/>
        </w:rPr>
        <w:t>。</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5.6.1竞争性谈判文件“供应商须知资料表”规定组织踏勘现场的，采购人按规定的时间、地点组织供应商踏勘项目现场，踏勘现场所发生的费用由供应商承担。</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5.6.2采购人向供应商提供的有关现场的资料和数据，是采购人现有的能使供应商利用的资料，采购人对供应商由此而做出的推论、理解和结论概不负责。</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5.6.3供应商经过采购人的允许，可进入项目现场踏勘，对供货（或施工）现场及其范围环境进行考察，以获取有关编制响应文件和签署实施合同所需的各项资料，但供应商及其人员不得因此使采购人及其人员承担有关的责任和蒙受损失。供应商并应对由此次踏勘现场而造成的死亡、人身伤害、财产损失、损害以及任何其它损失、损害和引起的费用和开支承担责任。</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5.7不论谈判结果如何，供应商的响应文件（含电子版）均不退还。</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5.8除竞争性谈判文件中另有规定外，竞争性谈判文件所使用的时间单位“天”、“日”均指日历天，且所有时刻均为北京时间。</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5.9参与谈判活动的各方应对竞争性谈判文件和响应文件中的商业和技术等秘密保密，违者应对由此造成的后果承担法律责任。</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5.10供应商应自行承担其准备和参加谈判活动发生的所有费用。不论谈判结果如何，采购人及采购代理机构在任何情况下无义务也无责任承担这些费用。</w:t>
      </w:r>
    </w:p>
    <w:p>
      <w:pPr>
        <w:pStyle w:val="5"/>
        <w:spacing w:before="0" w:after="0" w:line="560" w:lineRule="exact"/>
        <w:rPr>
          <w:rFonts w:hAnsi="宋体" w:cs="宋体"/>
          <w:highlight w:val="none"/>
          <w:u w:val="none"/>
        </w:rPr>
      </w:pPr>
      <w:bookmarkStart w:id="147" w:name="_Toc2772"/>
      <w:r>
        <w:rPr>
          <w:rFonts w:hint="eastAsia" w:hAnsi="宋体" w:cs="宋体"/>
          <w:highlight w:val="none"/>
          <w:u w:val="none"/>
        </w:rPr>
        <w:t>6.竞争性谈判文件的澄清</w:t>
      </w:r>
      <w:bookmarkEnd w:id="143"/>
      <w:bookmarkEnd w:id="144"/>
      <w:r>
        <w:rPr>
          <w:rFonts w:hint="eastAsia" w:hAnsi="宋体" w:cs="宋体"/>
          <w:highlight w:val="none"/>
          <w:u w:val="none"/>
        </w:rPr>
        <w:t>与修改</w:t>
      </w:r>
      <w:bookmarkEnd w:id="145"/>
      <w:bookmarkEnd w:id="146"/>
      <w:bookmarkEnd w:id="147"/>
    </w:p>
    <w:p>
      <w:pPr>
        <w:spacing w:line="560" w:lineRule="exact"/>
        <w:ind w:firstLine="480" w:firstLineChars="200"/>
        <w:jc w:val="left"/>
        <w:rPr>
          <w:rFonts w:ascii="宋体" w:hAnsi="宋体" w:cs="宋体"/>
          <w:sz w:val="24"/>
          <w:highlight w:val="none"/>
        </w:rPr>
      </w:pPr>
      <w:bookmarkStart w:id="148" w:name="_Ref467378678"/>
      <w:bookmarkStart w:id="149" w:name="_Toc515904806"/>
      <w:bookmarkStart w:id="150" w:name="_Toc520356149"/>
      <w:bookmarkStart w:id="151" w:name="_Toc14569"/>
      <w:bookmarkStart w:id="152" w:name="_Toc25635"/>
      <w:r>
        <w:rPr>
          <w:rFonts w:hint="eastAsia" w:ascii="宋体" w:hAnsi="宋体" w:cs="宋体"/>
          <w:sz w:val="24"/>
          <w:highlight w:val="none"/>
        </w:rPr>
        <w:t>6.1采购人可主动地或在解答供应商提出的澄清问题时对竞争性谈判文件澄清或修改。采购代理机构将以发布澄清（更正）公告的方式，澄清或修改竞争性谈判文件，同时</w:t>
      </w:r>
      <w:r>
        <w:rPr>
          <w:rFonts w:hint="eastAsia" w:ascii="宋体" w:hAnsi="宋体"/>
          <w:bCs/>
          <w:sz w:val="24"/>
          <w:highlight w:val="none"/>
        </w:rPr>
        <w:t>，采购代理机构可将澄清或修改内容以电子形式上传至系统中，</w:t>
      </w:r>
      <w:r>
        <w:rPr>
          <w:rFonts w:hint="eastAsia" w:ascii="宋体" w:hAnsi="宋体" w:cs="宋体"/>
          <w:sz w:val="24"/>
          <w:highlight w:val="none"/>
        </w:rPr>
        <w:t>澄清或修改内容作为竞争性谈判文件的组成部分。</w:t>
      </w:r>
    </w:p>
    <w:p>
      <w:pPr>
        <w:pStyle w:val="8"/>
        <w:spacing w:line="560" w:lineRule="exact"/>
        <w:ind w:firstLine="480" w:firstLineChars="200"/>
        <w:rPr>
          <w:rFonts w:hAnsi="宋体" w:cs="宋体"/>
          <w:highlight w:val="none"/>
        </w:rPr>
      </w:pPr>
      <w:r>
        <w:rPr>
          <w:rFonts w:hint="eastAsia" w:hAnsi="宋体" w:cs="宋体"/>
          <w:highlight w:val="none"/>
        </w:rPr>
        <w:t>6.2澄清或者修改的内容可能影响响应文件编制的，采购代理机构</w:t>
      </w:r>
      <w:r>
        <w:rPr>
          <w:rFonts w:hint="eastAsia" w:hAnsi="宋体" w:cs="宋体"/>
          <w:highlight w:val="none"/>
          <w:lang w:val="en-GB"/>
        </w:rPr>
        <w:t>应当在提交首次响应文件截止时间至少</w:t>
      </w:r>
      <w:r>
        <w:rPr>
          <w:rFonts w:hint="eastAsia" w:hAnsi="宋体" w:cs="宋体"/>
          <w:highlight w:val="none"/>
        </w:rPr>
        <w:t>3个工作日</w:t>
      </w:r>
      <w:r>
        <w:rPr>
          <w:rFonts w:hint="eastAsia" w:hAnsi="宋体" w:cs="宋体"/>
          <w:highlight w:val="none"/>
          <w:lang w:val="en-GB"/>
        </w:rPr>
        <w:t>前，</w:t>
      </w:r>
      <w:r>
        <w:rPr>
          <w:rFonts w:hint="eastAsia" w:hAnsi="宋体" w:cs="宋体"/>
          <w:highlight w:val="none"/>
        </w:rPr>
        <w:t>以书面或公告等形式通知所有获取竞争性谈判文件的潜在供应商，并对其具有约束力。</w:t>
      </w:r>
    </w:p>
    <w:p>
      <w:pPr>
        <w:pStyle w:val="8"/>
        <w:spacing w:line="560" w:lineRule="exact"/>
        <w:ind w:firstLine="480" w:firstLineChars="200"/>
        <w:rPr>
          <w:rFonts w:hAnsi="宋体" w:cs="宋体"/>
          <w:szCs w:val="24"/>
          <w:highlight w:val="none"/>
        </w:rPr>
      </w:pPr>
      <w:r>
        <w:rPr>
          <w:rFonts w:hint="eastAsia" w:hAnsi="宋体"/>
          <w:highlight w:val="none"/>
        </w:rPr>
        <w:t>供应商可登陆系统查看澄清或修改内容。</w:t>
      </w:r>
      <w:r>
        <w:rPr>
          <w:rFonts w:hint="eastAsia" w:hAnsi="宋体" w:cs="宋体"/>
          <w:szCs w:val="24"/>
          <w:highlight w:val="none"/>
        </w:rPr>
        <w:t>因潜在供应商原因或通讯线路故障导致逾期送达或无法送达，采购代理机构不因此承担任何责任，有关采购活动可以继续有效进行。</w:t>
      </w:r>
    </w:p>
    <w:p>
      <w:pPr>
        <w:spacing w:line="560" w:lineRule="exact"/>
        <w:ind w:firstLine="480" w:firstLineChars="200"/>
        <w:jc w:val="left"/>
        <w:rPr>
          <w:rFonts w:ascii="宋体" w:hAnsi="宋体" w:cs="宋体"/>
          <w:kern w:val="0"/>
          <w:sz w:val="24"/>
          <w:highlight w:val="none"/>
        </w:rPr>
      </w:pPr>
      <w:r>
        <w:rPr>
          <w:rFonts w:hint="eastAsia" w:ascii="宋体" w:hAnsi="宋体" w:cs="宋体"/>
          <w:kern w:val="0"/>
          <w:sz w:val="24"/>
          <w:highlight w:val="none"/>
        </w:rPr>
        <w:t>6.3供应商认为</w:t>
      </w:r>
      <w:r>
        <w:rPr>
          <w:rFonts w:hint="eastAsia" w:ascii="宋体" w:hAnsi="宋体" w:cs="宋体"/>
          <w:sz w:val="24"/>
          <w:highlight w:val="none"/>
        </w:rPr>
        <w:t>竞争性谈判</w:t>
      </w:r>
      <w:r>
        <w:rPr>
          <w:rFonts w:hint="eastAsia" w:ascii="宋体" w:hAnsi="宋体" w:cs="宋体"/>
          <w:kern w:val="0"/>
          <w:sz w:val="24"/>
          <w:highlight w:val="none"/>
        </w:rPr>
        <w:t>文件存在歧视性条款或不合理要求等需要澄清的，应在规定时间内一次性全部提出。</w:t>
      </w:r>
      <w:r>
        <w:rPr>
          <w:rFonts w:hint="eastAsia" w:ascii="宋体" w:hAnsi="宋体"/>
          <w:sz w:val="24"/>
          <w:highlight w:val="none"/>
        </w:rPr>
        <w:t>供应商可登录淄博市公共资源交易网“企业会员系统”使用“网上提问”中的“新增提问”提出异议。</w:t>
      </w:r>
      <w:r>
        <w:rPr>
          <w:rFonts w:hint="eastAsia" w:ascii="宋体" w:hAnsi="宋体" w:cs="宋体"/>
          <w:kern w:val="0"/>
          <w:sz w:val="24"/>
          <w:highlight w:val="none"/>
        </w:rPr>
        <w:t>如在规定时间内，供应商对</w:t>
      </w:r>
      <w:r>
        <w:rPr>
          <w:rFonts w:hint="eastAsia" w:ascii="宋体" w:hAnsi="宋体" w:cs="宋体"/>
          <w:sz w:val="24"/>
          <w:highlight w:val="none"/>
        </w:rPr>
        <w:t>竞争性谈判</w:t>
      </w:r>
      <w:r>
        <w:rPr>
          <w:rFonts w:hint="eastAsia" w:ascii="宋体" w:hAnsi="宋体" w:cs="宋体"/>
          <w:kern w:val="0"/>
          <w:sz w:val="24"/>
          <w:highlight w:val="none"/>
        </w:rPr>
        <w:t>文件中的各项条款未提出异议，即认为同意和接受</w:t>
      </w:r>
      <w:r>
        <w:rPr>
          <w:rFonts w:hint="eastAsia" w:ascii="宋体" w:hAnsi="宋体" w:cs="宋体"/>
          <w:sz w:val="24"/>
          <w:highlight w:val="none"/>
        </w:rPr>
        <w:t>竞争性谈判</w:t>
      </w:r>
      <w:r>
        <w:rPr>
          <w:rFonts w:hint="eastAsia" w:ascii="宋体" w:hAnsi="宋体" w:cs="宋体"/>
          <w:kern w:val="0"/>
          <w:sz w:val="24"/>
          <w:highlight w:val="none"/>
        </w:rPr>
        <w:t>文件。</w:t>
      </w:r>
    </w:p>
    <w:p>
      <w:pPr>
        <w:spacing w:line="560" w:lineRule="exact"/>
        <w:ind w:firstLine="480" w:firstLineChars="200"/>
        <w:jc w:val="left"/>
        <w:rPr>
          <w:rFonts w:ascii="宋体" w:hAnsi="宋体" w:cs="宋体"/>
          <w:sz w:val="24"/>
          <w:highlight w:val="none"/>
        </w:rPr>
      </w:pPr>
      <w:r>
        <w:rPr>
          <w:rFonts w:hint="eastAsia" w:ascii="宋体" w:hAnsi="宋体"/>
          <w:sz w:val="24"/>
          <w:highlight w:val="none"/>
        </w:rPr>
        <w:t>注：如有最新的答疑后竞争性谈判文件（文件格式为.</w:t>
      </w:r>
      <w:r>
        <w:rPr>
          <w:rFonts w:ascii="宋体" w:hAnsi="宋体"/>
          <w:sz w:val="24"/>
          <w:highlight w:val="none"/>
        </w:rPr>
        <w:t>zbcf</w:t>
      </w:r>
      <w:r>
        <w:rPr>
          <w:rFonts w:hint="eastAsia" w:ascii="宋体" w:hAnsi="宋体"/>
          <w:sz w:val="24"/>
          <w:highlight w:val="none"/>
        </w:rPr>
        <w:t>），供应商必须下载并使用该文件制作电子响应文件，否则将无法完成上传、参与谈判。</w:t>
      </w:r>
    </w:p>
    <w:p>
      <w:pPr>
        <w:pStyle w:val="5"/>
        <w:spacing w:before="0" w:after="0" w:line="560" w:lineRule="exact"/>
        <w:rPr>
          <w:rFonts w:hAnsi="宋体" w:cs="宋体"/>
          <w:highlight w:val="none"/>
          <w:u w:val="none"/>
        </w:rPr>
      </w:pPr>
      <w:bookmarkStart w:id="153" w:name="_Toc14872"/>
      <w:r>
        <w:rPr>
          <w:rFonts w:hint="eastAsia" w:hAnsi="宋体" w:cs="宋体"/>
          <w:highlight w:val="none"/>
          <w:u w:val="none"/>
        </w:rPr>
        <w:t>7</w:t>
      </w:r>
      <w:bookmarkEnd w:id="148"/>
      <w:bookmarkEnd w:id="149"/>
      <w:bookmarkEnd w:id="150"/>
      <w:r>
        <w:rPr>
          <w:rFonts w:hint="eastAsia" w:hAnsi="宋体" w:cs="宋体"/>
          <w:highlight w:val="none"/>
          <w:u w:val="none"/>
        </w:rPr>
        <w:t>.提交响应文件截止时间的顺延</w:t>
      </w:r>
      <w:bookmarkEnd w:id="151"/>
      <w:bookmarkEnd w:id="152"/>
      <w:bookmarkEnd w:id="153"/>
    </w:p>
    <w:p>
      <w:pPr>
        <w:pStyle w:val="22"/>
        <w:widowControl/>
        <w:snapToGrid w:val="0"/>
        <w:spacing w:before="0" w:beforeAutospacing="0" w:after="0" w:afterAutospacing="0" w:line="560" w:lineRule="exact"/>
        <w:ind w:firstLine="480" w:firstLineChars="200"/>
        <w:rPr>
          <w:rFonts w:ascii="宋体" w:hAnsi="宋体" w:cs="宋体"/>
          <w:highlight w:val="none"/>
        </w:rPr>
      </w:pPr>
      <w:r>
        <w:rPr>
          <w:rFonts w:hint="eastAsia" w:ascii="宋体" w:hAnsi="宋体" w:cs="宋体"/>
          <w:highlight w:val="none"/>
        </w:rPr>
        <w:t>澄清或者修改的内容可能影响响应文件编制的，采购人、采购代理机构应当在提交首次响应文件截止之日3个工作日前，以书面形式通知所有接收谈判文件的供应商，不足3个工作日的，应当顺延提交首次响应文件截止之日。</w:t>
      </w:r>
    </w:p>
    <w:p>
      <w:pPr>
        <w:spacing w:line="560" w:lineRule="exact"/>
        <w:ind w:firstLine="480" w:firstLineChars="200"/>
        <w:jc w:val="left"/>
        <w:rPr>
          <w:rFonts w:ascii="宋体" w:hAnsi="宋体" w:cs="宋体"/>
          <w:sz w:val="24"/>
          <w:highlight w:val="none"/>
        </w:rPr>
      </w:pPr>
    </w:p>
    <w:p>
      <w:pPr>
        <w:pStyle w:val="4"/>
        <w:tabs>
          <w:tab w:val="left" w:pos="900"/>
        </w:tabs>
        <w:spacing w:before="0" w:line="560" w:lineRule="exact"/>
        <w:ind w:firstLine="562" w:firstLineChars="200"/>
        <w:rPr>
          <w:rFonts w:ascii="宋体" w:hAnsi="宋体" w:eastAsia="宋体" w:cs="宋体"/>
          <w:sz w:val="28"/>
          <w:highlight w:val="none"/>
        </w:rPr>
      </w:pPr>
      <w:bookmarkStart w:id="154" w:name="_Toc516367020"/>
      <w:bookmarkStart w:id="155" w:name="_Toc216582807"/>
      <w:bookmarkStart w:id="156" w:name="_Toc7636"/>
      <w:bookmarkStart w:id="157" w:name="_Toc520356150"/>
      <w:bookmarkStart w:id="158" w:name="_Toc30808"/>
      <w:bookmarkStart w:id="159" w:name="_Toc515647766"/>
      <w:bookmarkStart w:id="160" w:name="_Toc28485"/>
      <w:r>
        <w:rPr>
          <w:rFonts w:hint="eastAsia" w:ascii="宋体" w:hAnsi="宋体" w:eastAsia="宋体" w:cs="宋体"/>
          <w:sz w:val="28"/>
          <w:highlight w:val="none"/>
        </w:rPr>
        <w:t>三、响应文件</w:t>
      </w:r>
      <w:bookmarkEnd w:id="154"/>
      <w:r>
        <w:rPr>
          <w:rFonts w:hint="eastAsia" w:ascii="宋体" w:hAnsi="宋体" w:eastAsia="宋体" w:cs="宋体"/>
          <w:sz w:val="28"/>
          <w:highlight w:val="none"/>
        </w:rPr>
        <w:t>的编制</w:t>
      </w:r>
      <w:bookmarkEnd w:id="155"/>
      <w:bookmarkEnd w:id="156"/>
      <w:bookmarkEnd w:id="157"/>
      <w:bookmarkEnd w:id="158"/>
      <w:bookmarkEnd w:id="159"/>
      <w:bookmarkEnd w:id="160"/>
    </w:p>
    <w:p>
      <w:pPr>
        <w:pStyle w:val="5"/>
        <w:spacing w:before="0" w:after="0" w:line="560" w:lineRule="exact"/>
        <w:rPr>
          <w:rFonts w:hAnsi="宋体" w:cs="宋体"/>
          <w:highlight w:val="none"/>
          <w:u w:val="none"/>
        </w:rPr>
      </w:pPr>
      <w:bookmarkStart w:id="161" w:name="_Toc515647767"/>
      <w:bookmarkStart w:id="162" w:name="_Toc3553"/>
      <w:bookmarkStart w:id="163" w:name="_Toc516367021"/>
      <w:bookmarkStart w:id="164" w:name="_Toc520356151"/>
      <w:bookmarkStart w:id="165" w:name="_Toc7786"/>
      <w:bookmarkStart w:id="166" w:name="_Toc14335"/>
      <w:r>
        <w:rPr>
          <w:rFonts w:hint="eastAsia" w:hAnsi="宋体" w:cs="宋体"/>
          <w:highlight w:val="none"/>
          <w:u w:val="none"/>
        </w:rPr>
        <w:t>8.响应范围及响应文件中标准和计量单位的使用</w:t>
      </w:r>
      <w:bookmarkEnd w:id="161"/>
      <w:bookmarkEnd w:id="162"/>
      <w:bookmarkEnd w:id="163"/>
      <w:bookmarkEnd w:id="164"/>
      <w:bookmarkEnd w:id="165"/>
      <w:bookmarkEnd w:id="166"/>
    </w:p>
    <w:p>
      <w:pPr>
        <w:spacing w:line="560" w:lineRule="exact"/>
        <w:ind w:firstLine="480" w:firstLineChars="200"/>
        <w:jc w:val="left"/>
        <w:rPr>
          <w:rFonts w:ascii="宋体" w:hAnsi="宋体" w:cs="宋体"/>
          <w:sz w:val="24"/>
          <w:highlight w:val="none"/>
        </w:rPr>
      </w:pPr>
      <w:bookmarkStart w:id="167" w:name="_Ref467306195"/>
      <w:bookmarkStart w:id="168" w:name="_Ref467306676"/>
      <w:bookmarkStart w:id="169" w:name="_Toc516367022"/>
      <w:bookmarkStart w:id="170" w:name="_Toc28307"/>
      <w:bookmarkStart w:id="171" w:name="_Toc515647768"/>
      <w:bookmarkStart w:id="172" w:name="_Toc520356152"/>
      <w:bookmarkStart w:id="173" w:name="_Toc10364"/>
      <w:r>
        <w:rPr>
          <w:rFonts w:hint="eastAsia" w:ascii="宋体" w:hAnsi="宋体" w:cs="宋体"/>
          <w:sz w:val="24"/>
          <w:highlight w:val="none"/>
        </w:rPr>
        <w:t>8.1供应商可对竞争性谈判文件其中一个或几个分包进行响应。除非在</w:t>
      </w:r>
      <w:r>
        <w:rPr>
          <w:rFonts w:hint="eastAsia" w:ascii="宋体" w:hAnsi="宋体" w:cs="宋体"/>
          <w:sz w:val="24"/>
          <w:highlight w:val="none"/>
          <w:u w:val="single"/>
        </w:rPr>
        <w:t>供应商须知资料表</w:t>
      </w:r>
      <w:r>
        <w:rPr>
          <w:rFonts w:hint="eastAsia" w:ascii="宋体" w:hAnsi="宋体" w:cs="宋体"/>
          <w:sz w:val="24"/>
          <w:highlight w:val="none"/>
        </w:rPr>
        <w:t>中另有规定。</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8.2供应商应当</w:t>
      </w:r>
      <w:r>
        <w:rPr>
          <w:rFonts w:ascii="宋体" w:hAnsi="宋体"/>
          <w:sz w:val="24"/>
          <w:highlight w:val="none"/>
        </w:rPr>
        <w:t>对所</w:t>
      </w:r>
      <w:r>
        <w:rPr>
          <w:rFonts w:hint="eastAsia" w:ascii="宋体" w:hAnsi="宋体"/>
          <w:sz w:val="24"/>
          <w:highlight w:val="none"/>
        </w:rPr>
        <w:t>响应标包中</w:t>
      </w:r>
      <w:r>
        <w:rPr>
          <w:rFonts w:hint="eastAsia" w:ascii="宋体" w:hAnsi="宋体" w:cs="宋体"/>
          <w:sz w:val="24"/>
          <w:highlight w:val="none"/>
        </w:rPr>
        <w:t>“货物需求”所列的所有内容进行响应，如仅响应某一包中的部分内容，其响应文件将被认定为无效。</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8.3无论竞争性谈判文件第三章“货物需求”中是否要求，供应商所报货物均应符合国家强制性标准。</w:t>
      </w:r>
    </w:p>
    <w:p>
      <w:pPr>
        <w:tabs>
          <w:tab w:val="left" w:pos="900"/>
          <w:tab w:val="left" w:pos="5580"/>
        </w:tabs>
        <w:spacing w:line="560" w:lineRule="exact"/>
        <w:ind w:firstLine="480" w:firstLineChars="200"/>
        <w:jc w:val="left"/>
        <w:rPr>
          <w:rFonts w:ascii="宋体" w:hAnsi="宋体"/>
          <w:sz w:val="24"/>
          <w:highlight w:val="none"/>
        </w:rPr>
      </w:pPr>
      <w:r>
        <w:rPr>
          <w:rFonts w:hint="eastAsia" w:ascii="宋体" w:hAnsi="宋体"/>
          <w:sz w:val="24"/>
          <w:highlight w:val="none"/>
        </w:rPr>
        <w:t>8.4除竞争性谈判文件中有特殊要求外，响应文件中所使用的计量单位，应采用中华人民共和国法定计量单位。</w:t>
      </w:r>
    </w:p>
    <w:p>
      <w:pPr>
        <w:tabs>
          <w:tab w:val="left" w:pos="900"/>
          <w:tab w:val="left" w:pos="5580"/>
        </w:tabs>
        <w:spacing w:line="560" w:lineRule="exact"/>
        <w:ind w:firstLine="480" w:firstLineChars="200"/>
        <w:jc w:val="left"/>
        <w:rPr>
          <w:rFonts w:ascii="宋体" w:hAnsi="宋体"/>
          <w:sz w:val="24"/>
          <w:highlight w:val="none"/>
        </w:rPr>
      </w:pPr>
      <w:bookmarkStart w:id="174" w:name="_Toc20865"/>
      <w:r>
        <w:rPr>
          <w:rFonts w:hint="eastAsia" w:ascii="宋体" w:hAnsi="宋体"/>
          <w:sz w:val="24"/>
          <w:highlight w:val="none"/>
        </w:rPr>
        <w:t>8.5关于兼投不兼中要求详见供</w:t>
      </w:r>
      <w:r>
        <w:rPr>
          <w:rFonts w:hint="eastAsia" w:ascii="宋体" w:hAnsi="宋体"/>
          <w:sz w:val="24"/>
          <w:highlight w:val="none"/>
          <w:u w:val="single"/>
        </w:rPr>
        <w:t>应商须知资料表</w:t>
      </w:r>
      <w:r>
        <w:rPr>
          <w:rFonts w:hint="eastAsia" w:ascii="宋体" w:hAnsi="宋体"/>
          <w:sz w:val="24"/>
          <w:highlight w:val="none"/>
        </w:rPr>
        <w:t>。</w:t>
      </w:r>
      <w:bookmarkEnd w:id="174"/>
    </w:p>
    <w:p>
      <w:pPr>
        <w:tabs>
          <w:tab w:val="left" w:pos="900"/>
          <w:tab w:val="left" w:pos="5580"/>
        </w:tabs>
        <w:spacing w:line="560" w:lineRule="exact"/>
        <w:ind w:firstLine="480" w:firstLineChars="200"/>
        <w:jc w:val="left"/>
        <w:rPr>
          <w:rFonts w:ascii="宋体" w:hAnsi="宋体"/>
          <w:sz w:val="24"/>
          <w:highlight w:val="none"/>
        </w:rPr>
      </w:pPr>
      <w:r>
        <w:rPr>
          <w:rFonts w:hint="eastAsia" w:ascii="宋体" w:hAnsi="宋体"/>
          <w:sz w:val="24"/>
          <w:highlight w:val="none"/>
        </w:rPr>
        <w:t>8.6响应文件中提供的扫描件应当真实、完整、清晰，由此造成的一切不利后果由供应商自行承担。</w:t>
      </w:r>
    </w:p>
    <w:p>
      <w:pPr>
        <w:pStyle w:val="5"/>
        <w:spacing w:before="0" w:after="0" w:line="560" w:lineRule="exact"/>
        <w:rPr>
          <w:rFonts w:hAnsi="宋体" w:cs="宋体"/>
          <w:highlight w:val="none"/>
          <w:u w:val="none"/>
        </w:rPr>
      </w:pPr>
      <w:bookmarkStart w:id="175" w:name="_Toc25756"/>
      <w:r>
        <w:rPr>
          <w:rFonts w:hint="eastAsia" w:hAnsi="宋体" w:cs="宋体"/>
          <w:highlight w:val="none"/>
          <w:u w:val="none"/>
        </w:rPr>
        <w:t>9.响应文件</w:t>
      </w:r>
      <w:bookmarkEnd w:id="167"/>
      <w:bookmarkEnd w:id="168"/>
      <w:bookmarkEnd w:id="169"/>
      <w:r>
        <w:rPr>
          <w:rFonts w:hint="eastAsia" w:hAnsi="宋体" w:cs="宋体"/>
          <w:highlight w:val="none"/>
          <w:u w:val="none"/>
        </w:rPr>
        <w:t>构成</w:t>
      </w:r>
      <w:bookmarkEnd w:id="170"/>
      <w:bookmarkEnd w:id="171"/>
      <w:bookmarkEnd w:id="172"/>
      <w:bookmarkEnd w:id="173"/>
      <w:bookmarkEnd w:id="175"/>
    </w:p>
    <w:p>
      <w:pPr>
        <w:tabs>
          <w:tab w:val="left" w:pos="900"/>
          <w:tab w:val="left" w:pos="5580"/>
        </w:tabs>
        <w:spacing w:line="560" w:lineRule="exact"/>
        <w:ind w:firstLine="480" w:firstLineChars="200"/>
        <w:jc w:val="left"/>
        <w:rPr>
          <w:rFonts w:ascii="宋体" w:hAnsi="宋体" w:cs="宋体"/>
          <w:sz w:val="24"/>
          <w:highlight w:val="none"/>
        </w:rPr>
      </w:pPr>
      <w:bookmarkStart w:id="176" w:name="_Ref467052588"/>
      <w:r>
        <w:rPr>
          <w:rFonts w:hint="eastAsia" w:ascii="宋体" w:hAnsi="宋体" w:cs="宋体"/>
          <w:sz w:val="24"/>
          <w:highlight w:val="none"/>
        </w:rPr>
        <w:t>9.1供应商应通过</w:t>
      </w:r>
      <w:r>
        <w:rPr>
          <w:rFonts w:hint="eastAsia" w:ascii="宋体" w:hAnsi="宋体"/>
          <w:sz w:val="24"/>
          <w:highlight w:val="none"/>
        </w:rPr>
        <w:t>淄博市公共资源交易网下载的“电子投标文件制作工具”</w:t>
      </w:r>
      <w:r>
        <w:rPr>
          <w:rFonts w:hint="eastAsia" w:ascii="宋体" w:hAnsi="宋体" w:cs="宋体"/>
          <w:sz w:val="24"/>
          <w:highlight w:val="none"/>
        </w:rPr>
        <w:t>编写响应文件。</w:t>
      </w:r>
      <w:r>
        <w:rPr>
          <w:rFonts w:hint="eastAsia" w:ascii="宋体" w:hAnsi="宋体"/>
          <w:sz w:val="24"/>
          <w:highlight w:val="none"/>
        </w:rPr>
        <w:t>在提交响应文件截止时间前上传经过数字证书电子签章并加密的电子响应文件（加密和解密必须使用同一数字证书）。</w:t>
      </w:r>
      <w:r>
        <w:rPr>
          <w:rFonts w:hint="eastAsia" w:ascii="宋体" w:hAnsi="宋体" w:cs="宋体"/>
          <w:sz w:val="24"/>
          <w:highlight w:val="none"/>
        </w:rPr>
        <w:t>响应文件中资格审查和符合性审查涉及的事项不满足竞争性谈判文件要求的，其响应文件将被认定为无效。</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9.2 上述文件应按照竞争性谈判文件规定签署。采用公章授权方式的，应当在响应文件中附公章授权书（格式自定）。</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9.3本项目采用电子响应，须使用用于证明供应商身份的单位电子签名的实名认证证书和用于供应商编制电子响应文件的响应文件制作软件。</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申请办理实名认证证书的方式：详见</w:t>
      </w:r>
      <w:r>
        <w:rPr>
          <w:rFonts w:hint="eastAsia" w:ascii="宋体" w:hAnsi="宋体"/>
          <w:sz w:val="24"/>
          <w:highlight w:val="none"/>
        </w:rPr>
        <w:t>《数字证书办理注意事项及相关资料下载》（</w:t>
      </w:r>
      <w:r>
        <w:rPr>
          <w:rFonts w:hint="eastAsia" w:ascii="宋体" w:hAnsi="宋体" w:cs="宋体"/>
          <w:sz w:val="24"/>
          <w:highlight w:val="none"/>
        </w:rPr>
        <w:t>淄博市公共资源交易网→我要下载）。</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电子响应基本流程：详见“新点投标文件制作软件（淄博版）操作视频-采购类”（淄博市公共资源交易网→</w:t>
      </w:r>
      <w:r>
        <w:rPr>
          <w:rFonts w:hint="eastAsia" w:ascii="宋体" w:hAnsi="宋体"/>
          <w:sz w:val="24"/>
          <w:highlight w:val="none"/>
        </w:rPr>
        <w:t>我要下载）。</w:t>
      </w:r>
    </w:p>
    <w:p>
      <w:pPr>
        <w:spacing w:line="560" w:lineRule="exact"/>
        <w:ind w:firstLine="480" w:firstLineChars="200"/>
        <w:jc w:val="left"/>
        <w:rPr>
          <w:rFonts w:ascii="宋体" w:hAnsi="宋体"/>
          <w:sz w:val="24"/>
          <w:highlight w:val="none"/>
        </w:rPr>
      </w:pPr>
      <w:r>
        <w:rPr>
          <w:rFonts w:hint="eastAsia" w:ascii="宋体" w:hAnsi="宋体"/>
          <w:sz w:val="24"/>
          <w:highlight w:val="none"/>
        </w:rPr>
        <w:t>供应商在提交响应文件截止时间前，可以对其所递交的响应文件进行撤回、修改并重新上传，但以提交响应文件截止时间前最后一次完成上传的响应文件为有效响应文件。逾期系统将自动关闭，未完成上传的响应文件视为逾期送达，将被拒绝。</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请确保在提交响应文件截止时实名认证证书在有效期内，供应商实名认证证书在续期后务必在提交响应文件截止前重新制作和上传电子响应文件</w:t>
      </w:r>
      <w:r>
        <w:rPr>
          <w:rFonts w:hint="eastAsia" w:ascii="宋体" w:hAnsi="宋体"/>
          <w:sz w:val="24"/>
          <w:highlight w:val="none"/>
        </w:rPr>
        <w:t>（文件格式为.zbtf）</w:t>
      </w:r>
      <w:r>
        <w:rPr>
          <w:rFonts w:hint="eastAsia" w:ascii="宋体" w:hAnsi="宋体" w:cs="宋体"/>
          <w:sz w:val="24"/>
          <w:highlight w:val="none"/>
        </w:rPr>
        <w:t>，否则将造成电子响应文件无法进行解密（加密和解密必须使用同一数字证书）。</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因供应商以下原因，响应将被拒绝：</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（1）提交响应文件截止时间前，供应商未成功上传响应文件的；</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（2）对已生成的电子响应文件进行破解、修改、压缩等不当操作，或自备的解密电脑环境配置不当等原因导致无法解密的；</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（3）提交响应文件截止时，实名认证证书过期失效、密码丢失，或者供应商实名认证证书在续期后未在提交响应文件截止前重新制作和上传电子响应文件，导致无法解密的。</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（4）提交响应文件截止时间后，供应商在规定时长内未能成功解密的。</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9.4供应商提交的响应文件应包含以下各个部分，具体组成内容见第五章响应文件格式。</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9.4.1报价一览表</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9.4.2</w:t>
      </w:r>
      <w:r>
        <w:rPr>
          <w:rFonts w:hint="eastAsia" w:ascii="宋体" w:hAnsi="宋体"/>
          <w:bCs/>
          <w:sz w:val="24"/>
          <w:highlight w:val="none"/>
        </w:rPr>
        <w:t>资格证明文件</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9.4.2.1供应商须对提交的资格证明真实性、有效性、完整性负责。</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9.4.2.2资格证明的字迹、印章必须完整、清晰，否则其响应文件将会被拒绝。</w:t>
      </w:r>
    </w:p>
    <w:p>
      <w:pPr>
        <w:spacing w:line="560" w:lineRule="exact"/>
        <w:ind w:firstLine="480" w:firstLineChars="200"/>
        <w:rPr>
          <w:rFonts w:ascii="宋体" w:hAnsi="宋体"/>
          <w:bCs/>
          <w:sz w:val="24"/>
          <w:highlight w:val="none"/>
        </w:rPr>
      </w:pPr>
      <w:r>
        <w:rPr>
          <w:rFonts w:hint="eastAsia" w:ascii="宋体" w:hAnsi="宋体" w:cs="宋体"/>
          <w:bCs/>
          <w:sz w:val="24"/>
          <w:highlight w:val="none"/>
        </w:rPr>
        <w:t>9.4.2.3供应商当将其资格证明文件中的相关证书（证件）的扫描件上传至电子响应文件对应当章节中，并确保清晰可见，未按要求上传或扫描件不清晰的，将导致资格审查不予通过，一切后果由供应商负责。</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9.4.3商务部分</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a、投标函</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b、报价明细表</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c、符合价格扣除条件的供应商需提供的资料</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d、企业基本情况表</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e、技术规格、参数偏离表</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f、供应商承接的同类项目业绩合同</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g、相关检测报告及认证证书</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h、质量保证措施、质保期限及售后服务承诺</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i、质保及维修人员配备及明细表</w:t>
      </w:r>
    </w:p>
    <w:p>
      <w:pPr>
        <w:spacing w:line="560" w:lineRule="exact"/>
        <w:ind w:firstLine="480" w:firstLineChars="200"/>
        <w:rPr>
          <w:rFonts w:ascii="宋体" w:hAnsi="宋体" w:cs="宋体"/>
          <w:bCs/>
          <w:sz w:val="24"/>
          <w:highlight w:val="none"/>
        </w:rPr>
      </w:pPr>
      <w:r>
        <w:rPr>
          <w:rFonts w:hint="eastAsia" w:ascii="宋体" w:hAnsi="宋体" w:cs="宋体"/>
          <w:bCs/>
          <w:sz w:val="24"/>
          <w:highlight w:val="none"/>
        </w:rPr>
        <w:t>9.4.4技术部分</w:t>
      </w:r>
    </w:p>
    <w:bookmarkEnd w:id="176"/>
    <w:p>
      <w:pPr>
        <w:spacing w:line="560" w:lineRule="exact"/>
        <w:ind w:firstLine="480" w:firstLineChars="200"/>
        <w:jc w:val="left"/>
        <w:rPr>
          <w:rFonts w:ascii="宋体" w:hAnsi="宋体" w:cs="宋体"/>
          <w:bCs/>
          <w:sz w:val="24"/>
          <w:highlight w:val="none"/>
        </w:rPr>
      </w:pPr>
      <w:bookmarkStart w:id="177" w:name="_Toc2248"/>
      <w:bookmarkStart w:id="178" w:name="_Toc515647770"/>
      <w:bookmarkStart w:id="179" w:name="_Toc520356155"/>
      <w:bookmarkStart w:id="180" w:name="_Toc23231"/>
      <w:bookmarkStart w:id="181" w:name="_Toc7249"/>
      <w:r>
        <w:rPr>
          <w:rFonts w:hint="eastAsia" w:ascii="宋体" w:hAnsi="宋体" w:cs="宋体"/>
          <w:bCs/>
          <w:sz w:val="24"/>
          <w:highlight w:val="none"/>
        </w:rPr>
        <w:t>（1）详细技术资料（包括品牌型号、外观质量、制造工艺、结构、技术参数、技术指标、性能指标、优势特点、质量水平、制造标准等的详细描述）；</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 xml:space="preserve">（2）供货设计、加工、安装方案； </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 xml:space="preserve">（3）人员配置、质量保障、产品运输、验收等主要技术保障措施； </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 xml:space="preserve">（4）质量保证措施； </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 xml:space="preserve">（5）产品的技术服务和售后服务承诺内容及措施(包括：质保期、上门服务响应时间、故障排除时限、维护力量安排、完工时间、维修承诺等)； </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(6)供应商认为应该提交的其他资料。</w:t>
      </w:r>
    </w:p>
    <w:p>
      <w:pPr>
        <w:pStyle w:val="5"/>
        <w:spacing w:before="0" w:after="0" w:line="560" w:lineRule="exact"/>
        <w:rPr>
          <w:rFonts w:hAnsi="宋体" w:cs="宋体"/>
          <w:highlight w:val="none"/>
          <w:u w:val="none"/>
        </w:rPr>
      </w:pPr>
      <w:r>
        <w:rPr>
          <w:rFonts w:hint="eastAsia" w:hAnsi="宋体" w:cs="宋体"/>
          <w:highlight w:val="none"/>
          <w:u w:val="none"/>
        </w:rPr>
        <w:t>10.</w:t>
      </w:r>
      <w:bookmarkEnd w:id="177"/>
      <w:bookmarkEnd w:id="178"/>
      <w:bookmarkEnd w:id="179"/>
      <w:bookmarkEnd w:id="180"/>
      <w:r>
        <w:rPr>
          <w:rFonts w:hint="eastAsia" w:hAnsi="宋体" w:cs="宋体"/>
          <w:highlight w:val="none"/>
          <w:u w:val="none"/>
        </w:rPr>
        <w:t>报价</w:t>
      </w:r>
      <w:bookmarkEnd w:id="181"/>
    </w:p>
    <w:p>
      <w:pPr>
        <w:spacing w:line="560" w:lineRule="exact"/>
        <w:ind w:firstLine="480" w:firstLineChars="200"/>
        <w:rPr>
          <w:rFonts w:ascii="宋体" w:hAnsi="宋体" w:cs="宋体"/>
          <w:bCs/>
          <w:sz w:val="24"/>
          <w:highlight w:val="none"/>
        </w:rPr>
      </w:pPr>
      <w:r>
        <w:rPr>
          <w:rFonts w:hint="eastAsia" w:ascii="宋体" w:hAnsi="宋体" w:cs="宋体"/>
          <w:sz w:val="24"/>
          <w:highlight w:val="none"/>
        </w:rPr>
        <w:t>10.1供应商的报价应当包括满足本次谈判全部采购需求所应提供的货物。</w:t>
      </w:r>
      <w:r>
        <w:rPr>
          <w:rFonts w:hint="eastAsia" w:ascii="宋体" w:hAnsi="宋体" w:cs="宋体"/>
          <w:bCs/>
          <w:sz w:val="24"/>
          <w:highlight w:val="none"/>
        </w:rPr>
        <w:t>报价要求详见</w:t>
      </w:r>
      <w:r>
        <w:rPr>
          <w:rFonts w:hint="eastAsia" w:ascii="宋体" w:hAnsi="宋体" w:cs="宋体"/>
          <w:bCs/>
          <w:sz w:val="24"/>
          <w:highlight w:val="none"/>
          <w:u w:val="single"/>
        </w:rPr>
        <w:t>供应商须知资料表</w:t>
      </w:r>
      <w:r>
        <w:rPr>
          <w:rFonts w:hint="eastAsia" w:ascii="宋体" w:hAnsi="宋体" w:cs="宋体"/>
          <w:bCs/>
          <w:sz w:val="24"/>
          <w:highlight w:val="none"/>
        </w:rPr>
        <w:t>。供应商的报价应遵守《中华人民共和国价格法》。</w:t>
      </w:r>
      <w:r>
        <w:rPr>
          <w:rFonts w:ascii="宋体" w:hAnsi="宋体" w:cs="宋体"/>
          <w:bCs/>
          <w:sz w:val="24"/>
          <w:highlight w:val="none"/>
        </w:rPr>
        <w:t>为保证公平竞争，如有服务主体部分有与项目无关的赠与行为，其响应文件将被认定为响应文件无效。</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10.2供应商应在分项报价表上标明响应货物及相关服务、工程的单价（如适用）和总价。</w:t>
      </w:r>
    </w:p>
    <w:p>
      <w:pPr>
        <w:spacing w:line="560" w:lineRule="exact"/>
        <w:ind w:firstLine="480" w:firstLineChars="200"/>
        <w:jc w:val="left"/>
        <w:rPr>
          <w:rFonts w:ascii="宋体" w:hAnsi="宋体"/>
          <w:bCs/>
          <w:sz w:val="24"/>
          <w:highlight w:val="none"/>
        </w:rPr>
      </w:pPr>
      <w:r>
        <w:rPr>
          <w:rFonts w:hint="eastAsia" w:ascii="宋体" w:hAnsi="宋体"/>
          <w:bCs/>
          <w:sz w:val="24"/>
          <w:highlight w:val="none"/>
        </w:rPr>
        <w:t>10.3供应商报价超过谈判文件规定的预算金额或者最高限价的，其响应将被认定为响应无效</w:t>
      </w:r>
      <w:r>
        <w:rPr>
          <w:rFonts w:ascii="宋体" w:hAnsi="宋体"/>
          <w:bCs/>
          <w:sz w:val="24"/>
          <w:highlight w:val="none"/>
        </w:rPr>
        <w:t>。</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10.4供应商所报的各分项单价在合同履行过程中是固定不变的，不得以任何理由予以变更。</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10.5采购人不接受具有附加条件的报价或多个方案的报价。</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10.6若技术要求及说明中未体现“允许采购进口产品”字样，供应商不允许采用进口产品报价。</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10.7通过资格性审查和符合性审查的供应商有再次报价的机会，但每一次报价均应以书面形式确认。价格的评审以最后报价为准。</w:t>
      </w:r>
    </w:p>
    <w:p>
      <w:pPr>
        <w:pStyle w:val="5"/>
        <w:rPr>
          <w:highlight w:val="none"/>
          <w:u w:val="none"/>
        </w:rPr>
      </w:pPr>
      <w:bookmarkStart w:id="182" w:name="_Toc12879"/>
      <w:r>
        <w:rPr>
          <w:rFonts w:hint="eastAsia"/>
          <w:highlight w:val="none"/>
          <w:u w:val="none"/>
        </w:rPr>
        <w:t>11.电子版响应文件</w:t>
      </w:r>
      <w:bookmarkEnd w:id="182"/>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11.1电子版响应文件内容为上述9.4条款要求内容，</w:t>
      </w:r>
      <w:r>
        <w:rPr>
          <w:rFonts w:hint="eastAsia" w:ascii="宋体" w:hAnsi="宋体"/>
          <w:sz w:val="24"/>
          <w:highlight w:val="none"/>
        </w:rPr>
        <w:t>格式为加密的电子响应文件（文件格式为.zbtf）</w:t>
      </w:r>
      <w:r>
        <w:rPr>
          <w:rFonts w:hint="eastAsia" w:ascii="宋体" w:hAnsi="宋体" w:cs="宋体"/>
          <w:sz w:val="24"/>
          <w:highlight w:val="none"/>
        </w:rPr>
        <w:t>。</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11</w:t>
      </w:r>
      <w:r>
        <w:rPr>
          <w:rFonts w:ascii="宋体" w:hAnsi="宋体" w:cs="宋体"/>
          <w:sz w:val="24"/>
          <w:highlight w:val="none"/>
        </w:rPr>
        <w:t>.2</w:t>
      </w:r>
      <w:r>
        <w:rPr>
          <w:rFonts w:hint="eastAsia" w:ascii="宋体" w:hAnsi="宋体"/>
          <w:sz w:val="24"/>
          <w:highlight w:val="none"/>
        </w:rPr>
        <w:t>供应商应当在提交响应文件截止时间前通过淄博市公共资源交易平台系统上传响应文件。</w:t>
      </w:r>
    </w:p>
    <w:p>
      <w:pPr>
        <w:spacing w:line="560" w:lineRule="exact"/>
        <w:ind w:firstLine="480"/>
        <w:rPr>
          <w:rFonts w:ascii="宋体" w:hAnsi="宋体" w:cs="宋体"/>
          <w:sz w:val="24"/>
          <w:highlight w:val="none"/>
        </w:rPr>
      </w:pPr>
      <w:r>
        <w:rPr>
          <w:rFonts w:hint="eastAsia" w:ascii="宋体" w:hAnsi="宋体" w:cs="宋体"/>
          <w:sz w:val="24"/>
          <w:highlight w:val="none"/>
        </w:rPr>
        <w:t>11.3无论成交结果如何，在开标后，电子版响应文件均不退回。</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11.4</w:t>
      </w:r>
      <w:r>
        <w:rPr>
          <w:rFonts w:hint="eastAsia" w:ascii="宋体" w:hAnsi="宋体" w:cs="宋体"/>
          <w:sz w:val="24"/>
          <w:highlight w:val="none"/>
          <w:u w:val="single"/>
        </w:rPr>
        <w:t>供应商须知资料表</w:t>
      </w:r>
      <w:r>
        <w:rPr>
          <w:rFonts w:hint="eastAsia" w:ascii="宋体" w:hAnsi="宋体" w:cs="宋体"/>
          <w:sz w:val="24"/>
          <w:highlight w:val="none"/>
        </w:rPr>
        <w:t>规定供应商应提交样品的，样品构成谈判文件的组成部分。</w:t>
      </w:r>
    </w:p>
    <w:p>
      <w:pPr>
        <w:pStyle w:val="5"/>
        <w:spacing w:before="0" w:after="0" w:line="560" w:lineRule="exact"/>
        <w:rPr>
          <w:rFonts w:hAnsi="宋体" w:cs="宋体"/>
          <w:highlight w:val="none"/>
          <w:u w:val="none"/>
        </w:rPr>
      </w:pPr>
      <w:bookmarkStart w:id="183" w:name="_Toc18542"/>
      <w:bookmarkStart w:id="184" w:name="_Toc17788"/>
      <w:bookmarkStart w:id="185" w:name="_Ref467306513"/>
      <w:bookmarkStart w:id="186" w:name="_Toc11514"/>
      <w:bookmarkStart w:id="187" w:name="_Toc520356156"/>
      <w:bookmarkStart w:id="188" w:name="_Toc515647771"/>
      <w:r>
        <w:rPr>
          <w:rFonts w:hint="eastAsia" w:hAnsi="宋体" w:cs="宋体"/>
          <w:highlight w:val="none"/>
          <w:u w:val="none"/>
        </w:rPr>
        <w:t>12.谈判保证金</w:t>
      </w:r>
      <w:bookmarkEnd w:id="183"/>
      <w:bookmarkEnd w:id="184"/>
      <w:bookmarkEnd w:id="185"/>
      <w:bookmarkEnd w:id="186"/>
      <w:bookmarkEnd w:id="187"/>
      <w:bookmarkEnd w:id="188"/>
    </w:p>
    <w:p>
      <w:pPr>
        <w:spacing w:line="560" w:lineRule="exact"/>
        <w:ind w:firstLine="480" w:firstLineChars="200"/>
        <w:jc w:val="left"/>
        <w:rPr>
          <w:rFonts w:ascii="宋体" w:hAnsi="宋体" w:cs="宋体"/>
          <w:bCs/>
          <w:sz w:val="24"/>
          <w:highlight w:val="none"/>
        </w:rPr>
      </w:pPr>
      <w:bookmarkStart w:id="189" w:name="_Toc23590"/>
      <w:bookmarkStart w:id="190" w:name="_Toc32569"/>
      <w:bookmarkStart w:id="191" w:name="_Toc520356157"/>
      <w:bookmarkStart w:id="192" w:name="_Toc515647772"/>
      <w:r>
        <w:rPr>
          <w:rFonts w:hint="eastAsia" w:ascii="宋体" w:hAnsi="宋体" w:cs="宋体"/>
          <w:bCs/>
          <w:sz w:val="24"/>
          <w:highlight w:val="none"/>
        </w:rPr>
        <w:t>本项目不收取谈判保证金。</w:t>
      </w:r>
    </w:p>
    <w:p>
      <w:pPr>
        <w:pStyle w:val="5"/>
        <w:spacing w:before="0" w:after="0" w:line="560" w:lineRule="exact"/>
        <w:rPr>
          <w:rFonts w:hAnsi="宋体" w:cs="宋体"/>
          <w:highlight w:val="none"/>
          <w:u w:val="none"/>
        </w:rPr>
      </w:pPr>
      <w:bookmarkStart w:id="193" w:name="_Toc3960"/>
      <w:r>
        <w:rPr>
          <w:rFonts w:hint="eastAsia" w:hAnsi="宋体" w:cs="宋体"/>
          <w:highlight w:val="none"/>
          <w:u w:val="none"/>
        </w:rPr>
        <w:t>13.响应有效期</w:t>
      </w:r>
      <w:bookmarkEnd w:id="189"/>
      <w:bookmarkEnd w:id="190"/>
      <w:bookmarkEnd w:id="191"/>
      <w:bookmarkEnd w:id="192"/>
      <w:bookmarkEnd w:id="193"/>
    </w:p>
    <w:p>
      <w:pPr>
        <w:spacing w:line="560" w:lineRule="exact"/>
        <w:ind w:firstLine="480" w:firstLineChars="200"/>
        <w:jc w:val="left"/>
        <w:rPr>
          <w:rFonts w:ascii="宋体" w:hAnsi="宋体" w:cs="宋体"/>
          <w:bCs/>
          <w:sz w:val="24"/>
          <w:highlight w:val="none"/>
        </w:rPr>
      </w:pPr>
      <w:r>
        <w:rPr>
          <w:rFonts w:hint="eastAsia" w:ascii="宋体" w:hAnsi="宋体" w:cs="宋体"/>
          <w:sz w:val="24"/>
          <w:highlight w:val="none"/>
        </w:rPr>
        <w:t>13.1响应应在</w:t>
      </w:r>
      <w:r>
        <w:rPr>
          <w:rFonts w:hint="eastAsia" w:ascii="宋体" w:hAnsi="宋体" w:cs="宋体"/>
          <w:sz w:val="24"/>
          <w:highlight w:val="none"/>
          <w:u w:val="single"/>
        </w:rPr>
        <w:t>供应商须知资料表</w:t>
      </w:r>
      <w:r>
        <w:rPr>
          <w:rFonts w:hint="eastAsia" w:ascii="宋体" w:hAnsi="宋体" w:cs="宋体"/>
          <w:sz w:val="24"/>
          <w:highlight w:val="none"/>
        </w:rPr>
        <w:t>中规定时间内保持有效。响应有效期不满足要求的响应，其响应文件将被认定为</w:t>
      </w:r>
      <w:r>
        <w:rPr>
          <w:rFonts w:hint="eastAsia" w:ascii="宋体" w:hAnsi="宋体" w:cs="宋体"/>
          <w:bCs/>
          <w:sz w:val="24"/>
          <w:highlight w:val="none"/>
        </w:rPr>
        <w:t>无效。</w:t>
      </w:r>
    </w:p>
    <w:p>
      <w:pPr>
        <w:spacing w:line="560" w:lineRule="exact"/>
        <w:ind w:firstLine="480" w:firstLineChars="200"/>
        <w:jc w:val="left"/>
        <w:rPr>
          <w:rFonts w:ascii="宋体" w:hAnsi="宋体" w:cs="宋体"/>
          <w:sz w:val="24"/>
          <w:highlight w:val="none"/>
        </w:rPr>
      </w:pPr>
      <w:bookmarkStart w:id="194" w:name="_Toc493"/>
      <w:bookmarkStart w:id="195" w:name="_Toc17074"/>
      <w:bookmarkStart w:id="196" w:name="_Toc520356158"/>
      <w:bookmarkStart w:id="197" w:name="_Toc515647773"/>
      <w:r>
        <w:rPr>
          <w:rFonts w:hint="eastAsia" w:ascii="宋体" w:hAnsi="宋体" w:cs="宋体"/>
          <w:sz w:val="24"/>
          <w:highlight w:val="none"/>
        </w:rPr>
        <w:t>13.2因特殊原因，采购人或采购代理机构可以在原响应有效期截止之前，要求供应商延长响应文件的有效期。接受该要求的供应商将不会被要求和允许修正其响应，且本须知中有关报价保证金的要求须在延长的有效期内继续有效。供应商可以拒绝延长响应有效期的要求，且不承担任何责任。上述要求和答复都应以书面形式提交。</w:t>
      </w:r>
    </w:p>
    <w:bookmarkEnd w:id="194"/>
    <w:bookmarkEnd w:id="195"/>
    <w:bookmarkEnd w:id="196"/>
    <w:bookmarkEnd w:id="197"/>
    <w:p>
      <w:pPr>
        <w:pStyle w:val="5"/>
        <w:spacing w:before="0" w:after="0" w:line="560" w:lineRule="exact"/>
        <w:rPr>
          <w:rFonts w:hAnsi="宋体" w:cs="宋体"/>
          <w:highlight w:val="none"/>
          <w:u w:val="none"/>
        </w:rPr>
      </w:pPr>
      <w:bookmarkStart w:id="198" w:name="_Toc518923077"/>
      <w:bookmarkStart w:id="199" w:name="_Toc19087083"/>
      <w:bookmarkStart w:id="200" w:name="_Toc10521"/>
      <w:r>
        <w:rPr>
          <w:rFonts w:hint="eastAsia" w:hAnsi="宋体" w:cs="宋体"/>
          <w:highlight w:val="none"/>
          <w:u w:val="none"/>
        </w:rPr>
        <w:t>14.响应文件的</w:t>
      </w:r>
      <w:bookmarkEnd w:id="198"/>
      <w:bookmarkEnd w:id="199"/>
      <w:r>
        <w:rPr>
          <w:rFonts w:hint="eastAsia" w:hAnsi="宋体" w:cs="宋体"/>
          <w:highlight w:val="none"/>
          <w:u w:val="none"/>
        </w:rPr>
        <w:t>签署及规定</w:t>
      </w:r>
      <w:bookmarkEnd w:id="200"/>
    </w:p>
    <w:p>
      <w:pPr>
        <w:spacing w:line="560" w:lineRule="exact"/>
        <w:ind w:firstLine="480" w:firstLineChars="200"/>
        <w:jc w:val="left"/>
        <w:rPr>
          <w:rFonts w:ascii="宋体" w:hAnsi="宋体" w:cs="宋体"/>
          <w:kern w:val="0"/>
          <w:position w:val="-2"/>
          <w:sz w:val="24"/>
          <w:highlight w:val="none"/>
        </w:rPr>
      </w:pPr>
      <w:r>
        <w:rPr>
          <w:rFonts w:hint="eastAsia" w:ascii="宋体" w:hAnsi="宋体" w:cs="宋体"/>
          <w:sz w:val="24"/>
          <w:highlight w:val="none"/>
        </w:rPr>
        <w:t>14.1供应商应按</w:t>
      </w:r>
      <w:r>
        <w:rPr>
          <w:rFonts w:hint="eastAsia" w:ascii="宋体" w:hAnsi="宋体" w:cs="宋体"/>
          <w:sz w:val="24"/>
          <w:highlight w:val="none"/>
          <w:u w:val="single"/>
        </w:rPr>
        <w:t>供应商须知资料表</w:t>
      </w:r>
      <w:r>
        <w:rPr>
          <w:rFonts w:hint="eastAsia" w:ascii="宋体" w:hAnsi="宋体" w:cs="宋体"/>
          <w:sz w:val="24"/>
          <w:highlight w:val="none"/>
        </w:rPr>
        <w:t>中的规定，</w:t>
      </w:r>
      <w:r>
        <w:rPr>
          <w:rFonts w:hint="eastAsia" w:ascii="宋体" w:hAnsi="宋体" w:cs="宋体"/>
          <w:kern w:val="0"/>
          <w:sz w:val="24"/>
          <w:highlight w:val="none"/>
        </w:rPr>
        <w:t>准备和递交加密电子响应文件</w:t>
      </w:r>
      <w:r>
        <w:rPr>
          <w:rFonts w:hint="eastAsia" w:ascii="宋体" w:hAnsi="宋体"/>
          <w:sz w:val="24"/>
          <w:highlight w:val="none"/>
        </w:rPr>
        <w:t>（文件格式为.zbtf），</w:t>
      </w:r>
      <w:r>
        <w:rPr>
          <w:rFonts w:ascii="宋体" w:hAnsi="宋体"/>
          <w:sz w:val="24"/>
          <w:highlight w:val="none"/>
        </w:rPr>
        <w:t>应</w:t>
      </w:r>
      <w:r>
        <w:rPr>
          <w:rFonts w:hint="eastAsia" w:ascii="宋体" w:hAnsi="宋体"/>
          <w:sz w:val="24"/>
          <w:highlight w:val="none"/>
        </w:rPr>
        <w:t>在提交响应文件截止时间前通过淄博市公共资源交易平台系统上传。</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14.2响应文件因字迹潦草、表达不清所引起的后果由供应商负责。</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14.3</w:t>
      </w:r>
      <w:r>
        <w:rPr>
          <w:rFonts w:hint="eastAsia" w:ascii="宋体" w:hAnsi="宋体"/>
          <w:sz w:val="24"/>
          <w:highlight w:val="none"/>
        </w:rPr>
        <w:t>电子响应文件须按照竞争性谈判文件要求在</w:t>
      </w:r>
      <w:r>
        <w:rPr>
          <w:rFonts w:ascii="宋体" w:hAnsi="宋体"/>
          <w:sz w:val="24"/>
          <w:highlight w:val="none"/>
        </w:rPr>
        <w:t>指定位置应</w:t>
      </w:r>
      <w:r>
        <w:rPr>
          <w:rFonts w:hint="eastAsia" w:ascii="宋体" w:hAnsi="宋体"/>
          <w:sz w:val="24"/>
          <w:highlight w:val="none"/>
        </w:rPr>
        <w:t>加盖供应商公章及法定代表人（非法人组织的负责人）或其授权代表签章（签字或盖章），否则将导致其响应文件被拒绝。</w:t>
      </w:r>
    </w:p>
    <w:p>
      <w:pPr>
        <w:spacing w:line="560" w:lineRule="exact"/>
        <w:ind w:firstLine="480" w:firstLineChars="200"/>
        <w:jc w:val="left"/>
        <w:rPr>
          <w:rFonts w:ascii="宋体" w:hAnsi="宋体" w:cs="宋体"/>
          <w:sz w:val="24"/>
          <w:highlight w:val="none"/>
          <w:lang w:val="en-GB"/>
        </w:rPr>
      </w:pPr>
    </w:p>
    <w:p>
      <w:pPr>
        <w:pStyle w:val="4"/>
        <w:spacing w:before="0" w:line="560" w:lineRule="exact"/>
        <w:ind w:firstLine="562" w:firstLineChars="200"/>
        <w:rPr>
          <w:rFonts w:ascii="宋体" w:hAnsi="宋体" w:eastAsia="宋体" w:cs="宋体"/>
          <w:sz w:val="28"/>
          <w:szCs w:val="28"/>
          <w:highlight w:val="none"/>
        </w:rPr>
      </w:pPr>
      <w:bookmarkStart w:id="201" w:name="_Toc216582808"/>
      <w:bookmarkStart w:id="202" w:name="_Toc11179"/>
      <w:bookmarkStart w:id="203" w:name="_Toc16865"/>
      <w:bookmarkStart w:id="204" w:name="_Toc515647774"/>
      <w:bookmarkStart w:id="205" w:name="_Toc520356159"/>
      <w:bookmarkStart w:id="206" w:name="_Toc12075"/>
      <w:r>
        <w:rPr>
          <w:rFonts w:hint="eastAsia" w:ascii="宋体" w:hAnsi="宋体" w:eastAsia="宋体" w:cs="宋体"/>
          <w:sz w:val="28"/>
          <w:szCs w:val="28"/>
          <w:highlight w:val="none"/>
        </w:rPr>
        <w:t>四、响应文件的递交</w:t>
      </w:r>
      <w:bookmarkEnd w:id="201"/>
      <w:bookmarkEnd w:id="202"/>
      <w:bookmarkEnd w:id="203"/>
      <w:bookmarkEnd w:id="204"/>
      <w:bookmarkEnd w:id="205"/>
      <w:bookmarkEnd w:id="206"/>
    </w:p>
    <w:p>
      <w:pPr>
        <w:pStyle w:val="5"/>
        <w:spacing w:before="0" w:after="0" w:line="560" w:lineRule="exact"/>
        <w:rPr>
          <w:rFonts w:hAnsi="宋体" w:cs="宋体"/>
          <w:highlight w:val="none"/>
          <w:u w:val="none"/>
        </w:rPr>
      </w:pPr>
      <w:bookmarkStart w:id="207" w:name="_Toc32337"/>
      <w:bookmarkStart w:id="208" w:name="_Toc520356160"/>
      <w:bookmarkStart w:id="209" w:name="_Toc515647775"/>
      <w:bookmarkStart w:id="210" w:name="_Toc21645"/>
      <w:bookmarkStart w:id="211" w:name="_Toc1667"/>
      <w:r>
        <w:rPr>
          <w:rFonts w:hint="eastAsia" w:hAnsi="宋体" w:cs="宋体"/>
          <w:highlight w:val="none"/>
          <w:u w:val="none"/>
        </w:rPr>
        <w:t>15.响应文件的</w:t>
      </w:r>
      <w:bookmarkEnd w:id="207"/>
      <w:bookmarkEnd w:id="208"/>
      <w:bookmarkEnd w:id="209"/>
      <w:bookmarkEnd w:id="210"/>
      <w:r>
        <w:rPr>
          <w:rFonts w:hint="eastAsia" w:hAnsi="宋体" w:cs="宋体"/>
          <w:highlight w:val="none"/>
          <w:u w:val="none"/>
        </w:rPr>
        <w:t>密封和标记</w:t>
      </w:r>
      <w:bookmarkEnd w:id="211"/>
    </w:p>
    <w:p>
      <w:pPr>
        <w:spacing w:line="560" w:lineRule="exact"/>
        <w:ind w:firstLine="480" w:firstLineChars="200"/>
        <w:jc w:val="left"/>
        <w:rPr>
          <w:rFonts w:ascii="宋体" w:hAnsi="宋体" w:cs="宋体"/>
          <w:sz w:val="24"/>
          <w:highlight w:val="none"/>
        </w:rPr>
      </w:pPr>
      <w:bookmarkStart w:id="212" w:name="_Toc12751"/>
      <w:bookmarkStart w:id="213" w:name="_Toc515647776"/>
      <w:bookmarkStart w:id="214" w:name="_Toc520356161"/>
      <w:bookmarkStart w:id="215" w:name="_Toc9840"/>
      <w:bookmarkStart w:id="216" w:name="_Toc46238229"/>
      <w:r>
        <w:rPr>
          <w:rFonts w:hint="eastAsia" w:ascii="宋体" w:hAnsi="宋体" w:cs="宋体"/>
          <w:sz w:val="24"/>
          <w:highlight w:val="none"/>
        </w:rPr>
        <w:t>15.1本项目实行电子响应，供应商无须提交纸质响应文件。供应商应按照本项目竞争性谈判文件的要求编制、加密并递交响应文件。供应商在使用系统进行谈判的过程中遇到涉及平台使用的任何问题，可致电平台技术支持热线咨询，咨询电话请见采购邀请。</w:t>
      </w:r>
    </w:p>
    <w:p>
      <w:pPr>
        <w:pStyle w:val="35"/>
        <w:spacing w:line="560" w:lineRule="exact"/>
        <w:ind w:firstLine="480"/>
        <w:rPr>
          <w:rFonts w:ascii="宋体" w:hAnsi="宋体"/>
          <w:highlight w:val="none"/>
        </w:rPr>
      </w:pPr>
      <w:r>
        <w:rPr>
          <w:rFonts w:hint="eastAsia" w:ascii="宋体" w:hAnsi="宋体"/>
          <w:highlight w:val="none"/>
        </w:rPr>
        <w:t>供应商递交的电子响应文件因供应商自身原因而导致无法导入</w:t>
      </w:r>
      <w:r>
        <w:rPr>
          <w:rFonts w:hint="eastAsia" w:ascii="宋体" w:hAnsi="宋体" w:cs="宋体"/>
          <w:kern w:val="2"/>
          <w:highlight w:val="none"/>
        </w:rPr>
        <w:t>淄博网</w:t>
      </w:r>
      <w:r>
        <w:rPr>
          <w:rFonts w:hint="eastAsia" w:ascii="宋体" w:hAnsi="宋体"/>
          <w:highlight w:val="none"/>
        </w:rPr>
        <w:t>上开评标系统的，该响应文件视为无效响应文件，将导致其响应文件被拒绝。</w:t>
      </w:r>
    </w:p>
    <w:p>
      <w:pPr>
        <w:pStyle w:val="5"/>
        <w:spacing w:before="0" w:after="0" w:line="560" w:lineRule="exact"/>
        <w:rPr>
          <w:rFonts w:hAnsi="宋体" w:cs="宋体"/>
          <w:highlight w:val="none"/>
          <w:u w:val="none"/>
        </w:rPr>
      </w:pPr>
      <w:bookmarkStart w:id="217" w:name="_Toc23681"/>
      <w:r>
        <w:rPr>
          <w:rFonts w:hint="eastAsia" w:hAnsi="宋体" w:cs="宋体"/>
          <w:highlight w:val="none"/>
          <w:u w:val="none"/>
        </w:rPr>
        <w:t>16.响应文件截止</w:t>
      </w:r>
      <w:bookmarkEnd w:id="212"/>
      <w:bookmarkEnd w:id="213"/>
      <w:bookmarkEnd w:id="214"/>
      <w:bookmarkEnd w:id="215"/>
      <w:bookmarkEnd w:id="216"/>
      <w:bookmarkEnd w:id="217"/>
    </w:p>
    <w:p>
      <w:pPr>
        <w:spacing w:line="560" w:lineRule="exact"/>
        <w:ind w:firstLine="480" w:firstLineChars="200"/>
        <w:jc w:val="left"/>
        <w:rPr>
          <w:rFonts w:ascii="宋体" w:hAnsi="宋体" w:cs="宋体"/>
          <w:sz w:val="24"/>
          <w:highlight w:val="none"/>
        </w:rPr>
      </w:pPr>
      <w:bookmarkStart w:id="218" w:name="_Toc518923081"/>
      <w:bookmarkStart w:id="219" w:name="_Toc46235089"/>
      <w:bookmarkStart w:id="220" w:name="_Toc520356162"/>
      <w:r>
        <w:rPr>
          <w:rFonts w:hint="eastAsia" w:ascii="宋体" w:hAnsi="宋体" w:cs="宋体"/>
          <w:sz w:val="24"/>
          <w:highlight w:val="none"/>
        </w:rPr>
        <w:t>16.1供应商递交响应文件的时间和地点详见</w:t>
      </w:r>
      <w:r>
        <w:rPr>
          <w:rFonts w:hint="eastAsia" w:ascii="宋体" w:hAnsi="宋体" w:cs="宋体"/>
          <w:sz w:val="24"/>
          <w:highlight w:val="none"/>
          <w:u w:val="single"/>
        </w:rPr>
        <w:t>供应商须知资料表</w:t>
      </w:r>
      <w:r>
        <w:rPr>
          <w:rFonts w:hint="eastAsia" w:ascii="宋体" w:hAnsi="宋体" w:cs="宋体"/>
          <w:sz w:val="24"/>
          <w:highlight w:val="none"/>
        </w:rPr>
        <w:t>。</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16.2采购人和采购代理机构将拒绝接收在提交响应文件截止时间后递交的响应文件。</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16.3除</w:t>
      </w:r>
      <w:r>
        <w:rPr>
          <w:rFonts w:hint="eastAsia" w:ascii="宋体" w:hAnsi="宋体" w:cs="宋体"/>
          <w:sz w:val="24"/>
          <w:highlight w:val="none"/>
          <w:u w:val="single"/>
        </w:rPr>
        <w:t>供应商须知资料表</w:t>
      </w:r>
      <w:r>
        <w:rPr>
          <w:rFonts w:hint="eastAsia" w:ascii="宋体" w:hAnsi="宋体" w:cs="宋体"/>
          <w:sz w:val="24"/>
          <w:highlight w:val="none"/>
        </w:rPr>
        <w:t>另有规定外，供应商所递交的响应文件不予退还。</w:t>
      </w:r>
    </w:p>
    <w:p>
      <w:pPr>
        <w:pStyle w:val="5"/>
        <w:spacing w:before="0" w:after="0" w:line="560" w:lineRule="exact"/>
        <w:rPr>
          <w:rFonts w:hAnsi="宋体" w:cs="宋体"/>
          <w:highlight w:val="none"/>
          <w:u w:val="none"/>
        </w:rPr>
      </w:pPr>
      <w:bookmarkStart w:id="221" w:name="_Toc15463"/>
      <w:r>
        <w:rPr>
          <w:rFonts w:hint="eastAsia" w:hAnsi="宋体" w:cs="宋体"/>
          <w:highlight w:val="none"/>
          <w:u w:val="none"/>
        </w:rPr>
        <w:t>17.响应文件的接收、修改与撤回</w:t>
      </w:r>
      <w:bookmarkEnd w:id="218"/>
      <w:bookmarkEnd w:id="219"/>
      <w:bookmarkEnd w:id="220"/>
      <w:bookmarkEnd w:id="221"/>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17.1采购人或采购代理机构将通过</w:t>
      </w:r>
      <w:r>
        <w:rPr>
          <w:rFonts w:hint="eastAsia" w:ascii="宋体" w:hAnsi="宋体"/>
          <w:sz w:val="24"/>
          <w:highlight w:val="none"/>
        </w:rPr>
        <w:t>淄博市公共资源交易平</w:t>
      </w:r>
      <w:r>
        <w:rPr>
          <w:rFonts w:hint="eastAsia" w:ascii="宋体" w:hAnsi="宋体" w:cs="宋体"/>
          <w:sz w:val="24"/>
          <w:highlight w:val="none"/>
        </w:rPr>
        <w:t>台系统自动接收供应商上传的响应文件。</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17.2递交响应文件以后，如果供应商要进行撤回的，须在提交响应文件截止时间前在淄博市公共资源交易平台系统中进行撤回。</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17.3如果在提交响应文件截止时间前需要对已经成功生成并上传淄博市公共资源交易平台系统中的电子响应文件进行修改、补充的，供应商应当先撤回原文件，使用自备计算机和响应文件制作软件重新制作生成新的电子响应文件，并在提交响应文件截止时间前重新上传。</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17.4在提交响应文件截止时间之后，供应商不得对其响应文件做任何修改。</w:t>
      </w:r>
    </w:p>
    <w:p>
      <w:pPr>
        <w:spacing w:line="560" w:lineRule="exact"/>
        <w:ind w:firstLine="480" w:firstLineChars="200"/>
        <w:jc w:val="left"/>
        <w:rPr>
          <w:rFonts w:ascii="宋体" w:hAnsi="宋体" w:cs="宋体"/>
          <w:sz w:val="24"/>
          <w:highlight w:val="none"/>
        </w:rPr>
      </w:pPr>
    </w:p>
    <w:p>
      <w:pPr>
        <w:pStyle w:val="4"/>
        <w:spacing w:before="0" w:line="560" w:lineRule="exact"/>
        <w:ind w:firstLine="562" w:firstLineChars="200"/>
        <w:rPr>
          <w:rFonts w:ascii="宋体" w:hAnsi="宋体" w:eastAsia="宋体" w:cs="宋体"/>
          <w:sz w:val="28"/>
          <w:szCs w:val="28"/>
          <w:highlight w:val="none"/>
        </w:rPr>
      </w:pPr>
      <w:bookmarkStart w:id="222" w:name="_Toc520356163"/>
      <w:bookmarkStart w:id="223" w:name="_Toc216582809"/>
      <w:bookmarkStart w:id="224" w:name="_Toc12436"/>
      <w:bookmarkStart w:id="225" w:name="_Toc515647778"/>
      <w:bookmarkStart w:id="226" w:name="_Toc28398"/>
      <w:bookmarkStart w:id="227" w:name="_Toc21824"/>
      <w:r>
        <w:rPr>
          <w:rFonts w:hint="eastAsia" w:ascii="宋体" w:hAnsi="宋体" w:eastAsia="宋体" w:cs="宋体"/>
          <w:sz w:val="28"/>
          <w:szCs w:val="28"/>
          <w:highlight w:val="none"/>
        </w:rPr>
        <w:t>五、开标及</w:t>
      </w:r>
      <w:bookmarkEnd w:id="222"/>
      <w:bookmarkEnd w:id="223"/>
      <w:bookmarkEnd w:id="224"/>
      <w:bookmarkEnd w:id="225"/>
      <w:bookmarkEnd w:id="226"/>
      <w:r>
        <w:rPr>
          <w:rFonts w:hint="eastAsia" w:ascii="宋体" w:hAnsi="宋体" w:eastAsia="宋体" w:cs="宋体"/>
          <w:sz w:val="28"/>
          <w:szCs w:val="28"/>
          <w:highlight w:val="none"/>
        </w:rPr>
        <w:t>谈判</w:t>
      </w:r>
      <w:bookmarkEnd w:id="227"/>
    </w:p>
    <w:p>
      <w:pPr>
        <w:pStyle w:val="5"/>
        <w:spacing w:before="0" w:after="0" w:line="560" w:lineRule="exact"/>
        <w:rPr>
          <w:rFonts w:hAnsi="宋体" w:cs="宋体"/>
          <w:highlight w:val="none"/>
          <w:u w:val="none"/>
        </w:rPr>
      </w:pPr>
      <w:bookmarkStart w:id="228" w:name="_Toc1671"/>
      <w:r>
        <w:rPr>
          <w:rFonts w:hint="eastAsia" w:hAnsi="宋体" w:cs="宋体"/>
          <w:highlight w:val="none"/>
          <w:u w:val="none"/>
        </w:rPr>
        <w:t>18.开标</w:t>
      </w:r>
      <w:bookmarkEnd w:id="228"/>
    </w:p>
    <w:p>
      <w:pPr>
        <w:spacing w:line="560" w:lineRule="exact"/>
        <w:ind w:firstLine="480" w:firstLineChars="200"/>
        <w:jc w:val="left"/>
        <w:rPr>
          <w:rFonts w:ascii="宋体" w:hAnsi="宋体" w:cs="宋体"/>
          <w:sz w:val="24"/>
          <w:highlight w:val="none"/>
        </w:rPr>
      </w:pPr>
      <w:bookmarkStart w:id="229" w:name="_Toc520356165"/>
      <w:bookmarkStart w:id="230" w:name="_Toc19296"/>
      <w:bookmarkStart w:id="231" w:name="_Toc21372"/>
      <w:bookmarkStart w:id="232" w:name="_Toc515647780"/>
      <w:r>
        <w:rPr>
          <w:rFonts w:hint="eastAsia" w:ascii="宋体" w:hAnsi="宋体" w:cs="宋体"/>
          <w:sz w:val="24"/>
          <w:highlight w:val="none"/>
        </w:rPr>
        <w:t>18.1采购人和采购代理机构将按</w:t>
      </w:r>
      <w:r>
        <w:rPr>
          <w:rFonts w:hint="eastAsia" w:ascii="宋体" w:hAnsi="宋体" w:cs="宋体"/>
          <w:sz w:val="24"/>
          <w:highlight w:val="none"/>
          <w:u w:val="single"/>
        </w:rPr>
        <w:t>供应商须知资料表</w:t>
      </w:r>
      <w:r>
        <w:rPr>
          <w:rFonts w:hint="eastAsia" w:ascii="宋体" w:hAnsi="宋体" w:cs="宋体"/>
          <w:sz w:val="24"/>
          <w:highlight w:val="none"/>
        </w:rPr>
        <w:t>规定的</w:t>
      </w:r>
      <w:r>
        <w:rPr>
          <w:rFonts w:hint="eastAsia" w:ascii="宋体" w:hAnsi="宋体"/>
          <w:sz w:val="24"/>
          <w:highlight w:val="none"/>
        </w:rPr>
        <w:t>开启响应文件截止</w:t>
      </w:r>
      <w:r>
        <w:rPr>
          <w:rFonts w:hint="eastAsia" w:ascii="宋体" w:hAnsi="宋体" w:cs="宋体"/>
          <w:sz w:val="24"/>
          <w:highlight w:val="none"/>
        </w:rPr>
        <w:t>时间和地点组织开标。</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本项目采用网上开标模式。各供应商无需到达开标现场，请在开标前登陆淄博市公共资源交易网（http://ggzyjy.zibo.gov.cn/TPFront/）网上开标大厅。</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18.2响应截止后，请各供应商根据网上开标流程进行操作并对响应文件进行解密,以及答疑、澄清等。</w:t>
      </w:r>
      <w:r>
        <w:rPr>
          <w:rFonts w:hint="eastAsia" w:ascii="宋体" w:hAnsi="宋体" w:cs="宋体"/>
          <w:sz w:val="24"/>
          <w:highlight w:val="none"/>
          <w:lang w:val="zh-CN"/>
        </w:rPr>
        <w:t>开标时，由</w:t>
      </w:r>
      <w:r>
        <w:rPr>
          <w:rFonts w:hint="eastAsia" w:ascii="宋体" w:hAnsi="宋体" w:cs="宋体"/>
          <w:sz w:val="24"/>
          <w:highlight w:val="none"/>
        </w:rPr>
        <w:t>供应商</w:t>
      </w:r>
      <w:r>
        <w:rPr>
          <w:rFonts w:hint="eastAsia" w:ascii="宋体" w:hAnsi="宋体" w:cs="宋体"/>
          <w:sz w:val="24"/>
          <w:highlight w:val="none"/>
          <w:lang w:val="zh-CN"/>
        </w:rPr>
        <w:t>在</w:t>
      </w:r>
      <w:r>
        <w:rPr>
          <w:rFonts w:hint="eastAsia" w:ascii="宋体" w:hAnsi="宋体" w:cs="宋体"/>
          <w:sz w:val="24"/>
          <w:highlight w:val="none"/>
        </w:rPr>
        <w:t>解密开始时间后20分钟内完成解密工作（以网上开标系统解密倒计时为准）</w:t>
      </w:r>
      <w:r>
        <w:rPr>
          <w:rFonts w:hint="eastAsia" w:ascii="宋体" w:hAnsi="宋体" w:cs="宋体"/>
          <w:sz w:val="24"/>
          <w:highlight w:val="none"/>
          <w:lang w:val="zh-CN"/>
        </w:rPr>
        <w:t>，因</w:t>
      </w:r>
      <w:r>
        <w:rPr>
          <w:rFonts w:hint="eastAsia" w:ascii="宋体" w:hAnsi="宋体" w:cs="宋体"/>
          <w:sz w:val="24"/>
          <w:highlight w:val="none"/>
        </w:rPr>
        <w:t>供应商</w:t>
      </w:r>
      <w:r>
        <w:rPr>
          <w:rFonts w:hint="eastAsia" w:ascii="宋体" w:hAnsi="宋体" w:cs="宋体"/>
          <w:sz w:val="24"/>
          <w:highlight w:val="none"/>
          <w:lang w:val="zh-CN"/>
        </w:rPr>
        <w:t>自身原因导致</w:t>
      </w:r>
      <w:r>
        <w:rPr>
          <w:rFonts w:hint="eastAsia" w:ascii="宋体" w:hAnsi="宋体" w:cs="宋体"/>
          <w:sz w:val="24"/>
          <w:highlight w:val="none"/>
        </w:rPr>
        <w:t>未在规定时间内成功解密响应文件的，作无效标处理。</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18.3采购代理机构将对开标过程进行记录，并存档备查。</w:t>
      </w:r>
    </w:p>
    <w:p>
      <w:pPr>
        <w:spacing w:line="560" w:lineRule="exact"/>
        <w:ind w:firstLine="480" w:firstLineChars="200"/>
        <w:jc w:val="left"/>
        <w:rPr>
          <w:rFonts w:ascii="宋体" w:hAnsi="宋体"/>
          <w:snapToGrid w:val="0"/>
          <w:sz w:val="24"/>
          <w:highlight w:val="none"/>
        </w:rPr>
      </w:pPr>
      <w:r>
        <w:rPr>
          <w:rFonts w:hint="eastAsia" w:ascii="宋体" w:hAnsi="宋体" w:cs="宋体"/>
          <w:sz w:val="24"/>
          <w:highlight w:val="none"/>
        </w:rPr>
        <w:t>18.4</w:t>
      </w:r>
      <w:r>
        <w:rPr>
          <w:rFonts w:hint="eastAsia" w:ascii="宋体" w:hAnsi="宋体"/>
          <w:sz w:val="24"/>
          <w:highlight w:val="none"/>
        </w:rPr>
        <w:t>采购代理机构按照</w:t>
      </w:r>
      <w:r>
        <w:rPr>
          <w:rFonts w:hint="eastAsia" w:ascii="宋体" w:hAnsi="宋体"/>
          <w:sz w:val="24"/>
          <w:highlight w:val="none"/>
          <w:u w:val="single"/>
        </w:rPr>
        <w:t>供应商须知资料表</w:t>
      </w:r>
      <w:r>
        <w:rPr>
          <w:rFonts w:hint="eastAsia" w:ascii="宋体" w:hAnsi="宋体"/>
          <w:sz w:val="24"/>
          <w:highlight w:val="none"/>
        </w:rPr>
        <w:t>要求通过网上开标大厅进行开标。</w:t>
      </w:r>
    </w:p>
    <w:p>
      <w:pPr>
        <w:spacing w:line="560" w:lineRule="exact"/>
        <w:ind w:firstLine="480" w:firstLineChars="200"/>
        <w:jc w:val="left"/>
        <w:rPr>
          <w:rFonts w:ascii="宋体" w:hAnsi="宋体"/>
          <w:snapToGrid w:val="0"/>
          <w:sz w:val="24"/>
          <w:highlight w:val="none"/>
        </w:rPr>
      </w:pPr>
      <w:r>
        <w:rPr>
          <w:rFonts w:hint="eastAsia" w:ascii="宋体" w:hAnsi="宋体" w:cs="宋体"/>
          <w:sz w:val="24"/>
          <w:highlight w:val="none"/>
        </w:rPr>
        <w:t>供应商</w:t>
      </w:r>
      <w:r>
        <w:rPr>
          <w:rFonts w:hint="eastAsia" w:ascii="宋体" w:hAnsi="宋体"/>
          <w:snapToGrid w:val="0"/>
          <w:sz w:val="24"/>
          <w:highlight w:val="none"/>
        </w:rPr>
        <w:t>对开标过程和开标记录有异议，以及认为采购人、采购代理机构相关工作人员有需要回避的情形的，应在</w:t>
      </w:r>
      <w:r>
        <w:rPr>
          <w:rFonts w:hint="eastAsia" w:ascii="宋体" w:hAnsi="宋体"/>
          <w:snapToGrid w:val="0"/>
          <w:sz w:val="24"/>
          <w:highlight w:val="none"/>
          <w:lang w:val="zh-CN"/>
        </w:rPr>
        <w:t>网上开标大厅</w:t>
      </w:r>
      <w:r>
        <w:rPr>
          <w:rFonts w:hint="eastAsia" w:ascii="宋体" w:hAnsi="宋体"/>
          <w:snapToGrid w:val="0"/>
          <w:sz w:val="24"/>
          <w:highlight w:val="none"/>
        </w:rPr>
        <w:t>中提出询问或者回避申请。</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供应商应在开标前根据“网上开标大厅操作手册（投标人）”（具体操作请参考淄博市公共资源交易网→办事指南→服务指南→网上开标大厅操作手册（投标人））提前调试电脑，技术咨询电话：400-998-0000。</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在项目开评标全过程中，供应商应保持实时在线状态，参与远程交互的</w:t>
      </w:r>
      <w:r>
        <w:rPr>
          <w:rFonts w:hint="eastAsia" w:ascii="宋体" w:hAnsi="宋体"/>
          <w:snapToGrid w:val="0"/>
          <w:sz w:val="24"/>
          <w:highlight w:val="none"/>
        </w:rPr>
        <w:t>法定代表人（非法人组织的负责人）或其授权代表</w:t>
      </w:r>
      <w:r>
        <w:rPr>
          <w:rFonts w:hint="eastAsia" w:ascii="宋体" w:hAnsi="宋体" w:cs="宋体"/>
          <w:sz w:val="24"/>
          <w:highlight w:val="none"/>
        </w:rPr>
        <w:t>应始终为同一个人，中途不得更换，在废标、澄清、提疑、传送文件等特殊情况下需要交互时，供应商一端参与交互的人员将被视为本项目供应商的</w:t>
      </w:r>
      <w:r>
        <w:rPr>
          <w:rFonts w:hint="eastAsia" w:ascii="宋体" w:hAnsi="宋体"/>
          <w:snapToGrid w:val="0"/>
          <w:sz w:val="24"/>
          <w:highlight w:val="none"/>
        </w:rPr>
        <w:t>法定代表人（非法人组织的负责人）或其授权代表</w:t>
      </w:r>
      <w:r>
        <w:rPr>
          <w:rFonts w:hint="eastAsia" w:ascii="宋体" w:hAnsi="宋体" w:cs="宋体"/>
          <w:sz w:val="24"/>
          <w:highlight w:val="none"/>
        </w:rPr>
        <w:t>。谈判小组会随时通过网上开评标系统发出询标信息，供应商应在谈判小组</w:t>
      </w:r>
      <w:r>
        <w:rPr>
          <w:rFonts w:hint="eastAsia" w:ascii="宋体" w:hAnsi="宋体"/>
          <w:snapToGrid w:val="0"/>
          <w:sz w:val="24"/>
          <w:highlight w:val="none"/>
        </w:rPr>
        <w:t>规定时间</w:t>
      </w:r>
      <w:r>
        <w:rPr>
          <w:rFonts w:hint="eastAsia" w:ascii="宋体" w:hAnsi="宋体" w:cs="宋体"/>
          <w:sz w:val="24"/>
          <w:highlight w:val="none"/>
        </w:rPr>
        <w:t>内通过</w:t>
      </w:r>
      <w:r>
        <w:rPr>
          <w:rFonts w:hint="eastAsia" w:ascii="宋体" w:hAnsi="宋体"/>
          <w:snapToGrid w:val="0"/>
          <w:sz w:val="24"/>
          <w:highlight w:val="none"/>
        </w:rPr>
        <w:t>网上开标大厅或企业会员系统</w:t>
      </w:r>
      <w:r>
        <w:rPr>
          <w:rFonts w:hint="eastAsia" w:ascii="宋体" w:hAnsi="宋体" w:cs="宋体"/>
          <w:sz w:val="24"/>
          <w:highlight w:val="none"/>
        </w:rPr>
        <w:t>进行回复，未能按时答复的，谈判小组将视同其放弃澄清、说明、补正、最后报价等。</w:t>
      </w:r>
    </w:p>
    <w:p>
      <w:pPr>
        <w:spacing w:line="560" w:lineRule="exact"/>
        <w:ind w:firstLine="480" w:firstLineChars="200"/>
        <w:jc w:val="left"/>
        <w:rPr>
          <w:rFonts w:ascii="宋体" w:hAnsi="宋体" w:cs="宋体"/>
          <w:sz w:val="24"/>
          <w:highlight w:val="none"/>
        </w:rPr>
      </w:pPr>
      <w:r>
        <w:rPr>
          <w:rFonts w:cs="宋体"/>
          <w:sz w:val="24"/>
          <w:highlight w:val="none"/>
        </w:rPr>
        <w:t>本项目下载、上传、开标均通过互联网操作，</w:t>
      </w:r>
      <w:r>
        <w:rPr>
          <w:rFonts w:hint="eastAsia" w:ascii="宋体" w:hAnsi="宋体" w:cs="宋体"/>
          <w:sz w:val="24"/>
          <w:highlight w:val="none"/>
        </w:rPr>
        <w:t>供应商应</w:t>
      </w:r>
      <w:r>
        <w:rPr>
          <w:rFonts w:cs="宋体"/>
          <w:sz w:val="24"/>
          <w:highlight w:val="none"/>
        </w:rPr>
        <w:t>充分考虑网络拥堵及平台操作所需时间等因素，保证在</w:t>
      </w:r>
      <w:r>
        <w:rPr>
          <w:rFonts w:hint="eastAsia" w:cs="宋体"/>
          <w:sz w:val="24"/>
          <w:highlight w:val="none"/>
        </w:rPr>
        <w:t>开标及谈判</w:t>
      </w:r>
      <w:r>
        <w:rPr>
          <w:rFonts w:cs="宋体"/>
          <w:sz w:val="24"/>
          <w:highlight w:val="none"/>
        </w:rPr>
        <w:t xml:space="preserve">期间电脑、网络、预留电话等能够正常使用。 </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因以上造成的一切后果由供应商自行承担。</w:t>
      </w:r>
    </w:p>
    <w:p>
      <w:pPr>
        <w:pStyle w:val="5"/>
        <w:spacing w:line="560" w:lineRule="exact"/>
        <w:rPr>
          <w:rFonts w:hAnsi="宋体" w:cs="宋体"/>
          <w:highlight w:val="none"/>
          <w:u w:val="none"/>
        </w:rPr>
      </w:pPr>
      <w:bookmarkStart w:id="233" w:name="_Toc411637993"/>
      <w:bookmarkStart w:id="234" w:name="_Toc20210"/>
      <w:r>
        <w:rPr>
          <w:rFonts w:hint="eastAsia" w:hAnsi="宋体" w:cs="宋体"/>
          <w:highlight w:val="none"/>
          <w:u w:val="none"/>
        </w:rPr>
        <w:t>19. 谈判小组</w:t>
      </w:r>
      <w:bookmarkEnd w:id="233"/>
      <w:bookmarkEnd w:id="234"/>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19.1采购代理机构将按照</w:t>
      </w:r>
      <w:r>
        <w:rPr>
          <w:rFonts w:hint="eastAsia" w:ascii="宋体" w:hAnsi="宋体"/>
          <w:sz w:val="24"/>
          <w:highlight w:val="none"/>
        </w:rPr>
        <w:t>《政府采购评审专家管理办法》（财库</w:t>
      </w:r>
      <w:r>
        <w:rPr>
          <w:rFonts w:hint="eastAsia" w:ascii="宋体" w:hAnsi="宋体" w:cs="宋体"/>
          <w:sz w:val="24"/>
          <w:highlight w:val="none"/>
        </w:rPr>
        <w:t>〔2016〕</w:t>
      </w:r>
      <w:r>
        <w:rPr>
          <w:rFonts w:hint="eastAsia" w:ascii="宋体" w:hAnsi="宋体"/>
          <w:sz w:val="24"/>
          <w:highlight w:val="none"/>
        </w:rPr>
        <w:t>198号）、《山东省政府采购评审专家管理实施办法》（鲁财采</w:t>
      </w:r>
      <w:r>
        <w:rPr>
          <w:rFonts w:hint="eastAsia" w:ascii="宋体" w:hAnsi="宋体" w:cs="宋体"/>
          <w:sz w:val="24"/>
          <w:highlight w:val="none"/>
        </w:rPr>
        <w:t>〔2018〕</w:t>
      </w:r>
      <w:r>
        <w:rPr>
          <w:rFonts w:hint="eastAsia" w:ascii="宋体" w:hAnsi="宋体"/>
          <w:sz w:val="24"/>
          <w:highlight w:val="none"/>
        </w:rPr>
        <w:t>66号）、《山东省政府采购评审专家抽取规则》（鲁财采</w:t>
      </w:r>
      <w:r>
        <w:rPr>
          <w:rFonts w:hint="eastAsia" w:ascii="宋体" w:hAnsi="宋体" w:cs="宋体"/>
          <w:sz w:val="24"/>
          <w:highlight w:val="none"/>
        </w:rPr>
        <w:t>〔2017〕</w:t>
      </w:r>
      <w:r>
        <w:rPr>
          <w:rFonts w:hint="eastAsia" w:ascii="宋体" w:hAnsi="宋体"/>
          <w:sz w:val="24"/>
          <w:highlight w:val="none"/>
        </w:rPr>
        <w:t>64号）</w:t>
      </w:r>
      <w:r>
        <w:rPr>
          <w:rFonts w:hint="eastAsia" w:ascii="宋体" w:hAnsi="宋体" w:cs="宋体"/>
          <w:sz w:val="24"/>
          <w:highlight w:val="none"/>
        </w:rPr>
        <w:t>及有关规定组建谈判小组。谈判小组由采购人代表</w:t>
      </w:r>
      <w:r>
        <w:rPr>
          <w:rFonts w:hint="eastAsia" w:ascii="宋体" w:hAnsi="宋体" w:cs="宋体"/>
          <w:sz w:val="24"/>
          <w:highlight w:val="none"/>
          <w:u w:val="single"/>
        </w:rPr>
        <w:t xml:space="preserve"> 1 </w:t>
      </w:r>
      <w:r>
        <w:rPr>
          <w:rFonts w:hint="eastAsia" w:ascii="宋体" w:hAnsi="宋体" w:cs="宋体"/>
          <w:sz w:val="24"/>
          <w:highlight w:val="none"/>
        </w:rPr>
        <w:t>人及评审专家</w:t>
      </w:r>
      <w:r>
        <w:rPr>
          <w:rFonts w:hint="eastAsia" w:ascii="宋体" w:hAnsi="宋体" w:cs="宋体"/>
          <w:sz w:val="24"/>
          <w:highlight w:val="none"/>
          <w:u w:val="single"/>
        </w:rPr>
        <w:t xml:space="preserve"> 4 </w:t>
      </w:r>
      <w:r>
        <w:rPr>
          <w:rFonts w:hint="eastAsia" w:ascii="宋体" w:hAnsi="宋体" w:cs="宋体"/>
          <w:sz w:val="24"/>
          <w:highlight w:val="none"/>
        </w:rPr>
        <w:t>人(3人以上单数)组成。</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19.2谈判小组具有依据竞争性谈判文件进行独立评审的权力，且不受外界任何因素的干扰。谈判小组成员需对评审结果独立写出评审意见，并承担责任。评委成员若拒绝在评审报告上签字且不陈述其不同意理由的，视为同意和接受。</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19.3谈判小组的职责：</w:t>
      </w:r>
    </w:p>
    <w:p>
      <w:pPr>
        <w:widowControl/>
        <w:shd w:val="clear" w:color="auto" w:fill="FFFFFF"/>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（1）确认或者制定竞争性谈判文件；</w:t>
      </w:r>
    </w:p>
    <w:p>
      <w:pPr>
        <w:widowControl/>
        <w:shd w:val="clear" w:color="auto" w:fill="FFFFFF"/>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（2）从符合相应资格条件的供应商名单中确定不少于3家的供应商参加谈判；</w:t>
      </w:r>
    </w:p>
    <w:p>
      <w:pPr>
        <w:widowControl/>
        <w:shd w:val="clear" w:color="auto" w:fill="FFFFFF"/>
        <w:spacing w:line="560" w:lineRule="exact"/>
        <w:ind w:firstLine="480" w:firstLineChars="200"/>
        <w:jc w:val="left"/>
        <w:rPr>
          <w:rFonts w:ascii="宋体" w:hAnsi="宋体" w:cs="宋体"/>
          <w:sz w:val="24"/>
          <w:highlight w:val="none"/>
        </w:rPr>
      </w:pPr>
      <w:r>
        <w:rPr>
          <w:rFonts w:hint="eastAsia" w:ascii="宋体" w:hAnsi="宋体" w:cs="宋体"/>
          <w:sz w:val="24"/>
          <w:highlight w:val="none"/>
        </w:rPr>
        <w:t>（3）审查供应商的响应文件并作出评价；</w:t>
      </w:r>
    </w:p>
    <w:p>
      <w:pPr>
        <w:widowControl/>
        <w:shd w:val="clear" w:color="auto" w:fill="FFFFFF"/>
        <w:spacing w:line="560" w:lineRule="exact"/>
        <w:ind w:firstLine="480" w:firstLineChars="200"/>
        <w:jc w:val="left"/>
        <w:rPr>
          <w:rFonts w:ascii="宋体" w:hAnsi="宋体" w:cs="宋体"/>
          <w:sz w:val="24"/>
          <w:highlight w:val="none"/>
        </w:rPr>
      </w:pPr>
      <w:r>
        <w:rPr>
          <w:rFonts w:hint="eastAsia" w:ascii="宋体" w:hAnsi="宋体" w:cs="宋体"/>
          <w:sz w:val="24"/>
          <w:highlight w:val="none"/>
        </w:rPr>
        <w:t>（4）要求供应商解释或者澄清其响应文件；</w:t>
      </w:r>
    </w:p>
    <w:p>
      <w:pPr>
        <w:widowControl/>
        <w:shd w:val="clear" w:color="auto" w:fill="FFFFFF"/>
        <w:spacing w:line="560" w:lineRule="exact"/>
        <w:ind w:firstLine="480" w:firstLineChars="200"/>
        <w:jc w:val="left"/>
        <w:rPr>
          <w:rFonts w:ascii="宋体" w:hAnsi="宋体" w:cs="宋体"/>
          <w:sz w:val="24"/>
          <w:highlight w:val="none"/>
        </w:rPr>
      </w:pPr>
      <w:r>
        <w:rPr>
          <w:rFonts w:hint="eastAsia" w:ascii="宋体" w:hAnsi="宋体" w:cs="宋体"/>
          <w:sz w:val="24"/>
          <w:highlight w:val="none"/>
        </w:rPr>
        <w:t>（5）编写评审报告；</w:t>
      </w:r>
    </w:p>
    <w:p>
      <w:pPr>
        <w:widowControl/>
        <w:shd w:val="clear" w:color="auto" w:fill="FFFFFF"/>
        <w:spacing w:line="560" w:lineRule="exact"/>
        <w:ind w:firstLine="480" w:firstLineChars="200"/>
        <w:jc w:val="left"/>
        <w:rPr>
          <w:rFonts w:ascii="宋体" w:hAnsi="宋体" w:cs="宋体"/>
          <w:sz w:val="24"/>
          <w:highlight w:val="none"/>
        </w:rPr>
      </w:pPr>
      <w:r>
        <w:rPr>
          <w:rFonts w:hint="eastAsia" w:ascii="宋体" w:hAnsi="宋体" w:cs="宋体"/>
          <w:sz w:val="24"/>
          <w:highlight w:val="none"/>
        </w:rPr>
        <w:t>（6）告知采购人、采购代理机构在评审过程中发现的供应商的违法违规行为。</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19.4谈判小组的义务：</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（1）遵纪守法，客观、公正、廉洁地履行职责；</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（2）根据谈判文件的规定独立进行评审，对个人的评审意见承担法律责任；</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（3）参与评审报告的起草；</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（4）配合采购人、采购代理机构答复供应商提出的质疑；</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（5）配合财政部门的投诉处理和监督检查工作。</w:t>
      </w:r>
    </w:p>
    <w:p>
      <w:pPr>
        <w:pStyle w:val="5"/>
        <w:spacing w:line="560" w:lineRule="exact"/>
        <w:rPr>
          <w:rFonts w:hAnsi="宋体" w:cs="宋体"/>
          <w:highlight w:val="none"/>
          <w:u w:val="none"/>
        </w:rPr>
      </w:pPr>
      <w:bookmarkStart w:id="235" w:name="_Toc12769"/>
      <w:r>
        <w:rPr>
          <w:rFonts w:hint="eastAsia" w:hAnsi="宋体" w:cs="宋体"/>
          <w:highlight w:val="none"/>
          <w:u w:val="none"/>
        </w:rPr>
        <w:t>20.</w:t>
      </w:r>
      <w:bookmarkEnd w:id="229"/>
      <w:r>
        <w:rPr>
          <w:rFonts w:hint="eastAsia" w:hAnsi="宋体" w:cs="宋体"/>
          <w:highlight w:val="none"/>
          <w:u w:val="none"/>
        </w:rPr>
        <w:t>资格审查</w:t>
      </w:r>
      <w:bookmarkEnd w:id="230"/>
      <w:bookmarkEnd w:id="231"/>
      <w:bookmarkEnd w:id="232"/>
      <w:bookmarkEnd w:id="235"/>
    </w:p>
    <w:p>
      <w:pPr>
        <w:spacing w:line="560" w:lineRule="exact"/>
        <w:ind w:firstLine="480" w:firstLineChars="200"/>
        <w:jc w:val="left"/>
        <w:rPr>
          <w:rFonts w:ascii="宋体" w:hAnsi="宋体" w:cs="宋体"/>
          <w:sz w:val="24"/>
          <w:highlight w:val="none"/>
        </w:rPr>
      </w:pPr>
      <w:bookmarkStart w:id="236" w:name="_Toc520356166"/>
      <w:bookmarkStart w:id="237" w:name="_Toc515647781"/>
      <w:bookmarkStart w:id="238" w:name="_Toc28479"/>
      <w:bookmarkStart w:id="239" w:name="_Toc19949"/>
      <w:r>
        <w:rPr>
          <w:rFonts w:hint="eastAsia" w:ascii="宋体" w:hAnsi="宋体" w:cs="宋体"/>
          <w:sz w:val="24"/>
          <w:highlight w:val="none"/>
        </w:rPr>
        <w:t>20.1采购人或采购代理机构依据法律法规和竞争性谈判文件中规定的内容，对供应商的资格进行审查。未通过资格审查的供应商不进入谈判；通过资格审查的供应商不足3家的，不得谈判。</w:t>
      </w:r>
    </w:p>
    <w:p>
      <w:pPr>
        <w:spacing w:line="560" w:lineRule="exact"/>
        <w:ind w:firstLine="480" w:firstLineChars="200"/>
        <w:rPr>
          <w:rFonts w:cs="宋体" w:asciiTheme="minorEastAsia" w:hAnsiTheme="minorEastAsia"/>
          <w:sz w:val="24"/>
          <w:highlight w:val="none"/>
        </w:rPr>
      </w:pPr>
      <w:r>
        <w:rPr>
          <w:rFonts w:hint="eastAsia" w:ascii="宋体" w:hAnsi="宋体" w:cs="宋体"/>
          <w:sz w:val="24"/>
          <w:highlight w:val="none"/>
        </w:rPr>
        <w:t>20.2采购人或采购代理机构将按</w:t>
      </w:r>
      <w:r>
        <w:rPr>
          <w:rFonts w:hint="eastAsia" w:ascii="宋体" w:hAnsi="宋体" w:cs="宋体"/>
          <w:sz w:val="24"/>
          <w:highlight w:val="none"/>
          <w:u w:val="single"/>
        </w:rPr>
        <w:t>供应商须知资料表</w:t>
      </w:r>
      <w:r>
        <w:rPr>
          <w:rFonts w:hint="eastAsia" w:ascii="宋体" w:hAnsi="宋体" w:cs="宋体"/>
          <w:sz w:val="24"/>
          <w:highlight w:val="none"/>
        </w:rPr>
        <w:t>中</w:t>
      </w:r>
      <w:r>
        <w:rPr>
          <w:rFonts w:hint="eastAsia" w:ascii="宋体" w:hAnsi="宋体"/>
          <w:sz w:val="24"/>
          <w:highlight w:val="none"/>
        </w:rPr>
        <w:t>规定的时间查询供应商的信用记录。</w:t>
      </w:r>
      <w:r>
        <w:rPr>
          <w:rFonts w:hint="eastAsia" w:ascii="宋体" w:hAnsi="宋体" w:cs="宋体"/>
          <w:sz w:val="24"/>
          <w:highlight w:val="none"/>
        </w:rPr>
        <w:t>供应商在中国政府采购网（</w:t>
      </w:r>
      <w:r>
        <w:rPr>
          <w:highlight w:val="none"/>
        </w:rPr>
        <w:fldChar w:fldCharType="begin"/>
      </w:r>
      <w:r>
        <w:rPr>
          <w:highlight w:val="none"/>
        </w:rPr>
        <w:instrText xml:space="preserve"> HYPERLINK "http://www.ccgp.gov.cn" </w:instrText>
      </w:r>
      <w:r>
        <w:rPr>
          <w:highlight w:val="none"/>
        </w:rPr>
        <w:fldChar w:fldCharType="separate"/>
      </w:r>
      <w:r>
        <w:rPr>
          <w:rFonts w:hint="eastAsia" w:ascii="宋体" w:hAnsi="宋体" w:cs="宋体"/>
          <w:highlight w:val="none"/>
        </w:rPr>
        <w:t>www.ccgp.gov.cn</w:t>
      </w:r>
      <w:r>
        <w:rPr>
          <w:rFonts w:hint="eastAsia" w:ascii="宋体" w:hAnsi="宋体" w:cs="宋体"/>
          <w:highlight w:val="none"/>
        </w:rPr>
        <w:fldChar w:fldCharType="end"/>
      </w:r>
      <w:r>
        <w:rPr>
          <w:rFonts w:hint="eastAsia" w:ascii="宋体" w:hAnsi="宋体" w:cs="宋体"/>
          <w:sz w:val="24"/>
          <w:highlight w:val="none"/>
        </w:rPr>
        <w:t>）被列入政府采购严重违法失信行为记录名单，</w:t>
      </w:r>
      <w:r>
        <w:rPr>
          <w:rFonts w:ascii="宋体" w:hAnsi="宋体" w:cs="宋体"/>
          <w:sz w:val="24"/>
          <w:highlight w:val="none"/>
        </w:rPr>
        <w:t>或</w:t>
      </w:r>
      <w:r>
        <w:rPr>
          <w:rFonts w:hint="eastAsia" w:ascii="宋体" w:hAnsi="宋体" w:cs="宋体"/>
          <w:sz w:val="24"/>
          <w:highlight w:val="none"/>
        </w:rPr>
        <w:t>在“信用中国”网站（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cs="宋体"/>
          <w:highlight w:val="none"/>
        </w:rPr>
        <w:t>www.creditchina.gov.cn</w:t>
      </w:r>
      <w:r>
        <w:rPr>
          <w:rFonts w:hint="eastAsia" w:ascii="宋体" w:hAnsi="宋体" w:cs="宋体"/>
          <w:highlight w:val="none"/>
        </w:rPr>
        <w:fldChar w:fldCharType="end"/>
      </w:r>
      <w:r>
        <w:rPr>
          <w:rFonts w:hint="eastAsia" w:ascii="宋体" w:hAnsi="宋体" w:cs="宋体"/>
          <w:sz w:val="24"/>
          <w:highlight w:val="none"/>
        </w:rPr>
        <w:t>）被列入失信被执行人、重大税收违法案件当事人名单的</w:t>
      </w:r>
      <w:r>
        <w:rPr>
          <w:rFonts w:hint="eastAsia" w:ascii="宋体" w:hAnsi="宋体"/>
          <w:sz w:val="24"/>
          <w:highlight w:val="none"/>
        </w:rPr>
        <w:t>，其响应将被拒绝</w:t>
      </w:r>
      <w:r>
        <w:rPr>
          <w:rFonts w:hint="eastAsia" w:ascii="宋体" w:hAnsi="宋体" w:cs="宋体"/>
          <w:sz w:val="24"/>
          <w:highlight w:val="none"/>
        </w:rPr>
        <w:t>。</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以联合体形式进行响应的，联合体任何成员存在以上不良信用记录的，联合体其响应将被</w:t>
      </w:r>
      <w:r>
        <w:rPr>
          <w:rFonts w:hint="eastAsia" w:ascii="宋体" w:hAnsi="宋体"/>
          <w:sz w:val="24"/>
          <w:highlight w:val="none"/>
        </w:rPr>
        <w:t>拒绝</w:t>
      </w:r>
      <w:r>
        <w:rPr>
          <w:rFonts w:hint="eastAsia" w:ascii="宋体" w:hAnsi="宋体" w:cs="宋体"/>
          <w:sz w:val="24"/>
          <w:highlight w:val="none"/>
        </w:rPr>
        <w:t>。</w:t>
      </w:r>
    </w:p>
    <w:p>
      <w:pPr>
        <w:spacing w:line="560" w:lineRule="exact"/>
        <w:ind w:firstLine="480" w:firstLineChars="200"/>
        <w:jc w:val="left"/>
        <w:rPr>
          <w:rFonts w:hAnsi="宋体" w:cs="宋体"/>
          <w:highlight w:val="none"/>
        </w:rPr>
      </w:pPr>
      <w:r>
        <w:rPr>
          <w:rFonts w:hint="eastAsia" w:cs="宋体" w:asciiTheme="minorEastAsia" w:hAnsiTheme="minorEastAsia"/>
          <w:sz w:val="24"/>
          <w:highlight w:val="none"/>
        </w:rPr>
        <w:t>采购人或采购代理机构将信用记录查询情况签字并存档备查。供应商信用记录情况以采购人或采购代理机构查询结果为准。供应商自行提供的与网站信息不一致的其他证明材料亦不作为资格审查的依据。</w:t>
      </w:r>
    </w:p>
    <w:p>
      <w:pPr>
        <w:pStyle w:val="8"/>
        <w:spacing w:line="560" w:lineRule="exact"/>
        <w:ind w:firstLine="480" w:firstLineChars="200"/>
        <w:rPr>
          <w:rFonts w:hAnsi="宋体" w:cs="宋体"/>
          <w:highlight w:val="none"/>
        </w:rPr>
      </w:pPr>
      <w:r>
        <w:rPr>
          <w:rFonts w:hint="eastAsia" w:hAnsi="宋体" w:cs="宋体"/>
          <w:highlight w:val="none"/>
        </w:rPr>
        <w:t>在本竞争性谈判文件规定的查询时间之后，网站信息发生的任何变更均不再作为谈判依据。</w:t>
      </w:r>
    </w:p>
    <w:p>
      <w:pPr>
        <w:pStyle w:val="5"/>
        <w:spacing w:before="0" w:after="0" w:line="560" w:lineRule="exact"/>
        <w:rPr>
          <w:rFonts w:hAnsi="宋体" w:cs="宋体"/>
          <w:b w:val="0"/>
          <w:bCs/>
          <w:szCs w:val="24"/>
          <w:highlight w:val="none"/>
          <w:bdr w:val="single" w:color="auto" w:sz="4" w:space="0"/>
        </w:rPr>
      </w:pPr>
      <w:bookmarkStart w:id="240" w:name="_Toc8623"/>
      <w:r>
        <w:rPr>
          <w:rFonts w:hint="eastAsia" w:hAnsi="宋体" w:cs="宋体"/>
          <w:szCs w:val="24"/>
          <w:highlight w:val="none"/>
          <w:u w:val="none"/>
        </w:rPr>
        <w:t>21.响应文件</w:t>
      </w:r>
      <w:bookmarkEnd w:id="236"/>
      <w:r>
        <w:rPr>
          <w:rFonts w:hint="eastAsia" w:hAnsi="宋体" w:cs="宋体"/>
          <w:szCs w:val="24"/>
          <w:highlight w:val="none"/>
          <w:u w:val="none"/>
        </w:rPr>
        <w:t>符合性审查与澄清</w:t>
      </w:r>
      <w:bookmarkEnd w:id="237"/>
      <w:bookmarkEnd w:id="238"/>
      <w:bookmarkEnd w:id="239"/>
      <w:bookmarkEnd w:id="240"/>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21.1符合性审查是指依据竞争性谈判文件的规定，从响应文件的有效性、完整性和响应程度进行审查，以确定是否对竞争性谈判文件的实质性要求做出响应。</w:t>
      </w:r>
      <w:bookmarkStart w:id="241" w:name="_Hlt522424701"/>
      <w:bookmarkEnd w:id="241"/>
      <w:bookmarkStart w:id="242" w:name="_Toc520356167"/>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21.2经谈判小组集体审核通过，对于不符合条件的供应商要说明其不符合要求的原因，由其</w:t>
      </w:r>
      <w:r>
        <w:rPr>
          <w:rFonts w:hint="eastAsia" w:ascii="宋体" w:hAnsi="宋体"/>
          <w:sz w:val="24"/>
          <w:highlight w:val="none"/>
        </w:rPr>
        <w:t>法定代表人（</w:t>
      </w:r>
      <w:r>
        <w:rPr>
          <w:rFonts w:hint="eastAsia" w:ascii="宋体" w:hAnsi="宋体" w:cs="宋体"/>
          <w:sz w:val="24"/>
          <w:highlight w:val="none"/>
        </w:rPr>
        <w:t>非法人组织的负责人</w:t>
      </w:r>
      <w:r>
        <w:rPr>
          <w:rFonts w:hint="eastAsia" w:ascii="宋体" w:hAnsi="宋体"/>
          <w:sz w:val="24"/>
          <w:highlight w:val="none"/>
        </w:rPr>
        <w:t>）或其授权代表签章</w:t>
      </w:r>
      <w:r>
        <w:rPr>
          <w:rFonts w:hint="eastAsia" w:ascii="宋体" w:hAnsi="宋体" w:cs="宋体"/>
          <w:sz w:val="24"/>
          <w:highlight w:val="none"/>
        </w:rPr>
        <w:t>，供应商代表拒不签字的，并不影响谈判小组所做出的结论。</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21.3响应文件的澄清</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21.3.1在谈判期间，谈判小组将</w:t>
      </w:r>
      <w:r>
        <w:rPr>
          <w:rFonts w:hint="eastAsia" w:ascii="宋体" w:hAnsi="宋体"/>
          <w:sz w:val="24"/>
          <w:highlight w:val="none"/>
        </w:rPr>
        <w:t>通过网上开评标系统</w:t>
      </w:r>
      <w:r>
        <w:rPr>
          <w:rFonts w:hint="eastAsia" w:ascii="宋体" w:hAnsi="宋体" w:cs="宋体"/>
          <w:sz w:val="24"/>
          <w:highlight w:val="none"/>
        </w:rPr>
        <w:t>要求供应商对其响应文件中含义不明确、对同类问题表述不一致或者有明显文字和计算错误的内容，以及谈判小组认为供应商的报价明显低于其他通过符合性审查供应商的报价，有可能影响履约的情况作必要的澄清、说明或补正。供应商的澄清、说明或补正应在谈判小组规定的时间内</w:t>
      </w:r>
      <w:r>
        <w:rPr>
          <w:rFonts w:hint="eastAsia" w:ascii="宋体" w:hAnsi="宋体"/>
          <w:sz w:val="24"/>
          <w:highlight w:val="none"/>
        </w:rPr>
        <w:t>通过网上开评标系统</w:t>
      </w:r>
      <w:r>
        <w:rPr>
          <w:rFonts w:hint="eastAsia" w:ascii="宋体" w:hAnsi="宋体" w:cs="宋体"/>
          <w:sz w:val="24"/>
          <w:highlight w:val="none"/>
        </w:rPr>
        <w:t>进行，并不得超出响应文件范围或者改变响应文件的实质性内容。</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21.3.2供应商的澄清、说明或补正将作为响应文件的一部分。</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21.3.3谈判小组要求供应商澄清、说明或者更正响应文件应当以书面形式作出。供应商的澄清、说明或者更正应当加盖供应商公章及法定代表人（非法人组织的负责人）或其授权代表签章。由授权代表签字的，应当附法定代表人授权书。供应商为自然人的，应当由本人签字并附身份证明。否则，谈判小组有权不予认可。</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21.4供应商所报产品如被列入财政部与国家主管部门颁发的节能产品目录或环境标志产品目录，应提供符合要求的产品认证证书，在谈判时予以优先采购，具体优先采购办法见第五章评审方法和标准。</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如采购人所采购产品为政府强制采购的节能产品，供应商应提供符合要求的产品认证证明材料，否则其响应文件将被认定为无效。</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21.5已提交响应文件的供应商，在提交最后报价之前，可以根据谈判情况退出谈判。</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21.6谈判小组可以接受响应文件中不构成实质性偏离的不正规或不一致。</w:t>
      </w:r>
    </w:p>
    <w:p>
      <w:pPr>
        <w:pStyle w:val="5"/>
        <w:spacing w:before="0" w:after="0" w:line="560" w:lineRule="exact"/>
        <w:rPr>
          <w:rFonts w:hAnsi="宋体" w:cs="宋体"/>
          <w:szCs w:val="24"/>
          <w:highlight w:val="none"/>
          <w:u w:val="none"/>
        </w:rPr>
      </w:pPr>
      <w:bookmarkStart w:id="243" w:name="_Toc515647783"/>
      <w:bookmarkStart w:id="244" w:name="_Toc6092"/>
      <w:bookmarkStart w:id="245" w:name="_Toc4950"/>
      <w:bookmarkStart w:id="246" w:name="_Toc24804"/>
      <w:r>
        <w:rPr>
          <w:rFonts w:hint="eastAsia" w:hAnsi="宋体" w:cs="宋体"/>
          <w:szCs w:val="24"/>
          <w:highlight w:val="none"/>
          <w:u w:val="none"/>
        </w:rPr>
        <w:t>22.</w:t>
      </w:r>
      <w:bookmarkEnd w:id="243"/>
      <w:r>
        <w:rPr>
          <w:rFonts w:hint="eastAsia" w:hAnsi="宋体" w:cs="宋体"/>
          <w:szCs w:val="24"/>
          <w:highlight w:val="none"/>
          <w:u w:val="none"/>
        </w:rPr>
        <w:t>无效</w:t>
      </w:r>
      <w:bookmarkEnd w:id="244"/>
      <w:bookmarkEnd w:id="245"/>
      <w:r>
        <w:rPr>
          <w:rFonts w:hint="eastAsia" w:hAnsi="宋体" w:cs="宋体"/>
          <w:szCs w:val="24"/>
          <w:highlight w:val="none"/>
          <w:u w:val="none"/>
        </w:rPr>
        <w:t>响应</w:t>
      </w:r>
      <w:bookmarkEnd w:id="246"/>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22.1在比较与评价之前，根据本须知的规定，谈判小组要审查每份响应文件是否实质上响应了竞争性谈判文件的要求，未实质性响应竞争性谈判文件的响应文件按无效响应处理。</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22.2如发现下列情况之一的，其响应将被认定为</w:t>
      </w:r>
      <w:r>
        <w:rPr>
          <w:rFonts w:hint="eastAsia" w:ascii="宋体" w:hAnsi="宋体" w:cs="宋体"/>
          <w:bCs/>
          <w:sz w:val="24"/>
          <w:highlight w:val="none"/>
        </w:rPr>
        <w:t>无效响应</w:t>
      </w:r>
      <w:r>
        <w:rPr>
          <w:rFonts w:hint="eastAsia" w:ascii="宋体" w:hAnsi="宋体" w:cs="宋体"/>
          <w:sz w:val="24"/>
          <w:highlight w:val="none"/>
        </w:rPr>
        <w:t>：</w:t>
      </w:r>
    </w:p>
    <w:p>
      <w:pPr>
        <w:spacing w:line="560" w:lineRule="exact"/>
        <w:ind w:left="420" w:leftChars="200"/>
        <w:jc w:val="left"/>
        <w:rPr>
          <w:rFonts w:ascii="宋体" w:hAnsi="宋体" w:cs="宋体"/>
          <w:sz w:val="24"/>
          <w:highlight w:val="none"/>
        </w:rPr>
      </w:pPr>
      <w:r>
        <w:rPr>
          <w:rFonts w:hint="eastAsia" w:ascii="宋体" w:hAnsi="宋体" w:cs="宋体"/>
          <w:sz w:val="24"/>
          <w:highlight w:val="none"/>
        </w:rPr>
        <w:t>（1）</w:t>
      </w:r>
      <w:r>
        <w:rPr>
          <w:rFonts w:hint="eastAsia" w:cs="宋体"/>
          <w:sz w:val="24"/>
          <w:highlight w:val="none"/>
        </w:rPr>
        <w:t>不具备《中华人民共和国政府采购法》第二十二条规定条件；</w:t>
      </w:r>
    </w:p>
    <w:p>
      <w:pPr>
        <w:spacing w:line="560" w:lineRule="exact"/>
        <w:ind w:left="420" w:leftChars="200"/>
        <w:jc w:val="left"/>
        <w:rPr>
          <w:rFonts w:ascii="宋体" w:hAnsi="宋体" w:cs="宋体"/>
          <w:sz w:val="24"/>
          <w:highlight w:val="none"/>
        </w:rPr>
      </w:pPr>
      <w:r>
        <w:rPr>
          <w:rFonts w:hint="eastAsia" w:ascii="宋体" w:hAnsi="宋体" w:cs="宋体"/>
          <w:sz w:val="24"/>
          <w:highlight w:val="none"/>
        </w:rPr>
        <w:t>（2）未按照竞争性谈判文件规定要求签署、盖章的；</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（3）</w:t>
      </w:r>
      <w:r>
        <w:rPr>
          <w:rFonts w:hint="eastAsia" w:ascii="宋体" w:hAnsi="宋体"/>
          <w:sz w:val="24"/>
          <w:highlight w:val="none"/>
        </w:rPr>
        <w:t>响应分项报价表未按要求填写；</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（4）未满足竞争性谈判文件商务和技术条款的实质性要求的；</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（5）违反竞争性谈判文件规定提供进口产品的；</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（6）未按竞争性谈判文件规定提供政府强制采购节能产品的认证证明材料的；</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（7）报价超过项目预算或最高限价的</w:t>
      </w:r>
      <w:r>
        <w:rPr>
          <w:rFonts w:hint="eastAsia" w:ascii="宋体" w:hAnsi="宋体"/>
          <w:sz w:val="24"/>
          <w:highlight w:val="none"/>
        </w:rPr>
        <w:t>、拒绝报价、报价不确定、无报价或</w:t>
      </w:r>
      <w:r>
        <w:rPr>
          <w:rFonts w:hint="eastAsia" w:cs="宋体"/>
          <w:sz w:val="24"/>
          <w:highlight w:val="none"/>
          <w:lang w:val="zh-CN"/>
        </w:rPr>
        <w:t>未按谈判文件要求报价的、缺项漏项的</w:t>
      </w:r>
      <w:r>
        <w:rPr>
          <w:rFonts w:hint="eastAsia" w:ascii="宋体" w:hAnsi="宋体" w:cs="宋体"/>
          <w:sz w:val="24"/>
          <w:highlight w:val="none"/>
        </w:rPr>
        <w:t>；</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（8）响应有效期不足的；</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（9）联合体响应文件未附联合体响应协议书的；</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（10）不符合竞争性谈判文件中有关分包规定的；</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（11）属于串通响应，或者依法被视为串通响应；</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（12）</w:t>
      </w:r>
      <w:r>
        <w:rPr>
          <w:rFonts w:hint="eastAsia" w:ascii="宋体" w:hAnsi="宋体"/>
          <w:sz w:val="24"/>
          <w:highlight w:val="none"/>
        </w:rPr>
        <w:t>谈判小组认为供应商的报价明显低于其他通过符合性审查供应商的报价</w:t>
      </w:r>
      <w:r>
        <w:rPr>
          <w:rFonts w:hint="eastAsia" w:ascii="宋体" w:hAnsi="宋体" w:cs="宋体"/>
          <w:sz w:val="24"/>
          <w:highlight w:val="none"/>
        </w:rPr>
        <w:t>，有可能影响服务质量或者不能诚信履约的，要求供应商在</w:t>
      </w:r>
      <w:r>
        <w:rPr>
          <w:rFonts w:hint="eastAsia" w:ascii="宋体" w:hAnsi="宋体"/>
          <w:sz w:val="24"/>
          <w:highlight w:val="none"/>
        </w:rPr>
        <w:t>谈判小组</w:t>
      </w:r>
      <w:r>
        <w:rPr>
          <w:rFonts w:hint="eastAsia" w:ascii="宋体" w:hAnsi="宋体" w:cs="宋体"/>
          <w:sz w:val="24"/>
          <w:highlight w:val="none"/>
        </w:rPr>
        <w:t>规定的时间内提供书面说明，但该供应商未提交相关证明材料以证明其报价合理性的；</w:t>
      </w:r>
    </w:p>
    <w:p>
      <w:pPr>
        <w:spacing w:line="560" w:lineRule="exact"/>
        <w:ind w:firstLine="480" w:firstLineChars="200"/>
        <w:jc w:val="left"/>
        <w:rPr>
          <w:rFonts w:ascii="宋体" w:hAnsi="宋体"/>
          <w:sz w:val="24"/>
          <w:highlight w:val="none"/>
        </w:rPr>
      </w:pPr>
      <w:r>
        <w:rPr>
          <w:rFonts w:hint="eastAsia" w:ascii="宋体" w:hAnsi="宋体" w:cs="宋体"/>
          <w:sz w:val="24"/>
          <w:highlight w:val="none"/>
        </w:rPr>
        <w:t>（13）响应文件含有采购人不能接受的附加条件的</w:t>
      </w:r>
      <w:r>
        <w:rPr>
          <w:rFonts w:hint="eastAsia" w:ascii="宋体" w:hAnsi="宋体"/>
          <w:sz w:val="24"/>
          <w:highlight w:val="none"/>
        </w:rPr>
        <w:t>；</w:t>
      </w:r>
    </w:p>
    <w:p>
      <w:pPr>
        <w:spacing w:line="560" w:lineRule="exact"/>
        <w:ind w:firstLine="480" w:firstLineChars="200"/>
        <w:jc w:val="left"/>
        <w:rPr>
          <w:rFonts w:ascii="宋体" w:hAnsi="宋体"/>
          <w:sz w:val="24"/>
          <w:highlight w:val="none"/>
        </w:rPr>
      </w:pPr>
      <w:r>
        <w:rPr>
          <w:rFonts w:hint="eastAsia" w:ascii="宋体" w:hAnsi="宋体"/>
          <w:sz w:val="24"/>
          <w:highlight w:val="none"/>
        </w:rPr>
        <w:t>（14）不具备竞争性谈判文件中规定的资格要求的；</w:t>
      </w:r>
    </w:p>
    <w:p>
      <w:pPr>
        <w:spacing w:line="560" w:lineRule="exact"/>
        <w:ind w:firstLine="480" w:firstLineChars="200"/>
        <w:jc w:val="left"/>
        <w:rPr>
          <w:rFonts w:ascii="宋体" w:hAnsi="宋体" w:cs="宋体"/>
          <w:sz w:val="24"/>
          <w:highlight w:val="none"/>
        </w:rPr>
      </w:pPr>
      <w:r>
        <w:rPr>
          <w:rFonts w:hint="eastAsia" w:ascii="宋体" w:hAnsi="宋体"/>
          <w:sz w:val="24"/>
          <w:highlight w:val="none"/>
        </w:rPr>
        <w:t>（15）</w:t>
      </w:r>
      <w:r>
        <w:rPr>
          <w:rFonts w:hint="eastAsia" w:ascii="宋体" w:hAnsi="宋体" w:cs="宋体"/>
          <w:sz w:val="24"/>
          <w:highlight w:val="none"/>
        </w:rPr>
        <w:t>响应文件未完全满足</w:t>
      </w:r>
      <w:r>
        <w:rPr>
          <w:rFonts w:hint="eastAsia" w:ascii="宋体" w:hAnsi="宋体"/>
          <w:sz w:val="24"/>
          <w:highlight w:val="none"/>
        </w:rPr>
        <w:t>竞争性谈判文件</w:t>
      </w:r>
      <w:r>
        <w:rPr>
          <w:rFonts w:hint="eastAsia" w:ascii="宋体" w:hAnsi="宋体" w:cs="宋体"/>
          <w:sz w:val="24"/>
          <w:highlight w:val="none"/>
        </w:rPr>
        <w:t>中带有“★”号的条款或指标，或超过</w:t>
      </w:r>
      <w:r>
        <w:rPr>
          <w:rFonts w:hint="eastAsia" w:ascii="宋体" w:hAnsi="宋体"/>
          <w:sz w:val="24"/>
          <w:highlight w:val="none"/>
        </w:rPr>
        <w:t>竞争性谈判文件</w:t>
      </w:r>
      <w:r>
        <w:rPr>
          <w:rFonts w:hint="eastAsia" w:ascii="宋体" w:hAnsi="宋体" w:cs="宋体"/>
          <w:sz w:val="24"/>
          <w:highlight w:val="none"/>
        </w:rPr>
        <w:t>规定的允许出现偏差的最大范围、幅度和最高项数；</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（16）响应文件提供虚假材料；</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（17）对采购人、采购代理机构、谈判小组及其他工作人员施加影响，有碍公平、公正；</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（18）供应商递交的电子响应文件均无法满足正常开标、谈判使用功能的；</w:t>
      </w:r>
    </w:p>
    <w:p>
      <w:pPr>
        <w:spacing w:line="560" w:lineRule="exact"/>
        <w:ind w:firstLine="480" w:firstLineChars="200"/>
        <w:jc w:val="left"/>
        <w:rPr>
          <w:rFonts w:ascii="宋体" w:hAnsi="宋体" w:cs="宋体"/>
          <w:sz w:val="24"/>
          <w:highlight w:val="none"/>
          <w:lang w:val="zh-CN"/>
        </w:rPr>
      </w:pPr>
      <w:r>
        <w:rPr>
          <w:rFonts w:hint="eastAsia" w:ascii="宋体" w:hAnsi="宋体" w:cs="宋体"/>
          <w:sz w:val="24"/>
          <w:highlight w:val="none"/>
        </w:rPr>
        <w:t>（19）</w:t>
      </w:r>
      <w:r>
        <w:rPr>
          <w:rFonts w:hint="eastAsia" w:ascii="宋体" w:hAnsi="宋体" w:cs="宋体"/>
          <w:sz w:val="24"/>
          <w:highlight w:val="none"/>
          <w:lang w:val="zh-CN"/>
        </w:rPr>
        <w:t>由于供应商的自身原因，（包括但不限于以下情况：忘记 CA 锁密码、CA 锁过期、上传响应文件后更新 CA 锁），在规定时间内解密不成功的；</w:t>
      </w:r>
    </w:p>
    <w:p>
      <w:pPr>
        <w:spacing w:line="560" w:lineRule="exact"/>
        <w:ind w:firstLine="480" w:firstLineChars="200"/>
        <w:jc w:val="left"/>
        <w:rPr>
          <w:rFonts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20</w:t>
      </w:r>
      <w:r>
        <w:rPr>
          <w:rFonts w:hint="eastAsia" w:ascii="宋体" w:hAnsi="宋体" w:cs="宋体"/>
          <w:sz w:val="24"/>
          <w:highlight w:val="none"/>
          <w:lang w:val="zh-CN"/>
        </w:rPr>
        <w:t>）不同供应商的响应文件存在非正常一致的；</w:t>
      </w:r>
    </w:p>
    <w:p>
      <w:pPr>
        <w:spacing w:line="560" w:lineRule="exact"/>
        <w:ind w:firstLine="480" w:firstLineChars="200"/>
        <w:jc w:val="left"/>
        <w:rPr>
          <w:rFonts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21</w:t>
      </w:r>
      <w:r>
        <w:rPr>
          <w:rFonts w:hint="eastAsia" w:ascii="宋体" w:hAnsi="宋体" w:cs="宋体"/>
          <w:sz w:val="24"/>
          <w:highlight w:val="none"/>
          <w:lang w:val="zh-CN"/>
        </w:rPr>
        <w:t>）不同供应商的响应文件由同一单位或者同一个人编制，电子响应文件的文件制作机器码或者文件创建标识码一致的；</w:t>
      </w:r>
    </w:p>
    <w:p>
      <w:pPr>
        <w:spacing w:line="560" w:lineRule="exact"/>
        <w:ind w:firstLine="480" w:firstLineChars="200"/>
        <w:jc w:val="left"/>
        <w:rPr>
          <w:rFonts w:ascii="宋体" w:hAnsi="宋体" w:cs="宋体"/>
          <w:sz w:val="24"/>
          <w:highlight w:val="none"/>
          <w:lang w:val="zh-CN"/>
        </w:rPr>
      </w:pPr>
      <w:r>
        <w:rPr>
          <w:rFonts w:hint="eastAsia" w:ascii="宋体" w:hAnsi="宋体" w:cs="宋体"/>
          <w:sz w:val="24"/>
          <w:highlight w:val="none"/>
          <w:lang w:val="zh-CN"/>
        </w:rPr>
        <w:t>（</w:t>
      </w:r>
      <w:r>
        <w:rPr>
          <w:rFonts w:hint="eastAsia" w:ascii="宋体" w:hAnsi="宋体" w:cs="宋体"/>
          <w:sz w:val="24"/>
          <w:highlight w:val="none"/>
        </w:rPr>
        <w:t>22</w:t>
      </w:r>
      <w:r>
        <w:rPr>
          <w:rFonts w:hint="eastAsia" w:ascii="宋体" w:hAnsi="宋体" w:cs="宋体"/>
          <w:sz w:val="24"/>
          <w:highlight w:val="none"/>
          <w:lang w:val="zh-CN"/>
        </w:rPr>
        <w:t>）上传电子响应文件的IP地址相同，经谈判小组认定否决其响应的。</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（23）对竞争性谈判文件</w:t>
      </w:r>
      <w:r>
        <w:rPr>
          <w:rFonts w:hint="eastAsia" w:ascii="宋体" w:hAnsi="宋体"/>
          <w:sz w:val="24"/>
          <w:highlight w:val="none"/>
        </w:rPr>
        <w:t>要求的技术要求整体复制粘贴经谈判小组认定与所提供服务不符的</w:t>
      </w:r>
      <w:r>
        <w:rPr>
          <w:rFonts w:hint="eastAsia" w:ascii="宋体" w:hAnsi="宋体" w:cs="宋体"/>
          <w:sz w:val="24"/>
          <w:highlight w:val="none"/>
        </w:rPr>
        <w:t>；</w:t>
      </w:r>
    </w:p>
    <w:p>
      <w:pPr>
        <w:tabs>
          <w:tab w:val="left" w:pos="0"/>
        </w:tabs>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（24）属于竞争性谈判文件</w:t>
      </w:r>
      <w:r>
        <w:rPr>
          <w:rFonts w:hint="eastAsia" w:ascii="宋体" w:hAnsi="宋体"/>
          <w:sz w:val="24"/>
          <w:highlight w:val="none"/>
        </w:rPr>
        <w:t>规定的其他响应无效情形</w:t>
      </w:r>
      <w:r>
        <w:rPr>
          <w:rFonts w:hint="eastAsia" w:ascii="宋体" w:hAnsi="宋体" w:cs="宋体"/>
          <w:sz w:val="24"/>
          <w:highlight w:val="none"/>
        </w:rPr>
        <w:t>。</w:t>
      </w:r>
    </w:p>
    <w:p>
      <w:pPr>
        <w:spacing w:line="560" w:lineRule="exact"/>
        <w:ind w:firstLine="480" w:firstLineChars="200"/>
        <w:rPr>
          <w:highlight w:val="none"/>
        </w:rPr>
      </w:pPr>
      <w:r>
        <w:rPr>
          <w:rFonts w:hint="eastAsia" w:ascii="宋体" w:hAnsi="宋体"/>
          <w:sz w:val="24"/>
          <w:highlight w:val="none"/>
        </w:rPr>
        <w:t>（25）不符合法规和竞争性谈判文件规定的其他实质性要求的。</w:t>
      </w:r>
    </w:p>
    <w:p>
      <w:pPr>
        <w:pStyle w:val="5"/>
        <w:spacing w:before="0" w:after="0" w:line="560" w:lineRule="exact"/>
        <w:rPr>
          <w:rFonts w:hAnsi="宋体" w:cs="宋体"/>
          <w:szCs w:val="24"/>
          <w:highlight w:val="none"/>
          <w:u w:val="none"/>
        </w:rPr>
      </w:pPr>
      <w:bookmarkStart w:id="247" w:name="_Toc11801"/>
      <w:r>
        <w:rPr>
          <w:rFonts w:hint="eastAsia" w:hAnsi="宋体" w:cs="宋体"/>
          <w:szCs w:val="24"/>
          <w:highlight w:val="none"/>
          <w:u w:val="none"/>
        </w:rPr>
        <w:t>23.谈判</w:t>
      </w:r>
      <w:bookmarkEnd w:id="247"/>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23.1谈判小组所有成员集中与单一供应商分别进行谈判。</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23.2在谈判过程中，谈判小组可以根据谈判文件和谈判情况实质性变动采购需求中的技术、服务要求以及合同条款，但不得变动谈判文件中的其他内容。实质性变动的内容，须经采购人代表确认。</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23.3对谈判文件作出的实质性变动是谈判文件的有效组成部分，谈判小组应当及时</w:t>
      </w:r>
      <w:r>
        <w:rPr>
          <w:rFonts w:hint="eastAsia" w:ascii="宋体" w:hAnsi="宋体"/>
          <w:sz w:val="24"/>
          <w:highlight w:val="none"/>
        </w:rPr>
        <w:t>通过网上开评标系统</w:t>
      </w:r>
      <w:r>
        <w:rPr>
          <w:rFonts w:hint="eastAsia" w:ascii="宋体" w:hAnsi="宋体" w:cs="宋体"/>
          <w:sz w:val="24"/>
          <w:highlight w:val="none"/>
        </w:rPr>
        <w:t>同时通知所有参加谈判的供应商。</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23.4供应商应当按照谈判文件的变动情况和谈判小组的要求重新提交响应文件，并由其法定代表人（非法人组织的负责人）或其授权代表签章。供应商为自然人的，应当由本人签字并附身份证明。</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23.5本项目共</w:t>
      </w:r>
      <w:r>
        <w:rPr>
          <w:rFonts w:hint="eastAsia" w:ascii="宋体" w:hAnsi="宋体" w:cs="宋体"/>
          <w:sz w:val="24"/>
          <w:highlight w:val="none"/>
          <w:u w:val="single"/>
        </w:rPr>
        <w:t xml:space="preserve"> 2 </w:t>
      </w:r>
      <w:r>
        <w:rPr>
          <w:rFonts w:hint="eastAsia" w:ascii="宋体" w:hAnsi="宋体" w:cs="宋体"/>
          <w:sz w:val="24"/>
          <w:highlight w:val="none"/>
        </w:rPr>
        <w:t>轮报价。谈判文件能够详细列明采购标的的技术、货物要求的，谈判结束后，谈判小组应当要求所有实质性响应的供应商在规定时间内提交另一轮报价，该报价为最后报价，提交最后报价的供应商不得少于3家，法律规定的其他情形除外。谈判文件不能详细列明采购标的的技术、货物要求，需经谈判由供应商提供最终设计方案或解决方案的，谈判结束后，谈判小组应当按照少数服从多数的原则投票推荐3家以上供应商的设计方案或者解决方案，并要求其在规定时间内提交另一轮报价，该报价为最后报价。</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23.6最后报价是供应商响应文件的有效组成部分，供应商法定代表人（非法人组织的负责人）或其授权代表对最后报价签章确认。节能、环保产品、中小微企业产品价格认定均按照最后报价后的浮动比例同比例进行调整。</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23.7已提交响应文件的供应商，在提交最后报价之前，可以根据谈判情况退出谈判。该退出申请由供应商法定代表人（非法人组织的负责人）或其授权代表签章确认。</w:t>
      </w:r>
    </w:p>
    <w:p>
      <w:pPr>
        <w:pStyle w:val="5"/>
        <w:spacing w:before="0" w:after="0" w:line="560" w:lineRule="exact"/>
        <w:rPr>
          <w:rFonts w:hAnsi="宋体" w:cs="宋体"/>
          <w:szCs w:val="24"/>
          <w:highlight w:val="none"/>
          <w:u w:val="none"/>
        </w:rPr>
      </w:pPr>
      <w:bookmarkStart w:id="248" w:name="_Toc13652"/>
      <w:bookmarkStart w:id="249" w:name="_Toc22941"/>
      <w:bookmarkStart w:id="250" w:name="_Toc515647784"/>
      <w:bookmarkStart w:id="251" w:name="_Toc16873"/>
      <w:r>
        <w:rPr>
          <w:rFonts w:hint="eastAsia" w:hAnsi="宋体" w:cs="宋体"/>
          <w:szCs w:val="24"/>
          <w:highlight w:val="none"/>
          <w:u w:val="none"/>
        </w:rPr>
        <w:t>24.</w:t>
      </w:r>
      <w:bookmarkEnd w:id="242"/>
      <w:bookmarkEnd w:id="248"/>
      <w:bookmarkEnd w:id="249"/>
      <w:bookmarkEnd w:id="250"/>
      <w:r>
        <w:rPr>
          <w:rFonts w:hint="eastAsia" w:hAnsi="宋体" w:cs="宋体"/>
          <w:szCs w:val="24"/>
          <w:highlight w:val="none"/>
          <w:u w:val="none"/>
        </w:rPr>
        <w:t>比较和评价</w:t>
      </w:r>
      <w:bookmarkEnd w:id="251"/>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24.1谈判小组应当从质量和服务均能满足谈判文件实质性响应要求的供应商中，按照最后报价由低到高的顺序提出3名以上成交候选人。</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24.2谈判严格按照竞争性谈判文件的要求和条件进行。详细评审标准见竞争性谈判文件第四章。</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最低评标价法，是指响应文件满足谈判文件全部实质性要求，且响应报价最低的供应商为成交候选人的评标方法。</w:t>
      </w:r>
    </w:p>
    <w:p>
      <w:pPr>
        <w:pStyle w:val="12"/>
        <w:spacing w:line="560" w:lineRule="exact"/>
        <w:ind w:firstLine="480" w:firstLineChars="200"/>
        <w:jc w:val="left"/>
        <w:rPr>
          <w:rFonts w:hAnsi="宋体" w:cs="宋体"/>
          <w:sz w:val="24"/>
          <w:szCs w:val="24"/>
          <w:highlight w:val="none"/>
        </w:rPr>
      </w:pPr>
      <w:r>
        <w:rPr>
          <w:rFonts w:hint="eastAsia" w:hAnsi="宋体" w:cs="宋体"/>
          <w:sz w:val="24"/>
          <w:szCs w:val="24"/>
          <w:highlight w:val="none"/>
        </w:rPr>
        <w:t>24.3根据《政府采购促进中小企业发展管理办法》（财库</w:t>
      </w:r>
      <w:r>
        <w:rPr>
          <w:rFonts w:hint="eastAsia" w:ascii="仿宋_GB2312" w:hAnsi="仿宋_GB2312" w:eastAsia="仿宋_GB2312" w:cs="仿宋_GB2312"/>
          <w:sz w:val="24"/>
          <w:szCs w:val="24"/>
          <w:highlight w:val="none"/>
        </w:rPr>
        <w:t>〔</w:t>
      </w:r>
      <w:r>
        <w:rPr>
          <w:rFonts w:hint="eastAsia" w:hAnsi="宋体" w:cs="宋体"/>
          <w:sz w:val="24"/>
          <w:szCs w:val="24"/>
          <w:highlight w:val="none"/>
        </w:rPr>
        <w:t>2020</w:t>
      </w:r>
      <w:r>
        <w:rPr>
          <w:rFonts w:hint="eastAsia" w:ascii="仿宋_GB2312" w:hAnsi="仿宋_GB2312" w:eastAsia="仿宋_GB2312" w:cs="仿宋_GB2312"/>
          <w:sz w:val="24"/>
          <w:szCs w:val="24"/>
          <w:highlight w:val="none"/>
        </w:rPr>
        <w:t>〕</w:t>
      </w:r>
      <w:r>
        <w:rPr>
          <w:rFonts w:hint="eastAsia" w:hAnsi="宋体" w:cs="宋体"/>
          <w:sz w:val="24"/>
          <w:szCs w:val="24"/>
          <w:highlight w:val="none"/>
        </w:rPr>
        <w:t>46号）、《财政部 司法部关于政府采购支持监狱企业发展有关问题的通知》（财库</w:t>
      </w:r>
      <w:r>
        <w:rPr>
          <w:rFonts w:hint="eastAsia" w:ascii="仿宋_GB2312" w:hAnsi="仿宋_GB2312" w:eastAsia="仿宋_GB2312" w:cs="仿宋_GB2312"/>
          <w:sz w:val="24"/>
          <w:szCs w:val="24"/>
          <w:highlight w:val="none"/>
        </w:rPr>
        <w:t>〔</w:t>
      </w:r>
      <w:r>
        <w:rPr>
          <w:rFonts w:hint="eastAsia" w:hAnsi="宋体" w:cs="宋体"/>
          <w:sz w:val="24"/>
          <w:szCs w:val="24"/>
          <w:highlight w:val="none"/>
        </w:rPr>
        <w:t>2014</w:t>
      </w:r>
      <w:r>
        <w:rPr>
          <w:rFonts w:hint="eastAsia" w:ascii="仿宋_GB2312" w:hAnsi="仿宋_GB2312" w:eastAsia="仿宋_GB2312" w:cs="仿宋_GB2312"/>
          <w:sz w:val="24"/>
          <w:szCs w:val="24"/>
          <w:highlight w:val="none"/>
        </w:rPr>
        <w:t>〕</w:t>
      </w:r>
      <w:r>
        <w:rPr>
          <w:rFonts w:hint="eastAsia" w:hAnsi="宋体" w:cs="宋体"/>
          <w:sz w:val="24"/>
          <w:szCs w:val="24"/>
          <w:highlight w:val="none"/>
        </w:rPr>
        <w:t>68号）和《三部门联合发布关于促进残疾人就业政府采购政策的通知》（</w:t>
      </w:r>
      <w:bookmarkStart w:id="252" w:name="sendNo"/>
      <w:r>
        <w:rPr>
          <w:rFonts w:hint="eastAsia" w:hAnsi="宋体" w:cs="宋体"/>
          <w:bCs/>
          <w:sz w:val="24"/>
          <w:szCs w:val="24"/>
          <w:highlight w:val="none"/>
        </w:rPr>
        <w:t>财库</w:t>
      </w:r>
      <w:bookmarkEnd w:id="252"/>
      <w:r>
        <w:rPr>
          <w:rFonts w:hint="eastAsia" w:ascii="仿宋_GB2312" w:hAnsi="仿宋_GB2312" w:eastAsia="仿宋_GB2312" w:cs="仿宋_GB2312"/>
          <w:sz w:val="24"/>
          <w:szCs w:val="24"/>
          <w:highlight w:val="none"/>
        </w:rPr>
        <w:t>〔</w:t>
      </w:r>
      <w:r>
        <w:rPr>
          <w:rFonts w:hint="eastAsia" w:hAnsi="宋体" w:cs="宋体"/>
          <w:bCs/>
          <w:sz w:val="24"/>
          <w:szCs w:val="24"/>
          <w:highlight w:val="none"/>
        </w:rPr>
        <w:t>2017</w:t>
      </w:r>
      <w:r>
        <w:rPr>
          <w:rFonts w:hint="eastAsia" w:ascii="仿宋_GB2312" w:hAnsi="仿宋_GB2312" w:eastAsia="仿宋_GB2312" w:cs="仿宋_GB2312"/>
          <w:sz w:val="24"/>
          <w:szCs w:val="24"/>
          <w:highlight w:val="none"/>
        </w:rPr>
        <w:t>〕</w:t>
      </w:r>
      <w:r>
        <w:rPr>
          <w:rFonts w:hint="eastAsia" w:hAnsi="宋体" w:cs="宋体"/>
          <w:bCs/>
          <w:sz w:val="24"/>
          <w:szCs w:val="24"/>
          <w:highlight w:val="none"/>
        </w:rPr>
        <w:t>141号</w:t>
      </w:r>
      <w:r>
        <w:rPr>
          <w:rFonts w:hint="eastAsia" w:hAnsi="宋体" w:cs="宋体"/>
          <w:sz w:val="24"/>
          <w:szCs w:val="24"/>
          <w:highlight w:val="none"/>
        </w:rPr>
        <w:t>）的规定，对满足价格扣除条件且在响应文件中提交了《中小企业声明函》或省级以上监狱管理局、戒毒管理局（含新疆生产建设兵团）出具的属于监狱企业的证明文件的供应商，其响应扣除</w:t>
      </w:r>
      <w:r>
        <w:rPr>
          <w:rFonts w:hint="eastAsia" w:hAnsi="宋体" w:cs="宋体"/>
          <w:sz w:val="24"/>
          <w:szCs w:val="24"/>
          <w:highlight w:val="none"/>
          <w:u w:val="single"/>
        </w:rPr>
        <w:t xml:space="preserve"> / </w:t>
      </w:r>
      <w:r>
        <w:rPr>
          <w:rFonts w:hint="eastAsia" w:hAnsi="宋体" w:cs="宋体"/>
          <w:sz w:val="24"/>
          <w:szCs w:val="24"/>
          <w:highlight w:val="none"/>
        </w:rPr>
        <w:t>%后参与谈判。具体办法及比例详见竞争性谈判文件</w:t>
      </w:r>
      <w:r>
        <w:rPr>
          <w:rFonts w:hint="eastAsia" w:hAnsi="宋体" w:cs="宋体"/>
          <w:sz w:val="24"/>
          <w:highlight w:val="none"/>
        </w:rPr>
        <w:t>第四章</w:t>
      </w:r>
      <w:r>
        <w:rPr>
          <w:rFonts w:hint="eastAsia" w:hAnsi="宋体" w:cs="宋体"/>
          <w:sz w:val="24"/>
          <w:szCs w:val="24"/>
          <w:highlight w:val="none"/>
        </w:rPr>
        <w:t>。</w:t>
      </w:r>
    </w:p>
    <w:p>
      <w:pPr>
        <w:pStyle w:val="12"/>
        <w:spacing w:line="560" w:lineRule="exact"/>
        <w:ind w:firstLine="480" w:firstLineChars="200"/>
        <w:jc w:val="left"/>
        <w:rPr>
          <w:rFonts w:hAnsi="宋体" w:cs="宋体"/>
          <w:sz w:val="24"/>
          <w:szCs w:val="24"/>
          <w:highlight w:val="none"/>
        </w:rPr>
      </w:pPr>
      <w:r>
        <w:rPr>
          <w:rFonts w:hint="eastAsia" w:hAnsi="宋体" w:cs="宋体"/>
          <w:sz w:val="24"/>
          <w:szCs w:val="24"/>
          <w:highlight w:val="none"/>
        </w:rPr>
        <w:t>24.4根据国家有关节能、环保政策，对满足加分条件且在响应文件中提交了国家确定的认证机构出具的、处于有效期之内的节能产品、环境标志产品认证证书</w:t>
      </w:r>
      <w:r>
        <w:rPr>
          <w:rFonts w:hint="eastAsia" w:hAnsi="宋体"/>
          <w:sz w:val="24"/>
          <w:szCs w:val="24"/>
          <w:highlight w:val="none"/>
        </w:rPr>
        <w:t>或</w:t>
      </w:r>
      <w:r>
        <w:rPr>
          <w:rFonts w:hint="eastAsia" w:hAnsi="宋体" w:cs="宋体"/>
          <w:sz w:val="24"/>
          <w:highlight w:val="none"/>
        </w:rPr>
        <w:t>提供加盖供应商公章的节能产品、</w:t>
      </w:r>
      <w:r>
        <w:rPr>
          <w:rFonts w:hint="eastAsia" w:hAnsi="宋体"/>
          <w:sz w:val="24"/>
          <w:szCs w:val="24"/>
          <w:highlight w:val="none"/>
        </w:rPr>
        <w:t>环境标志产品</w:t>
      </w:r>
      <w:r>
        <w:rPr>
          <w:rFonts w:hint="eastAsia" w:hAnsi="宋体" w:cs="宋体"/>
          <w:sz w:val="24"/>
          <w:highlight w:val="none"/>
        </w:rPr>
        <w:t>认证结果信息发布平台或中国政府采购网（www.ccgp.gov.cn）产品网站查询截图</w:t>
      </w:r>
      <w:r>
        <w:rPr>
          <w:rFonts w:hint="eastAsia" w:hAnsi="宋体" w:cs="宋体"/>
          <w:sz w:val="24"/>
          <w:szCs w:val="24"/>
          <w:highlight w:val="none"/>
        </w:rPr>
        <w:t>的供应商，可给予认证产品</w:t>
      </w:r>
      <w:r>
        <w:rPr>
          <w:rFonts w:hint="eastAsia" w:hAnsi="宋体" w:cs="宋体"/>
          <w:sz w:val="24"/>
          <w:szCs w:val="24"/>
          <w:highlight w:val="none"/>
          <w:u w:val="none"/>
          <w:lang w:eastAsia="zh-CN"/>
        </w:rPr>
        <w:t>一定的</w:t>
      </w:r>
      <w:r>
        <w:rPr>
          <w:rFonts w:hint="eastAsia" w:hAnsi="宋体" w:cs="宋体"/>
          <w:sz w:val="24"/>
          <w:szCs w:val="24"/>
          <w:highlight w:val="none"/>
        </w:rPr>
        <w:t>优惠</w:t>
      </w:r>
      <w:r>
        <w:rPr>
          <w:rFonts w:hint="eastAsia" w:hAnsi="宋体" w:cs="宋体"/>
          <w:sz w:val="24"/>
          <w:szCs w:val="24"/>
          <w:highlight w:val="none"/>
          <w:lang w:eastAsia="zh-CN"/>
        </w:rPr>
        <w:t>政策</w:t>
      </w:r>
      <w:r>
        <w:rPr>
          <w:rFonts w:hint="eastAsia" w:hAnsi="宋体" w:cs="宋体"/>
          <w:sz w:val="24"/>
          <w:szCs w:val="24"/>
          <w:highlight w:val="none"/>
        </w:rPr>
        <w:t>，同等条件下，优先采购认证产品。具体办法及比例详见竞争性谈判文件</w:t>
      </w:r>
      <w:r>
        <w:rPr>
          <w:rFonts w:hint="eastAsia" w:hAnsi="宋体" w:cs="宋体"/>
          <w:sz w:val="24"/>
          <w:highlight w:val="none"/>
        </w:rPr>
        <w:t>第四章</w:t>
      </w:r>
      <w:r>
        <w:rPr>
          <w:rFonts w:hint="eastAsia" w:hAnsi="宋体" w:cs="宋体"/>
          <w:sz w:val="24"/>
          <w:szCs w:val="24"/>
          <w:highlight w:val="none"/>
        </w:rPr>
        <w:t>。</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24.5公开发布的</w:t>
      </w:r>
      <w:r>
        <w:rPr>
          <w:rFonts w:hint="eastAsia" w:hAnsi="宋体" w:cs="宋体"/>
          <w:sz w:val="24"/>
          <w:highlight w:val="none"/>
        </w:rPr>
        <w:t>竞争性</w:t>
      </w:r>
      <w:r>
        <w:rPr>
          <w:rFonts w:hint="eastAsia" w:ascii="宋体" w:hAnsi="宋体" w:cs="宋体"/>
          <w:sz w:val="24"/>
          <w:highlight w:val="none"/>
        </w:rPr>
        <w:t>谈判文件中的评分细则，在谈判期间，不允许做出更改。</w:t>
      </w:r>
    </w:p>
    <w:p>
      <w:pPr>
        <w:spacing w:line="560" w:lineRule="exact"/>
        <w:ind w:firstLine="480" w:firstLineChars="200"/>
        <w:jc w:val="left"/>
        <w:rPr>
          <w:rFonts w:hAnsi="宋体" w:cs="宋体"/>
          <w:sz w:val="24"/>
          <w:highlight w:val="none"/>
        </w:rPr>
      </w:pPr>
      <w:r>
        <w:rPr>
          <w:rFonts w:hint="eastAsia" w:ascii="宋体" w:hAnsi="宋体" w:cs="宋体"/>
          <w:sz w:val="24"/>
          <w:highlight w:val="none"/>
        </w:rPr>
        <w:t>24.6谈判小组判断响应文件的响应性仅基于响应文件本身而不靠外部因素。谈判小组将拒绝被确定为非实质性响应的投标，供应商不能通过修正或撤销不符之处而使其响应成为实质性响应的投标。谈判小组可以允许供应商修改其响应文件中不构成实质偏离的、微小的、非正规的不一致或不规则的地方。</w:t>
      </w:r>
    </w:p>
    <w:p>
      <w:pPr>
        <w:spacing w:line="560" w:lineRule="exact"/>
        <w:ind w:firstLine="480" w:firstLineChars="200"/>
        <w:jc w:val="left"/>
        <w:rPr>
          <w:rFonts w:ascii="宋体" w:hAnsi="宋体"/>
          <w:sz w:val="24"/>
          <w:highlight w:val="none"/>
        </w:rPr>
      </w:pPr>
      <w:r>
        <w:rPr>
          <w:rFonts w:hint="eastAsia" w:ascii="宋体" w:hAnsi="宋体" w:cs="宋体"/>
          <w:sz w:val="24"/>
          <w:highlight w:val="none"/>
        </w:rPr>
        <w:t>24.7</w:t>
      </w:r>
      <w:r>
        <w:rPr>
          <w:rFonts w:hint="eastAsia" w:hAnsi="宋体" w:cs="宋体"/>
          <w:sz w:val="24"/>
          <w:highlight w:val="none"/>
        </w:rPr>
        <w:t>谈判</w:t>
      </w:r>
      <w:r>
        <w:rPr>
          <w:rFonts w:hint="eastAsia" w:ascii="宋体" w:hAnsi="宋体"/>
          <w:sz w:val="24"/>
          <w:highlight w:val="none"/>
        </w:rPr>
        <w:t>过程要求：电子开标、</w:t>
      </w:r>
      <w:r>
        <w:rPr>
          <w:rFonts w:hint="eastAsia" w:hAnsi="宋体" w:cs="宋体"/>
          <w:sz w:val="24"/>
          <w:highlight w:val="none"/>
        </w:rPr>
        <w:t>谈判</w:t>
      </w:r>
      <w:r>
        <w:rPr>
          <w:rFonts w:hint="eastAsia" w:ascii="宋体" w:hAnsi="宋体"/>
          <w:sz w:val="24"/>
          <w:highlight w:val="none"/>
        </w:rPr>
        <w:t>如出现下列情形，导致网上开评标系统无法正常运行或无法正常谈判时，应采取应急措施。</w:t>
      </w:r>
    </w:p>
    <w:p>
      <w:pPr>
        <w:spacing w:line="560" w:lineRule="exact"/>
        <w:ind w:firstLine="480" w:firstLineChars="200"/>
        <w:jc w:val="left"/>
        <w:rPr>
          <w:rFonts w:ascii="宋体" w:hAnsi="宋体"/>
          <w:sz w:val="24"/>
          <w:highlight w:val="none"/>
        </w:rPr>
      </w:pPr>
      <w:r>
        <w:rPr>
          <w:rFonts w:hint="eastAsia" w:ascii="宋体" w:hAnsi="宋体"/>
          <w:sz w:val="24"/>
          <w:highlight w:val="none"/>
        </w:rPr>
        <w:t>（1）系统服务器发生故障，无法访问或无法使用系统；</w:t>
      </w:r>
    </w:p>
    <w:p>
      <w:pPr>
        <w:spacing w:line="560" w:lineRule="exact"/>
        <w:ind w:firstLine="480" w:firstLineChars="200"/>
        <w:jc w:val="left"/>
        <w:rPr>
          <w:rFonts w:ascii="宋体" w:hAnsi="宋体"/>
          <w:sz w:val="24"/>
          <w:highlight w:val="none"/>
        </w:rPr>
      </w:pPr>
      <w:r>
        <w:rPr>
          <w:rFonts w:hint="eastAsia" w:ascii="宋体" w:hAnsi="宋体"/>
          <w:sz w:val="24"/>
          <w:highlight w:val="none"/>
        </w:rPr>
        <w:t>（2）系统的软件或数据库出现错误，不能进行正常操作；</w:t>
      </w:r>
    </w:p>
    <w:p>
      <w:pPr>
        <w:spacing w:line="560" w:lineRule="exact"/>
        <w:ind w:firstLine="480" w:firstLineChars="200"/>
        <w:jc w:val="left"/>
        <w:rPr>
          <w:rFonts w:ascii="宋体" w:hAnsi="宋体"/>
          <w:sz w:val="24"/>
          <w:highlight w:val="none"/>
        </w:rPr>
      </w:pPr>
      <w:r>
        <w:rPr>
          <w:rFonts w:hint="eastAsia" w:ascii="宋体" w:hAnsi="宋体"/>
          <w:sz w:val="24"/>
          <w:highlight w:val="none"/>
        </w:rPr>
        <w:t>（3）系统发现有安全漏洞，存在潜在的泄密危险；</w:t>
      </w:r>
    </w:p>
    <w:p>
      <w:pPr>
        <w:spacing w:line="560" w:lineRule="exact"/>
        <w:ind w:firstLine="480" w:firstLineChars="200"/>
        <w:jc w:val="left"/>
        <w:rPr>
          <w:rFonts w:ascii="宋体" w:hAnsi="宋体"/>
          <w:sz w:val="24"/>
          <w:highlight w:val="none"/>
        </w:rPr>
      </w:pPr>
      <w:r>
        <w:rPr>
          <w:rFonts w:hint="eastAsia" w:ascii="宋体" w:hAnsi="宋体"/>
          <w:sz w:val="24"/>
          <w:highlight w:val="none"/>
        </w:rPr>
        <w:t>（4）病毒发作或受到外来病毒的攻击；</w:t>
      </w:r>
    </w:p>
    <w:p>
      <w:pPr>
        <w:spacing w:line="560" w:lineRule="exact"/>
        <w:ind w:firstLine="480" w:firstLineChars="200"/>
        <w:jc w:val="left"/>
        <w:rPr>
          <w:rFonts w:ascii="宋体" w:hAnsi="宋体"/>
          <w:sz w:val="24"/>
          <w:highlight w:val="none"/>
        </w:rPr>
      </w:pPr>
      <w:r>
        <w:rPr>
          <w:rFonts w:hint="eastAsia" w:ascii="宋体" w:hAnsi="宋体"/>
          <w:sz w:val="24"/>
          <w:highlight w:val="none"/>
        </w:rPr>
        <w:t xml:space="preserve">（5）出现其他不可抗拒的客观原因造成网上开评标系统无法正常使用。 </w:t>
      </w:r>
    </w:p>
    <w:p>
      <w:pPr>
        <w:pStyle w:val="12"/>
        <w:spacing w:line="560" w:lineRule="exact"/>
        <w:ind w:firstLine="480" w:firstLineChars="200"/>
        <w:jc w:val="left"/>
        <w:rPr>
          <w:rFonts w:hAnsi="宋体" w:cs="宋体"/>
          <w:sz w:val="24"/>
          <w:szCs w:val="24"/>
          <w:highlight w:val="none"/>
        </w:rPr>
      </w:pPr>
      <w:r>
        <w:rPr>
          <w:rFonts w:hint="eastAsia" w:hAnsi="宋体"/>
          <w:sz w:val="24"/>
          <w:highlight w:val="none"/>
        </w:rPr>
        <w:t>出现上述情况时，应对未开标的暂停开标。已在系统内开标、</w:t>
      </w:r>
      <w:r>
        <w:rPr>
          <w:rFonts w:hint="eastAsia" w:hAnsi="宋体" w:cs="宋体"/>
          <w:sz w:val="24"/>
          <w:szCs w:val="24"/>
          <w:highlight w:val="none"/>
        </w:rPr>
        <w:t>谈判</w:t>
      </w:r>
      <w:r>
        <w:rPr>
          <w:rFonts w:hint="eastAsia" w:hAnsi="宋体"/>
          <w:sz w:val="24"/>
          <w:highlight w:val="none"/>
        </w:rPr>
        <w:t>的立即停止。采取应急措施时，应当对原有资料及信息作出妥善保密处理。</w:t>
      </w:r>
    </w:p>
    <w:p>
      <w:pPr>
        <w:pStyle w:val="5"/>
        <w:spacing w:before="0" w:after="0" w:line="560" w:lineRule="exact"/>
        <w:rPr>
          <w:rFonts w:hAnsi="宋体" w:cs="宋体"/>
          <w:szCs w:val="24"/>
          <w:highlight w:val="none"/>
          <w:u w:val="none"/>
        </w:rPr>
      </w:pPr>
      <w:bookmarkStart w:id="253" w:name="_Toc520356168"/>
      <w:bookmarkStart w:id="254" w:name="_Toc9378"/>
      <w:bookmarkStart w:id="255" w:name="_Toc515647785"/>
      <w:bookmarkStart w:id="256" w:name="_Toc20227"/>
      <w:bookmarkStart w:id="257" w:name="_Toc98"/>
      <w:r>
        <w:rPr>
          <w:rFonts w:hint="eastAsia" w:hAnsi="宋体" w:cs="宋体"/>
          <w:szCs w:val="24"/>
          <w:highlight w:val="none"/>
          <w:u w:val="none"/>
        </w:rPr>
        <w:t>2</w:t>
      </w:r>
      <w:bookmarkEnd w:id="253"/>
      <w:r>
        <w:rPr>
          <w:rFonts w:hint="eastAsia" w:hAnsi="宋体" w:cs="宋体"/>
          <w:szCs w:val="24"/>
          <w:highlight w:val="none"/>
          <w:u w:val="none"/>
        </w:rPr>
        <w:t>5.</w:t>
      </w:r>
      <w:bookmarkEnd w:id="254"/>
      <w:bookmarkEnd w:id="255"/>
      <w:bookmarkEnd w:id="256"/>
      <w:r>
        <w:rPr>
          <w:rFonts w:hint="eastAsia" w:hAnsi="宋体" w:cs="宋体"/>
          <w:szCs w:val="24"/>
          <w:highlight w:val="none"/>
          <w:u w:val="none"/>
        </w:rPr>
        <w:t>采购项目终止</w:t>
      </w:r>
      <w:bookmarkEnd w:id="257"/>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出现下列情形之一的，采购人应当终止竞争性谈判采购活动，发布项目终止公告并说明原因，重新开展采购活动：</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（1）因情况变化，不再符合规定的竞争性谈判采购方式适用情形的；</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（2）出现影响采购公正的违法、违规行为的；</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（3）除《政府采购非招标采购方式管理办法》第二十七条第二项规定的情形外，在采购过程中符合要求的供应商或者报价未超过采购预算的供应商不足3家的。</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（4）因重大变故，采购任务取消的。</w:t>
      </w:r>
    </w:p>
    <w:p>
      <w:pPr>
        <w:pStyle w:val="5"/>
        <w:spacing w:before="0" w:after="0" w:line="560" w:lineRule="exact"/>
        <w:rPr>
          <w:rFonts w:hAnsi="宋体" w:cs="宋体"/>
          <w:szCs w:val="24"/>
          <w:highlight w:val="none"/>
          <w:u w:val="none"/>
        </w:rPr>
      </w:pPr>
      <w:bookmarkStart w:id="258" w:name="_Toc24972"/>
      <w:bookmarkStart w:id="259" w:name="_Toc31289"/>
      <w:bookmarkStart w:id="260" w:name="_Toc515647786"/>
      <w:bookmarkStart w:id="261" w:name="_Toc21167"/>
      <w:bookmarkStart w:id="262" w:name="_Toc520356169"/>
      <w:r>
        <w:rPr>
          <w:rFonts w:hint="eastAsia" w:hAnsi="宋体" w:cs="宋体"/>
          <w:szCs w:val="24"/>
          <w:highlight w:val="none"/>
          <w:u w:val="none"/>
        </w:rPr>
        <w:t>26.保密</w:t>
      </w:r>
      <w:bookmarkEnd w:id="258"/>
      <w:bookmarkEnd w:id="259"/>
      <w:bookmarkEnd w:id="260"/>
      <w:r>
        <w:rPr>
          <w:rFonts w:hint="eastAsia" w:hAnsi="宋体" w:cs="宋体"/>
          <w:szCs w:val="24"/>
          <w:highlight w:val="none"/>
          <w:u w:val="none"/>
        </w:rPr>
        <w:t>要求</w:t>
      </w:r>
      <w:bookmarkEnd w:id="261"/>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26.1谈判将在严格保密的情况下进行。</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26.2政府采购评审专家应当遵守谈判工作纪律，</w:t>
      </w:r>
      <w:r>
        <w:rPr>
          <w:rFonts w:hint="eastAsia" w:ascii="宋体" w:hAnsi="宋体" w:cs="宋体"/>
          <w:bCs/>
          <w:sz w:val="24"/>
          <w:highlight w:val="none"/>
        </w:rPr>
        <w:t>不得记录、复制或者带走任何评标资料，</w:t>
      </w:r>
      <w:r>
        <w:rPr>
          <w:rFonts w:hint="eastAsia" w:ascii="宋体" w:hAnsi="宋体" w:cs="宋体"/>
          <w:sz w:val="24"/>
          <w:highlight w:val="none"/>
        </w:rPr>
        <w:t>不得泄露</w:t>
      </w:r>
      <w:r>
        <w:rPr>
          <w:rFonts w:hint="eastAsia" w:hAnsi="宋体" w:cs="宋体"/>
          <w:sz w:val="24"/>
          <w:highlight w:val="none"/>
        </w:rPr>
        <w:t>竞争性</w:t>
      </w:r>
      <w:r>
        <w:rPr>
          <w:rFonts w:hint="eastAsia" w:ascii="宋体" w:hAnsi="宋体" w:cs="宋体"/>
          <w:sz w:val="24"/>
          <w:highlight w:val="none"/>
        </w:rPr>
        <w:t>谈判文件、谈判情况和谈判中获悉的商业秘密。</w:t>
      </w:r>
    </w:p>
    <w:p>
      <w:pPr>
        <w:spacing w:line="560" w:lineRule="exact"/>
        <w:ind w:firstLine="480" w:firstLineChars="200"/>
        <w:jc w:val="left"/>
        <w:rPr>
          <w:rFonts w:ascii="宋体" w:hAnsi="宋体" w:cs="宋体"/>
          <w:sz w:val="24"/>
          <w:highlight w:val="none"/>
        </w:rPr>
      </w:pPr>
    </w:p>
    <w:p>
      <w:pPr>
        <w:pStyle w:val="4"/>
        <w:spacing w:before="0" w:line="560" w:lineRule="exact"/>
        <w:ind w:firstLine="562" w:firstLineChars="200"/>
        <w:rPr>
          <w:rFonts w:ascii="宋体" w:hAnsi="宋体" w:eastAsia="宋体" w:cs="宋体"/>
          <w:sz w:val="28"/>
          <w:szCs w:val="28"/>
          <w:highlight w:val="none"/>
        </w:rPr>
      </w:pPr>
      <w:bookmarkStart w:id="263" w:name="_Toc12143"/>
      <w:bookmarkStart w:id="264" w:name="_Toc216582810"/>
      <w:bookmarkStart w:id="265" w:name="_Toc23904"/>
      <w:bookmarkStart w:id="266" w:name="_Toc515647787"/>
      <w:bookmarkStart w:id="267" w:name="_Toc80"/>
      <w:r>
        <w:rPr>
          <w:rFonts w:hint="eastAsia" w:ascii="宋体" w:hAnsi="宋体" w:eastAsia="宋体" w:cs="宋体"/>
          <w:sz w:val="28"/>
          <w:szCs w:val="28"/>
          <w:highlight w:val="none"/>
        </w:rPr>
        <w:t>六</w:t>
      </w:r>
      <w:bookmarkEnd w:id="262"/>
      <w:r>
        <w:rPr>
          <w:rFonts w:hint="eastAsia" w:ascii="宋体" w:hAnsi="宋体" w:eastAsia="宋体" w:cs="宋体"/>
          <w:sz w:val="28"/>
          <w:szCs w:val="28"/>
          <w:highlight w:val="none"/>
        </w:rPr>
        <w:t>、确定成交</w:t>
      </w:r>
      <w:bookmarkEnd w:id="263"/>
      <w:bookmarkEnd w:id="264"/>
      <w:bookmarkEnd w:id="265"/>
      <w:bookmarkEnd w:id="266"/>
      <w:bookmarkEnd w:id="267"/>
    </w:p>
    <w:p>
      <w:pPr>
        <w:pStyle w:val="5"/>
        <w:spacing w:before="0" w:after="0" w:line="560" w:lineRule="exact"/>
        <w:rPr>
          <w:rFonts w:hAnsi="宋体" w:cs="宋体"/>
          <w:szCs w:val="24"/>
          <w:highlight w:val="none"/>
          <w:u w:val="none"/>
        </w:rPr>
      </w:pPr>
      <w:bookmarkStart w:id="268" w:name="_Toc23617"/>
      <w:bookmarkStart w:id="269" w:name="_Toc520356170"/>
      <w:bookmarkStart w:id="270" w:name="_Toc515647788"/>
      <w:bookmarkStart w:id="271" w:name="_Toc23762"/>
      <w:bookmarkStart w:id="272" w:name="_Ref467307010"/>
      <w:bookmarkStart w:id="273" w:name="_Toc24769"/>
      <w:r>
        <w:rPr>
          <w:rFonts w:hint="eastAsia" w:hAnsi="宋体" w:cs="宋体"/>
          <w:szCs w:val="24"/>
          <w:highlight w:val="none"/>
          <w:u w:val="none"/>
        </w:rPr>
        <w:t>27.成交候选人的确定原则及标准</w:t>
      </w:r>
      <w:bookmarkEnd w:id="268"/>
      <w:bookmarkEnd w:id="269"/>
      <w:bookmarkEnd w:id="270"/>
      <w:bookmarkEnd w:id="271"/>
      <w:bookmarkEnd w:id="272"/>
      <w:bookmarkEnd w:id="273"/>
    </w:p>
    <w:p>
      <w:pPr>
        <w:spacing w:line="560" w:lineRule="exact"/>
        <w:ind w:firstLine="480" w:firstLineChars="200"/>
        <w:rPr>
          <w:rFonts w:ascii="宋体" w:hAnsi="宋体" w:cs="宋体"/>
          <w:sz w:val="24"/>
          <w:highlight w:val="none"/>
        </w:rPr>
      </w:pPr>
      <w:r>
        <w:rPr>
          <w:rFonts w:hint="eastAsia" w:ascii="宋体" w:hAnsi="宋体" w:cs="宋体"/>
          <w:sz w:val="24"/>
          <w:highlight w:val="none"/>
        </w:rPr>
        <w:t>对实质上响应</w:t>
      </w:r>
      <w:r>
        <w:rPr>
          <w:rFonts w:hint="eastAsia" w:hAnsi="宋体" w:cs="宋体"/>
          <w:sz w:val="24"/>
          <w:highlight w:val="none"/>
        </w:rPr>
        <w:t>竞争性</w:t>
      </w:r>
      <w:r>
        <w:rPr>
          <w:rFonts w:hint="eastAsia" w:ascii="宋体" w:hAnsi="宋体" w:cs="宋体"/>
          <w:sz w:val="24"/>
          <w:highlight w:val="none"/>
        </w:rPr>
        <w:t>谈判文件的供应商按照谈判文件第四章规定的评审方法进行排序，确定成交候选人。</w:t>
      </w:r>
    </w:p>
    <w:p>
      <w:pPr>
        <w:pStyle w:val="5"/>
        <w:spacing w:before="0" w:after="0" w:line="560" w:lineRule="exact"/>
        <w:rPr>
          <w:rFonts w:hAnsi="宋体" w:cs="宋体"/>
          <w:szCs w:val="24"/>
          <w:highlight w:val="none"/>
          <w:u w:val="none"/>
        </w:rPr>
      </w:pPr>
      <w:bookmarkStart w:id="274" w:name="_Toc9653"/>
      <w:bookmarkStart w:id="275" w:name="_Toc515647789"/>
      <w:bookmarkStart w:id="276" w:name="_Toc23951"/>
      <w:bookmarkStart w:id="277" w:name="_Toc16031"/>
      <w:r>
        <w:rPr>
          <w:rFonts w:hint="eastAsia" w:hAnsi="宋体" w:cs="宋体"/>
          <w:szCs w:val="24"/>
          <w:highlight w:val="none"/>
          <w:u w:val="none"/>
        </w:rPr>
        <w:t>28.确定成交候选人和成交供应商</w:t>
      </w:r>
      <w:bookmarkEnd w:id="274"/>
      <w:bookmarkEnd w:id="275"/>
      <w:bookmarkEnd w:id="276"/>
      <w:bookmarkEnd w:id="277"/>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谈判小组将根据评标标准，按</w:t>
      </w:r>
      <w:r>
        <w:rPr>
          <w:rFonts w:hint="eastAsia" w:ascii="宋体" w:hAnsi="宋体" w:cs="宋体"/>
          <w:sz w:val="24"/>
          <w:highlight w:val="none"/>
          <w:u w:val="single"/>
        </w:rPr>
        <w:t>供应商须知资料表中</w:t>
      </w:r>
      <w:r>
        <w:rPr>
          <w:rFonts w:hint="eastAsia" w:ascii="宋体" w:hAnsi="宋体" w:cs="宋体"/>
          <w:sz w:val="24"/>
          <w:highlight w:val="none"/>
        </w:rPr>
        <w:t>规定数量推荐成交候选人或根据采购人的委托直接确定成交供应商。</w:t>
      </w:r>
    </w:p>
    <w:p>
      <w:pPr>
        <w:pStyle w:val="5"/>
        <w:spacing w:before="0" w:after="0" w:line="560" w:lineRule="exact"/>
        <w:rPr>
          <w:rFonts w:hAnsi="宋体" w:cs="宋体"/>
          <w:szCs w:val="24"/>
          <w:highlight w:val="none"/>
          <w:u w:val="none"/>
        </w:rPr>
      </w:pPr>
      <w:bookmarkStart w:id="278" w:name="_Toc51176613"/>
      <w:bookmarkStart w:id="279" w:name="_Toc13795"/>
      <w:r>
        <w:rPr>
          <w:rFonts w:hint="eastAsia" w:hAnsi="宋体" w:cs="宋体"/>
          <w:szCs w:val="24"/>
          <w:highlight w:val="none"/>
          <w:u w:val="none"/>
        </w:rPr>
        <w:t>29.采购任务取消</w:t>
      </w:r>
      <w:bookmarkEnd w:id="278"/>
      <w:bookmarkEnd w:id="279"/>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因重大变故采购任务取消时，采购人有权拒绝任何供应商成交，对受影响的供应商不承担任何责任。</w:t>
      </w:r>
    </w:p>
    <w:p>
      <w:pPr>
        <w:pStyle w:val="5"/>
        <w:spacing w:before="0" w:after="0" w:line="560" w:lineRule="exact"/>
        <w:rPr>
          <w:rFonts w:hAnsi="宋体" w:cs="宋体"/>
          <w:szCs w:val="24"/>
          <w:highlight w:val="none"/>
          <w:u w:val="none"/>
        </w:rPr>
      </w:pPr>
      <w:bookmarkStart w:id="280" w:name="_Toc520356174"/>
      <w:bookmarkStart w:id="281" w:name="_Toc518923095"/>
      <w:bookmarkStart w:id="282" w:name="_Toc19087101"/>
      <w:bookmarkStart w:id="283" w:name="_Toc12847"/>
      <w:r>
        <w:rPr>
          <w:rFonts w:hint="eastAsia" w:hAnsi="宋体" w:cs="宋体"/>
          <w:szCs w:val="24"/>
          <w:highlight w:val="none"/>
          <w:u w:val="none"/>
        </w:rPr>
        <w:t>30.发出成交</w:t>
      </w:r>
      <w:bookmarkEnd w:id="280"/>
      <w:r>
        <w:rPr>
          <w:rFonts w:hint="eastAsia" w:hAnsi="宋体" w:cs="宋体"/>
          <w:szCs w:val="24"/>
          <w:highlight w:val="none"/>
          <w:u w:val="none"/>
        </w:rPr>
        <w:t>通知书</w:t>
      </w:r>
      <w:bookmarkEnd w:id="281"/>
      <w:bookmarkEnd w:id="282"/>
      <w:bookmarkEnd w:id="283"/>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在响应有效期内，成交供应商确定后，采购人或者采购代理机构按照规定应同时公告供应商未中标的原因，发布成交公告，在公告成交结果的同时，向成交供应商发出成交通知书，成交通知书是合同的组成部分。</w:t>
      </w:r>
    </w:p>
    <w:p>
      <w:pPr>
        <w:pStyle w:val="5"/>
        <w:spacing w:before="0" w:after="0" w:line="560" w:lineRule="exact"/>
        <w:rPr>
          <w:rFonts w:hAnsi="宋体" w:cs="宋体"/>
          <w:szCs w:val="24"/>
          <w:highlight w:val="none"/>
          <w:u w:val="none"/>
        </w:rPr>
      </w:pPr>
      <w:bookmarkStart w:id="284" w:name="_Toc19087104"/>
      <w:bookmarkStart w:id="285" w:name="_Ref467306377"/>
      <w:bookmarkStart w:id="286" w:name="_Ref467306978"/>
      <w:bookmarkStart w:id="287" w:name="_Ref467307204"/>
      <w:bookmarkStart w:id="288" w:name="_Ref467307062"/>
      <w:bookmarkStart w:id="289" w:name="_Toc518923096"/>
      <w:bookmarkStart w:id="290" w:name="_Toc520356175"/>
      <w:bookmarkStart w:id="291" w:name="_Toc6387"/>
      <w:r>
        <w:rPr>
          <w:rFonts w:hint="eastAsia" w:hAnsi="宋体" w:cs="宋体"/>
          <w:szCs w:val="24"/>
          <w:highlight w:val="none"/>
          <w:u w:val="none"/>
        </w:rPr>
        <w:t>31.签订合同</w:t>
      </w:r>
      <w:bookmarkEnd w:id="284"/>
      <w:bookmarkEnd w:id="285"/>
      <w:bookmarkEnd w:id="286"/>
      <w:bookmarkEnd w:id="287"/>
      <w:bookmarkEnd w:id="288"/>
      <w:bookmarkEnd w:id="289"/>
      <w:bookmarkEnd w:id="290"/>
      <w:bookmarkEnd w:id="291"/>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31.1成交供应商应当自发出成交通知书之日起10个工作日内，与采购人签订合同。</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31.2</w:t>
      </w:r>
      <w:bookmarkStart w:id="292" w:name="_Toc520356176"/>
      <w:bookmarkStart w:id="293" w:name="_Ref467307090"/>
      <w:bookmarkStart w:id="294" w:name="_Ref467306425"/>
      <w:r>
        <w:rPr>
          <w:rFonts w:hint="eastAsia" w:ascii="宋体" w:hAnsi="宋体" w:cs="宋体"/>
          <w:sz w:val="24"/>
          <w:highlight w:val="none"/>
        </w:rPr>
        <w:t>竞争性谈判文件、成交供应商的响应文件及其澄清文件等，均为签订合同的依据。</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31.3如成交供应商拒绝与采购人签订合同的，采购人可以按照评审报告推荐的成交候选人名单排序，确定下一成交候选人为成交供应商，也可以重新开展政府采购活动。</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31.4当出现法规规定的成交无效或成交结果无效情形时，采购人依规可与排名下一位的成交候选人另行签订合同，或依法重新开展采购活动。</w:t>
      </w:r>
    </w:p>
    <w:p>
      <w:pPr>
        <w:pStyle w:val="5"/>
        <w:spacing w:before="0" w:after="0" w:line="560" w:lineRule="exact"/>
        <w:rPr>
          <w:rFonts w:hAnsi="宋体" w:cs="宋体"/>
          <w:szCs w:val="24"/>
          <w:highlight w:val="none"/>
          <w:u w:val="none"/>
        </w:rPr>
      </w:pPr>
      <w:bookmarkStart w:id="295" w:name="_Toc19087105"/>
      <w:bookmarkStart w:id="296" w:name="_Toc518923097"/>
      <w:bookmarkStart w:id="297" w:name="_Toc3037"/>
      <w:r>
        <w:rPr>
          <w:rFonts w:hint="eastAsia" w:hAnsi="宋体" w:cs="宋体"/>
          <w:szCs w:val="24"/>
          <w:highlight w:val="none"/>
          <w:u w:val="none"/>
        </w:rPr>
        <w:t>32.履约保证金</w:t>
      </w:r>
      <w:bookmarkEnd w:id="292"/>
      <w:bookmarkEnd w:id="293"/>
      <w:bookmarkEnd w:id="294"/>
      <w:bookmarkEnd w:id="295"/>
      <w:bookmarkEnd w:id="296"/>
      <w:bookmarkEnd w:id="297"/>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成交供应商应按照</w:t>
      </w:r>
      <w:r>
        <w:rPr>
          <w:rFonts w:hint="eastAsia" w:ascii="宋体" w:hAnsi="宋体" w:cs="宋体"/>
          <w:sz w:val="24"/>
          <w:highlight w:val="none"/>
          <w:u w:val="single"/>
        </w:rPr>
        <w:t>供应商须知资料表</w:t>
      </w:r>
      <w:r>
        <w:rPr>
          <w:rFonts w:hint="eastAsia" w:ascii="宋体" w:hAnsi="宋体" w:cs="宋体"/>
          <w:sz w:val="24"/>
          <w:highlight w:val="none"/>
        </w:rPr>
        <w:t>规定向采购人提交履约保证。</w:t>
      </w:r>
    </w:p>
    <w:p>
      <w:pPr>
        <w:pStyle w:val="5"/>
        <w:spacing w:before="0" w:after="0" w:line="560" w:lineRule="exact"/>
        <w:rPr>
          <w:rFonts w:hAnsi="宋体" w:cs="宋体"/>
          <w:szCs w:val="24"/>
          <w:highlight w:val="none"/>
          <w:u w:val="none"/>
        </w:rPr>
      </w:pPr>
      <w:bookmarkStart w:id="298" w:name="_Toc51176617"/>
      <w:bookmarkStart w:id="299" w:name="_Toc518923099"/>
      <w:bookmarkStart w:id="300" w:name="_Toc31411"/>
      <w:bookmarkStart w:id="301" w:name="_Toc20205"/>
      <w:bookmarkStart w:id="302" w:name="_Toc62193426"/>
      <w:r>
        <w:rPr>
          <w:rFonts w:hint="eastAsia" w:hAnsi="宋体" w:cs="宋体"/>
          <w:szCs w:val="24"/>
          <w:highlight w:val="none"/>
          <w:u w:val="none"/>
        </w:rPr>
        <w:t>33.</w:t>
      </w:r>
      <w:bookmarkEnd w:id="298"/>
      <w:bookmarkEnd w:id="299"/>
      <w:bookmarkEnd w:id="300"/>
      <w:r>
        <w:rPr>
          <w:rFonts w:hint="eastAsia" w:hAnsi="宋体" w:cs="宋体"/>
          <w:szCs w:val="24"/>
          <w:highlight w:val="none"/>
          <w:u w:val="none"/>
        </w:rPr>
        <w:t xml:space="preserve"> 政府采购履约融资担保</w:t>
      </w:r>
      <w:bookmarkEnd w:id="301"/>
      <w:bookmarkEnd w:id="302"/>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有融资需求的供应商在签订《政府采购合同》后，可依据《山东省政府采购合同融资管理办法》（鲁财采〔2018〕17号）有关规定，通过全省统一的信息化平台自行选择符合自身需要的金融产品，提供金融机构要求的相关材料，发起融资申请，也可通过淄博市公共资源交易中心金融服务平台进行融资贷款。</w:t>
      </w:r>
    </w:p>
    <w:p>
      <w:pPr>
        <w:pStyle w:val="5"/>
        <w:spacing w:before="0" w:after="0" w:line="560" w:lineRule="exact"/>
        <w:rPr>
          <w:rFonts w:hAnsi="宋体" w:cs="宋体"/>
          <w:szCs w:val="24"/>
          <w:highlight w:val="none"/>
          <w:u w:val="none"/>
        </w:rPr>
      </w:pPr>
      <w:bookmarkStart w:id="303" w:name="_Toc518923098"/>
      <w:bookmarkStart w:id="304" w:name="_Toc19016170"/>
      <w:bookmarkStart w:id="305" w:name="_Toc19087106"/>
      <w:bookmarkStart w:id="306" w:name="_Toc15872"/>
      <w:bookmarkStart w:id="307" w:name="_Toc518923100"/>
      <w:r>
        <w:rPr>
          <w:rFonts w:hint="eastAsia" w:hAnsi="宋体" w:cs="宋体"/>
          <w:szCs w:val="24"/>
          <w:highlight w:val="none"/>
          <w:u w:val="none"/>
        </w:rPr>
        <w:t>34.</w:t>
      </w:r>
      <w:bookmarkEnd w:id="303"/>
      <w:r>
        <w:rPr>
          <w:rFonts w:hint="eastAsia" w:hAnsi="宋体" w:cs="宋体"/>
          <w:szCs w:val="24"/>
          <w:highlight w:val="none"/>
          <w:u w:val="none"/>
        </w:rPr>
        <w:t>预付款</w:t>
      </w:r>
      <w:bookmarkEnd w:id="304"/>
      <w:bookmarkEnd w:id="305"/>
      <w:bookmarkEnd w:id="306"/>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预付款是在指政府采购合同签订后、履行前，采购人向成交供应商预先支付部分合同款项，</w:t>
      </w:r>
      <w:r>
        <w:rPr>
          <w:rFonts w:hint="eastAsia" w:ascii="宋体" w:hAnsi="宋体"/>
          <w:sz w:val="24"/>
          <w:highlight w:val="none"/>
        </w:rPr>
        <w:t>具体执行见</w:t>
      </w:r>
      <w:r>
        <w:rPr>
          <w:rFonts w:hint="eastAsia" w:ascii="宋体" w:hAnsi="宋体"/>
          <w:sz w:val="24"/>
          <w:highlight w:val="none"/>
          <w:u w:val="single"/>
        </w:rPr>
        <w:t>供应商须知资料表</w:t>
      </w:r>
      <w:r>
        <w:rPr>
          <w:rFonts w:hint="eastAsia" w:ascii="宋体" w:hAnsi="宋体" w:cs="宋体"/>
          <w:sz w:val="24"/>
          <w:highlight w:val="none"/>
        </w:rPr>
        <w:t>。</w:t>
      </w:r>
    </w:p>
    <w:p>
      <w:pPr>
        <w:pStyle w:val="5"/>
        <w:spacing w:before="0" w:after="0" w:line="560" w:lineRule="exact"/>
        <w:rPr>
          <w:rFonts w:hAnsi="宋体" w:cs="宋体"/>
          <w:szCs w:val="24"/>
          <w:highlight w:val="none"/>
          <w:u w:val="none"/>
        </w:rPr>
      </w:pPr>
      <w:bookmarkStart w:id="308" w:name="_Toc19087107"/>
      <w:bookmarkStart w:id="309" w:name="_Toc25840"/>
      <w:r>
        <w:rPr>
          <w:rFonts w:hint="eastAsia" w:hAnsi="宋体" w:cs="宋体"/>
          <w:szCs w:val="24"/>
          <w:highlight w:val="none"/>
          <w:u w:val="none"/>
        </w:rPr>
        <w:t>35.廉洁自律规定</w:t>
      </w:r>
      <w:bookmarkEnd w:id="307"/>
      <w:bookmarkEnd w:id="308"/>
      <w:bookmarkEnd w:id="309"/>
    </w:p>
    <w:p>
      <w:pPr>
        <w:spacing w:line="560" w:lineRule="exact"/>
        <w:ind w:left="19" w:leftChars="9" w:firstLine="458" w:firstLineChars="191"/>
        <w:rPr>
          <w:rFonts w:ascii="宋体" w:hAnsi="宋体" w:cs="宋体"/>
          <w:sz w:val="24"/>
          <w:highlight w:val="none"/>
        </w:rPr>
      </w:pPr>
      <w:bookmarkStart w:id="310" w:name="_Toc19087108"/>
      <w:bookmarkStart w:id="311" w:name="_Toc518923101"/>
      <w:r>
        <w:rPr>
          <w:rFonts w:hint="eastAsia" w:ascii="宋体" w:hAnsi="宋体" w:cs="宋体"/>
          <w:sz w:val="24"/>
          <w:highlight w:val="none"/>
        </w:rPr>
        <w:t>35.1 采购人、采购代理机构不得与供应商恶意串通操纵政府采购活动。</w:t>
      </w:r>
    </w:p>
    <w:p>
      <w:pPr>
        <w:spacing w:line="560" w:lineRule="exact"/>
        <w:ind w:left="19" w:leftChars="9" w:firstLine="458" w:firstLineChars="191"/>
        <w:rPr>
          <w:rFonts w:ascii="宋体" w:hAnsi="宋体" w:cs="宋体"/>
          <w:sz w:val="24"/>
          <w:highlight w:val="none"/>
        </w:rPr>
      </w:pPr>
      <w:r>
        <w:rPr>
          <w:rFonts w:hint="eastAsia" w:ascii="宋体" w:hAnsi="宋体" w:cs="宋体"/>
          <w:sz w:val="24"/>
          <w:highlight w:val="none"/>
        </w:rPr>
        <w:t>35.2 采购人、采购代理机构不得接受供应商组织的宴请、旅游、娱乐，不得收受礼品、现金、有价证券等，不得向供应商报销应当由个人承担的费用。</w:t>
      </w:r>
    </w:p>
    <w:p>
      <w:pPr>
        <w:spacing w:line="560" w:lineRule="exact"/>
        <w:ind w:left="19" w:leftChars="9" w:firstLine="458" w:firstLineChars="191"/>
        <w:rPr>
          <w:rFonts w:ascii="宋体" w:hAnsi="宋体" w:cs="宋体"/>
          <w:sz w:val="24"/>
          <w:highlight w:val="none"/>
        </w:rPr>
      </w:pPr>
      <w:r>
        <w:rPr>
          <w:rFonts w:hint="eastAsia" w:ascii="宋体" w:hAnsi="宋体" w:cs="宋体"/>
          <w:sz w:val="24"/>
          <w:highlight w:val="none"/>
        </w:rPr>
        <w:t>35.3 为强化政府采购活动的监督，供应商可按</w:t>
      </w:r>
      <w:r>
        <w:rPr>
          <w:rFonts w:hint="eastAsia" w:ascii="宋体" w:hAnsi="宋体" w:cs="宋体"/>
          <w:sz w:val="24"/>
          <w:highlight w:val="none"/>
          <w:u w:val="single"/>
        </w:rPr>
        <w:t>供应商须知资料表</w:t>
      </w:r>
      <w:r>
        <w:rPr>
          <w:rFonts w:hint="eastAsia" w:ascii="宋体" w:hAnsi="宋体" w:cs="宋体"/>
          <w:sz w:val="24"/>
          <w:highlight w:val="none"/>
        </w:rPr>
        <w:t>中的监督电话和邮箱，反映采购人、采购代理机构的廉洁自律等问题。</w:t>
      </w:r>
    </w:p>
    <w:p>
      <w:pPr>
        <w:pStyle w:val="5"/>
        <w:spacing w:before="0" w:after="0" w:line="560" w:lineRule="exact"/>
        <w:rPr>
          <w:rFonts w:hAnsi="宋体" w:cs="宋体"/>
          <w:szCs w:val="24"/>
          <w:highlight w:val="none"/>
          <w:u w:val="none"/>
        </w:rPr>
      </w:pPr>
      <w:bookmarkStart w:id="312" w:name="_Toc31959"/>
      <w:r>
        <w:rPr>
          <w:rFonts w:hint="eastAsia" w:hAnsi="宋体" w:cs="宋体"/>
          <w:szCs w:val="24"/>
          <w:highlight w:val="none"/>
          <w:u w:val="none"/>
        </w:rPr>
        <w:t>36.人员回避</w:t>
      </w:r>
      <w:bookmarkEnd w:id="310"/>
      <w:bookmarkEnd w:id="311"/>
      <w:bookmarkEnd w:id="312"/>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供应商认为采购人员、采购代理机构工作人员及其相关人员有法律法规所列与其他供应商有利害关系的，可以向采购人或采购代理机构书面提出回避申请，并说明理由。</w:t>
      </w:r>
    </w:p>
    <w:p>
      <w:pPr>
        <w:pStyle w:val="5"/>
        <w:spacing w:before="0" w:after="0" w:line="560" w:lineRule="exact"/>
        <w:rPr>
          <w:rFonts w:hAnsi="宋体" w:cs="宋体"/>
          <w:szCs w:val="24"/>
          <w:highlight w:val="none"/>
          <w:u w:val="none"/>
        </w:rPr>
      </w:pPr>
      <w:bookmarkStart w:id="313" w:name="_Toc19087109"/>
      <w:bookmarkStart w:id="314" w:name="_Toc518923102"/>
      <w:bookmarkStart w:id="315" w:name="_Toc4974"/>
      <w:r>
        <w:rPr>
          <w:rFonts w:hint="eastAsia" w:hAnsi="宋体" w:cs="宋体"/>
          <w:szCs w:val="24"/>
          <w:highlight w:val="none"/>
          <w:u w:val="none"/>
        </w:rPr>
        <w:t>37.质疑与接收</w:t>
      </w:r>
      <w:bookmarkEnd w:id="313"/>
      <w:bookmarkEnd w:id="314"/>
      <w:bookmarkEnd w:id="315"/>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37.1供应商认为竞争性谈判文件、谈判过程和成交结果使自己的权益受到损害的，可以根据《中华人民共和国政府采购法》、《中华人民共和国政府采购法实施条例》和《政府采购质疑和投诉办法》的有关规定，依法向采购人或其委托的采购代理机构提出质疑。</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37.2质疑供应商应按照财政部制定的《政府采购质疑函范本》格式（可从财政部官方网站下载）和《政府采购质疑和投诉办法》的要求，在法定质疑期内以书面形式提出质疑，针对同一采购程序环节的质疑应一次性提出。</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超出法定质疑期的、重复提出的、分次提出的或内容、形式不符合《政府采购质疑和投诉办法》的，质疑供应商将依法承担不利后果。</w:t>
      </w:r>
    </w:p>
    <w:p>
      <w:pPr>
        <w:spacing w:line="560" w:lineRule="exact"/>
        <w:ind w:firstLine="480" w:firstLineChars="200"/>
        <w:jc w:val="left"/>
        <w:rPr>
          <w:rFonts w:ascii="宋体" w:hAnsi="宋体" w:cs="宋体"/>
          <w:sz w:val="24"/>
          <w:highlight w:val="none"/>
          <w:u w:val="single"/>
        </w:rPr>
      </w:pPr>
      <w:r>
        <w:rPr>
          <w:rFonts w:hint="eastAsia" w:ascii="宋体" w:hAnsi="宋体" w:cs="宋体"/>
          <w:sz w:val="24"/>
          <w:highlight w:val="none"/>
        </w:rPr>
        <w:t>37.3采购人或采购代理机构质疑函接收部门、联系电话和通讯地址,详见</w:t>
      </w:r>
      <w:r>
        <w:rPr>
          <w:rFonts w:hint="eastAsia" w:ascii="宋体" w:hAnsi="宋体" w:cs="宋体"/>
          <w:sz w:val="24"/>
          <w:highlight w:val="none"/>
          <w:u w:val="single"/>
        </w:rPr>
        <w:t>供应商须知资料表。</w:t>
      </w:r>
    </w:p>
    <w:p>
      <w:pPr>
        <w:spacing w:line="560" w:lineRule="exact"/>
        <w:ind w:firstLine="480" w:firstLineChars="200"/>
        <w:jc w:val="left"/>
        <w:rPr>
          <w:rFonts w:ascii="宋体" w:hAnsi="宋体"/>
          <w:sz w:val="24"/>
          <w:highlight w:val="none"/>
        </w:rPr>
      </w:pPr>
      <w:r>
        <w:rPr>
          <w:rFonts w:hint="eastAsia" w:ascii="宋体" w:hAnsi="宋体"/>
          <w:sz w:val="24"/>
          <w:highlight w:val="none"/>
        </w:rPr>
        <w:t xml:space="preserve">37.4质疑应当按照法律、法规规定，以书面形式向采购代理机构或采购人提出，并办理签收手续，未以书面形式向提交的视为无效质疑。 </w:t>
      </w:r>
    </w:p>
    <w:p>
      <w:pPr>
        <w:spacing w:line="560" w:lineRule="exact"/>
        <w:ind w:firstLine="480" w:firstLineChars="200"/>
        <w:jc w:val="left"/>
        <w:rPr>
          <w:rFonts w:ascii="宋体" w:hAnsi="宋体"/>
          <w:sz w:val="24"/>
          <w:highlight w:val="none"/>
        </w:rPr>
      </w:pPr>
      <w:r>
        <w:rPr>
          <w:rFonts w:hint="eastAsia" w:ascii="宋体" w:hAnsi="宋体"/>
          <w:sz w:val="24"/>
          <w:highlight w:val="none"/>
        </w:rPr>
        <w:t>37.5质疑函应当包括以下主要内容：</w:t>
      </w:r>
    </w:p>
    <w:p>
      <w:pPr>
        <w:spacing w:line="560" w:lineRule="exact"/>
        <w:ind w:firstLine="480" w:firstLineChars="200"/>
        <w:jc w:val="left"/>
        <w:rPr>
          <w:rFonts w:ascii="宋体" w:hAnsi="宋体"/>
          <w:sz w:val="24"/>
          <w:highlight w:val="none"/>
        </w:rPr>
      </w:pPr>
      <w:r>
        <w:rPr>
          <w:rFonts w:hint="eastAsia" w:ascii="宋体" w:hAnsi="宋体"/>
          <w:sz w:val="24"/>
          <w:highlight w:val="none"/>
        </w:rPr>
        <w:t xml:space="preserve">（1）质疑人和被质疑人的名称、法定代表人、住所、电话、邮编、联系人及联系电话等； </w:t>
      </w:r>
    </w:p>
    <w:p>
      <w:pPr>
        <w:spacing w:line="560" w:lineRule="exact"/>
        <w:ind w:firstLine="480" w:firstLineChars="200"/>
        <w:jc w:val="left"/>
        <w:rPr>
          <w:rFonts w:ascii="宋体" w:hAnsi="宋体"/>
          <w:sz w:val="24"/>
          <w:highlight w:val="none"/>
        </w:rPr>
      </w:pPr>
      <w:r>
        <w:rPr>
          <w:rFonts w:hint="eastAsia" w:ascii="宋体" w:hAnsi="宋体"/>
          <w:sz w:val="24"/>
          <w:highlight w:val="none"/>
        </w:rPr>
        <w:t xml:space="preserve">（2）采购项目名称、项目编号及包号； </w:t>
      </w:r>
    </w:p>
    <w:p>
      <w:pPr>
        <w:spacing w:line="560" w:lineRule="exact"/>
        <w:ind w:firstLine="480" w:firstLineChars="200"/>
        <w:jc w:val="left"/>
        <w:rPr>
          <w:rFonts w:ascii="宋体" w:hAnsi="宋体"/>
          <w:sz w:val="24"/>
          <w:highlight w:val="none"/>
        </w:rPr>
      </w:pPr>
      <w:r>
        <w:rPr>
          <w:rFonts w:hint="eastAsia" w:ascii="宋体" w:hAnsi="宋体"/>
          <w:sz w:val="24"/>
          <w:highlight w:val="none"/>
        </w:rPr>
        <w:t xml:space="preserve">（3）具体、明确的质疑事项以及与质疑事项相关的诉求； </w:t>
      </w:r>
    </w:p>
    <w:p>
      <w:pPr>
        <w:spacing w:line="560" w:lineRule="exact"/>
        <w:ind w:firstLine="480" w:firstLineChars="200"/>
        <w:jc w:val="left"/>
        <w:rPr>
          <w:rFonts w:ascii="宋体" w:hAnsi="宋体"/>
          <w:sz w:val="24"/>
          <w:highlight w:val="none"/>
        </w:rPr>
      </w:pPr>
      <w:r>
        <w:rPr>
          <w:rFonts w:hint="eastAsia" w:ascii="宋体" w:hAnsi="宋体"/>
          <w:sz w:val="24"/>
          <w:highlight w:val="none"/>
        </w:rPr>
        <w:t xml:space="preserve">（4）法律依据、事实与理由。按照“谁主张、谁举证”的原则，质疑书应当提供事实依据及相关证明材料，否则质疑将视为无有效证据支持，将被予以驳回。 </w:t>
      </w:r>
    </w:p>
    <w:p>
      <w:pPr>
        <w:spacing w:line="560" w:lineRule="exact"/>
        <w:ind w:firstLine="480" w:firstLineChars="200"/>
        <w:jc w:val="left"/>
        <w:rPr>
          <w:rFonts w:ascii="宋体" w:hAnsi="宋体"/>
          <w:sz w:val="24"/>
          <w:highlight w:val="none"/>
        </w:rPr>
      </w:pPr>
      <w:r>
        <w:rPr>
          <w:rFonts w:hint="eastAsia" w:ascii="宋体" w:hAnsi="宋体"/>
          <w:sz w:val="24"/>
          <w:highlight w:val="none"/>
        </w:rPr>
        <w:t>（5）提出质疑的日期。</w:t>
      </w:r>
    </w:p>
    <w:p>
      <w:pPr>
        <w:spacing w:line="560" w:lineRule="exact"/>
        <w:ind w:firstLine="480" w:firstLineChars="200"/>
        <w:jc w:val="left"/>
        <w:rPr>
          <w:rFonts w:ascii="宋体" w:hAnsi="宋体"/>
          <w:sz w:val="24"/>
          <w:highlight w:val="none"/>
        </w:rPr>
      </w:pPr>
      <w:r>
        <w:rPr>
          <w:rFonts w:hint="eastAsia" w:ascii="宋体" w:hAnsi="宋体"/>
          <w:sz w:val="24"/>
          <w:highlight w:val="none"/>
        </w:rPr>
        <w:t>质疑函应当据实署名。质疑人为自然人的，应当由本人签字并附有效身份证明；质疑人为法人或者其他组织的，应当由法定代表人</w:t>
      </w:r>
      <w:r>
        <w:rPr>
          <w:rFonts w:hint="eastAsia" w:ascii="宋体" w:hAnsi="宋体" w:cs="宋体"/>
          <w:sz w:val="24"/>
          <w:highlight w:val="none"/>
        </w:rPr>
        <w:t>（非法人组织的负责人）</w:t>
      </w:r>
      <w:r>
        <w:rPr>
          <w:rFonts w:hint="eastAsia" w:ascii="宋体" w:hAnsi="宋体"/>
          <w:sz w:val="24"/>
          <w:highlight w:val="none"/>
        </w:rPr>
        <w:t>签字并加盖公章，同时一并提交营业执照和法定代表人</w:t>
      </w:r>
      <w:r>
        <w:rPr>
          <w:rFonts w:hint="eastAsia" w:ascii="宋体" w:hAnsi="宋体" w:cs="宋体"/>
          <w:sz w:val="24"/>
          <w:highlight w:val="none"/>
        </w:rPr>
        <w:t>（非法人组织的负责人）</w:t>
      </w:r>
      <w:r>
        <w:rPr>
          <w:rFonts w:hint="eastAsia" w:ascii="宋体" w:hAnsi="宋体"/>
          <w:sz w:val="24"/>
          <w:highlight w:val="none"/>
        </w:rPr>
        <w:t>有效身份证明。无法提供证件原件的，应当提供真实有效的复印件，并签字或者盖章。 质疑人可以委托代理人办理质疑事项，代理人办理质疑事项时，除提交质疑书外，还应当提交质疑人的授权委托书及代理人的有效身份证明，授权委托书应当载明委托代理的具体权限、期限和事项。</w:t>
      </w:r>
    </w:p>
    <w:p>
      <w:pPr>
        <w:spacing w:line="560" w:lineRule="exact"/>
        <w:ind w:firstLine="480" w:firstLineChars="200"/>
        <w:jc w:val="left"/>
        <w:rPr>
          <w:rFonts w:ascii="宋体" w:hAnsi="宋体"/>
          <w:sz w:val="24"/>
          <w:highlight w:val="none"/>
        </w:rPr>
      </w:pPr>
      <w:r>
        <w:rPr>
          <w:rFonts w:hint="eastAsia" w:ascii="宋体" w:hAnsi="宋体"/>
          <w:sz w:val="24"/>
          <w:highlight w:val="none"/>
        </w:rPr>
        <w:t xml:space="preserve">37.6质疑有以下情形之一的，采购代理机构应当予以书面回复并说明原因： </w:t>
      </w:r>
    </w:p>
    <w:p>
      <w:pPr>
        <w:spacing w:line="560" w:lineRule="exact"/>
        <w:ind w:firstLine="480" w:firstLineChars="200"/>
        <w:jc w:val="left"/>
        <w:rPr>
          <w:rFonts w:ascii="宋体" w:hAnsi="宋体"/>
          <w:sz w:val="24"/>
          <w:highlight w:val="none"/>
        </w:rPr>
      </w:pPr>
      <w:r>
        <w:rPr>
          <w:rFonts w:hint="eastAsia" w:ascii="宋体" w:hAnsi="宋体"/>
          <w:sz w:val="24"/>
          <w:highlight w:val="none"/>
        </w:rPr>
        <w:t xml:space="preserve">（1）质疑人不是参与该本项目政府采购活动供应商的（潜在供应商对其已依法获取的可质疑的竞争性谈判文件的质疑除外）； </w:t>
      </w:r>
    </w:p>
    <w:p>
      <w:pPr>
        <w:spacing w:line="560" w:lineRule="exact"/>
        <w:ind w:firstLine="480" w:firstLineChars="200"/>
        <w:jc w:val="left"/>
        <w:rPr>
          <w:rFonts w:ascii="宋体" w:hAnsi="宋体"/>
          <w:sz w:val="24"/>
          <w:highlight w:val="none"/>
        </w:rPr>
      </w:pPr>
      <w:r>
        <w:rPr>
          <w:rFonts w:hint="eastAsia" w:ascii="宋体" w:hAnsi="宋体"/>
          <w:sz w:val="24"/>
          <w:highlight w:val="none"/>
        </w:rPr>
        <w:t xml:space="preserve">（2）质疑人与质疑事项不存在利害关系的； </w:t>
      </w:r>
    </w:p>
    <w:p>
      <w:pPr>
        <w:spacing w:line="560" w:lineRule="exact"/>
        <w:ind w:firstLine="480" w:firstLineChars="200"/>
        <w:jc w:val="left"/>
        <w:rPr>
          <w:rFonts w:ascii="宋体" w:hAnsi="宋体"/>
          <w:sz w:val="24"/>
          <w:highlight w:val="none"/>
        </w:rPr>
      </w:pPr>
      <w:r>
        <w:rPr>
          <w:rFonts w:hint="eastAsia" w:ascii="宋体" w:hAnsi="宋体"/>
          <w:sz w:val="24"/>
          <w:highlight w:val="none"/>
        </w:rPr>
        <w:t xml:space="preserve">（3）所有质疑事项均不符合相关法律、法规的； </w:t>
      </w:r>
    </w:p>
    <w:p>
      <w:pPr>
        <w:spacing w:line="560" w:lineRule="exact"/>
        <w:ind w:firstLine="480" w:firstLineChars="200"/>
        <w:jc w:val="left"/>
        <w:rPr>
          <w:rFonts w:ascii="宋体" w:hAnsi="宋体"/>
          <w:sz w:val="24"/>
          <w:highlight w:val="none"/>
        </w:rPr>
      </w:pPr>
      <w:r>
        <w:rPr>
          <w:rFonts w:hint="eastAsia" w:ascii="宋体" w:hAnsi="宋体"/>
          <w:sz w:val="24"/>
          <w:highlight w:val="none"/>
        </w:rPr>
        <w:t xml:space="preserve">（4）提起质疑的时间超过规定规定期限的； </w:t>
      </w:r>
    </w:p>
    <w:p>
      <w:pPr>
        <w:spacing w:line="560" w:lineRule="exact"/>
        <w:ind w:firstLine="480" w:firstLineChars="200"/>
        <w:jc w:val="left"/>
        <w:rPr>
          <w:rFonts w:ascii="宋体" w:hAnsi="宋体"/>
          <w:sz w:val="24"/>
          <w:highlight w:val="none"/>
        </w:rPr>
      </w:pPr>
      <w:r>
        <w:rPr>
          <w:rFonts w:hint="eastAsia" w:ascii="宋体" w:hAnsi="宋体"/>
          <w:sz w:val="24"/>
          <w:highlight w:val="none"/>
        </w:rPr>
        <w:t xml:space="preserve">（5）质疑答复后，同一质疑人就同一事项再次提出质疑的； </w:t>
      </w:r>
    </w:p>
    <w:p>
      <w:pPr>
        <w:spacing w:line="560" w:lineRule="exact"/>
        <w:ind w:firstLine="480" w:firstLineChars="200"/>
        <w:jc w:val="left"/>
        <w:rPr>
          <w:rFonts w:ascii="宋体" w:hAnsi="宋体"/>
          <w:sz w:val="24"/>
          <w:highlight w:val="none"/>
        </w:rPr>
      </w:pPr>
      <w:r>
        <w:rPr>
          <w:rFonts w:hint="eastAsia" w:ascii="宋体" w:hAnsi="宋体"/>
          <w:sz w:val="24"/>
          <w:highlight w:val="none"/>
        </w:rPr>
        <w:t xml:space="preserve">（6）其他不符合受理条件的情形。 </w:t>
      </w:r>
    </w:p>
    <w:p>
      <w:pPr>
        <w:spacing w:line="560" w:lineRule="exact"/>
        <w:ind w:firstLine="480" w:firstLineChars="200"/>
        <w:jc w:val="left"/>
        <w:rPr>
          <w:rFonts w:ascii="宋体" w:hAnsi="宋体"/>
          <w:sz w:val="24"/>
          <w:highlight w:val="none"/>
        </w:rPr>
      </w:pPr>
      <w:r>
        <w:rPr>
          <w:rFonts w:hint="eastAsia" w:ascii="宋体" w:hAnsi="宋体"/>
          <w:sz w:val="24"/>
          <w:highlight w:val="none"/>
        </w:rPr>
        <w:t>37.7采购代理机构将在受理质疑后七个工作日内作出答复，并以书面形式通知质疑人和其他有关供应商。</w:t>
      </w:r>
    </w:p>
    <w:p>
      <w:pPr>
        <w:spacing w:line="560" w:lineRule="exact"/>
        <w:ind w:firstLine="480" w:firstLineChars="200"/>
        <w:jc w:val="left"/>
        <w:rPr>
          <w:rFonts w:ascii="宋体" w:hAnsi="宋体" w:cs="宋体"/>
          <w:sz w:val="24"/>
          <w:highlight w:val="none"/>
          <w:u w:val="single"/>
        </w:rPr>
      </w:pPr>
      <w:r>
        <w:rPr>
          <w:rFonts w:hint="eastAsia" w:ascii="宋体" w:hAnsi="宋体"/>
          <w:sz w:val="24"/>
          <w:highlight w:val="none"/>
        </w:rPr>
        <w:t>37.8质疑人对答复不满意以及采购代理机构未在规定的时间内作出答复的，可以在答复期满后 15 个工作日内向监督管理部门投诉。</w:t>
      </w:r>
    </w:p>
    <w:p>
      <w:pPr>
        <w:pStyle w:val="5"/>
        <w:spacing w:before="0" w:after="0" w:line="560" w:lineRule="exact"/>
        <w:rPr>
          <w:rFonts w:hAnsi="宋体" w:cs="宋体"/>
          <w:szCs w:val="24"/>
          <w:highlight w:val="none"/>
          <w:u w:val="none"/>
        </w:rPr>
      </w:pPr>
      <w:bookmarkStart w:id="316" w:name="_Toc51176622"/>
      <w:bookmarkStart w:id="317" w:name="_Toc26483"/>
      <w:r>
        <w:rPr>
          <w:rFonts w:hint="eastAsia" w:hAnsi="宋体" w:cs="宋体"/>
          <w:szCs w:val="24"/>
          <w:highlight w:val="none"/>
          <w:u w:val="none"/>
        </w:rPr>
        <w:t>38.项目其他相关费用</w:t>
      </w:r>
      <w:bookmarkEnd w:id="316"/>
      <w:bookmarkEnd w:id="317"/>
    </w:p>
    <w:p>
      <w:pPr>
        <w:spacing w:line="560" w:lineRule="exact"/>
        <w:ind w:firstLine="480" w:firstLineChars="200"/>
        <w:jc w:val="left"/>
        <w:rPr>
          <w:rFonts w:ascii="宋体" w:hAnsi="宋体" w:cs="宋体"/>
          <w:sz w:val="24"/>
          <w:highlight w:val="none"/>
        </w:rPr>
      </w:pPr>
      <w:bookmarkStart w:id="318" w:name="_Toc411637995"/>
      <w:r>
        <w:rPr>
          <w:rFonts w:hint="eastAsia" w:ascii="宋体" w:hAnsi="宋体" w:cs="宋体"/>
          <w:sz w:val="24"/>
          <w:highlight w:val="none"/>
        </w:rPr>
        <w:t>38.1成交服务费</w:t>
      </w:r>
      <w:bookmarkEnd w:id="318"/>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成交服务费收取标准详</w:t>
      </w:r>
      <w:r>
        <w:rPr>
          <w:rFonts w:hint="eastAsia" w:ascii="宋体" w:hAnsi="宋体" w:cs="宋体"/>
          <w:sz w:val="24"/>
          <w:highlight w:val="none"/>
          <w:u w:val="single"/>
        </w:rPr>
        <w:t>见供应商须知资料表。</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成交供应商应按照</w:t>
      </w:r>
      <w:r>
        <w:rPr>
          <w:rFonts w:hint="eastAsia" w:ascii="宋体" w:hAnsi="宋体" w:cs="宋体"/>
          <w:sz w:val="24"/>
          <w:highlight w:val="none"/>
          <w:u w:val="single"/>
        </w:rPr>
        <w:t>供应商须知资料表</w:t>
      </w:r>
      <w:r>
        <w:rPr>
          <w:rFonts w:hint="eastAsia" w:ascii="宋体" w:hAnsi="宋体" w:cs="宋体"/>
          <w:sz w:val="24"/>
          <w:highlight w:val="none"/>
        </w:rPr>
        <w:t>规定的时间和方式缴纳成交服务费。</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38.2政府采购专家评审费</w:t>
      </w:r>
    </w:p>
    <w:p>
      <w:pPr>
        <w:spacing w:line="560" w:lineRule="exact"/>
        <w:ind w:firstLine="480" w:firstLineChars="200"/>
        <w:jc w:val="left"/>
        <w:rPr>
          <w:rFonts w:ascii="宋体" w:hAnsi="宋体" w:cs="宋体"/>
          <w:sz w:val="24"/>
          <w:highlight w:val="none"/>
        </w:rPr>
      </w:pPr>
      <w:r>
        <w:rPr>
          <w:rFonts w:hint="eastAsia" w:ascii="宋体" w:hAnsi="宋体" w:cs="宋体"/>
          <w:sz w:val="24"/>
          <w:highlight w:val="none"/>
        </w:rPr>
        <w:t>由采购人承担，按照山东省有关规定的标准执行。</w:t>
      </w:r>
    </w:p>
    <w:p>
      <w:pPr>
        <w:pStyle w:val="5"/>
        <w:spacing w:before="0" w:after="0" w:line="560" w:lineRule="exact"/>
        <w:rPr>
          <w:rFonts w:hAnsi="宋体" w:cs="宋体"/>
          <w:szCs w:val="24"/>
          <w:highlight w:val="none"/>
          <w:u w:val="none"/>
        </w:rPr>
      </w:pPr>
      <w:bookmarkStart w:id="319" w:name="_Toc9502"/>
      <w:bookmarkStart w:id="320" w:name="_Toc19447"/>
      <w:bookmarkStart w:id="321" w:name="_Toc51176623"/>
      <w:r>
        <w:rPr>
          <w:rFonts w:hint="eastAsia" w:hAnsi="宋体" w:cs="宋体"/>
          <w:szCs w:val="24"/>
          <w:highlight w:val="none"/>
          <w:u w:val="none"/>
        </w:rPr>
        <w:t>39.合同公示</w:t>
      </w:r>
      <w:bookmarkEnd w:id="319"/>
      <w:bookmarkEnd w:id="320"/>
    </w:p>
    <w:p>
      <w:pPr>
        <w:pStyle w:val="8"/>
        <w:spacing w:line="560" w:lineRule="exact"/>
        <w:rPr>
          <w:highlight w:val="none"/>
        </w:rPr>
      </w:pPr>
      <w:r>
        <w:rPr>
          <w:rFonts w:hint="eastAsia"/>
          <w:highlight w:val="none"/>
        </w:rPr>
        <w:t xml:space="preserve"> 采购人应当自政府采购合同签订之日起2个工作日内，在省级以上人民政府财政部门指定的媒体上公告，但政府采购合同中涉及国家秘密、商业秘密的内容除外。</w:t>
      </w:r>
    </w:p>
    <w:p>
      <w:pPr>
        <w:pStyle w:val="5"/>
        <w:spacing w:before="0" w:after="0" w:line="560" w:lineRule="exact"/>
        <w:rPr>
          <w:rFonts w:hAnsi="宋体" w:cs="宋体"/>
          <w:szCs w:val="24"/>
          <w:highlight w:val="none"/>
          <w:u w:val="none"/>
        </w:rPr>
      </w:pPr>
      <w:bookmarkStart w:id="322" w:name="_Toc9970"/>
      <w:bookmarkStart w:id="323" w:name="_Toc17632"/>
      <w:r>
        <w:rPr>
          <w:rFonts w:hint="eastAsia" w:hAnsi="宋体" w:cs="宋体"/>
          <w:szCs w:val="24"/>
          <w:highlight w:val="none"/>
          <w:u w:val="none"/>
        </w:rPr>
        <w:t>40.验收</w:t>
      </w:r>
      <w:bookmarkEnd w:id="322"/>
      <w:bookmarkEnd w:id="323"/>
    </w:p>
    <w:p>
      <w:pPr>
        <w:pStyle w:val="8"/>
        <w:spacing w:line="560" w:lineRule="exact"/>
        <w:ind w:firstLine="480" w:firstLineChars="200"/>
        <w:rPr>
          <w:highlight w:val="none"/>
        </w:rPr>
      </w:pPr>
      <w:r>
        <w:rPr>
          <w:rFonts w:hint="eastAsia"/>
          <w:highlight w:val="none"/>
        </w:rPr>
        <w:t>采购人或者采购代理机构应当按照政府采购合同规定的技术、安全标准组织对供应商履约情况进行验收，并出具验收书。验收书应当包括每一项技术、安全标准的履约情况。</w:t>
      </w:r>
    </w:p>
    <w:p>
      <w:pPr>
        <w:pStyle w:val="5"/>
        <w:spacing w:before="0" w:after="0" w:line="560" w:lineRule="exact"/>
        <w:rPr>
          <w:rFonts w:hAnsi="宋体" w:cs="宋体"/>
          <w:szCs w:val="24"/>
          <w:highlight w:val="none"/>
          <w:u w:val="none"/>
        </w:rPr>
      </w:pPr>
      <w:bookmarkStart w:id="324" w:name="_Toc8529"/>
      <w:bookmarkStart w:id="325" w:name="_Toc20028"/>
      <w:r>
        <w:rPr>
          <w:rFonts w:hint="eastAsia" w:hAnsi="宋体" w:cs="宋体"/>
          <w:szCs w:val="24"/>
          <w:highlight w:val="none"/>
          <w:u w:val="none"/>
        </w:rPr>
        <w:t>41.履约验收公示</w:t>
      </w:r>
      <w:bookmarkEnd w:id="324"/>
      <w:bookmarkEnd w:id="325"/>
    </w:p>
    <w:p>
      <w:pPr>
        <w:pStyle w:val="8"/>
        <w:spacing w:line="560" w:lineRule="exact"/>
        <w:ind w:firstLine="480" w:firstLineChars="200"/>
        <w:rPr>
          <w:highlight w:val="none"/>
        </w:rPr>
      </w:pPr>
      <w:r>
        <w:rPr>
          <w:rFonts w:hint="eastAsia"/>
          <w:highlight w:val="none"/>
        </w:rPr>
        <w:t>采购人、采购代理机构应当在采购合同履约验收结束后3个工作日内，将验收报告予以公开发布。</w:t>
      </w:r>
    </w:p>
    <w:p>
      <w:pPr>
        <w:pStyle w:val="5"/>
        <w:spacing w:before="0" w:after="0" w:line="560" w:lineRule="exact"/>
        <w:rPr>
          <w:rFonts w:hAnsi="宋体" w:cs="宋体"/>
          <w:szCs w:val="24"/>
          <w:highlight w:val="none"/>
          <w:u w:val="none"/>
        </w:rPr>
      </w:pPr>
      <w:bookmarkStart w:id="326" w:name="_Toc24468"/>
      <w:r>
        <w:rPr>
          <w:rFonts w:hint="eastAsia" w:hAnsi="宋体" w:cs="宋体"/>
          <w:szCs w:val="24"/>
          <w:highlight w:val="none"/>
          <w:u w:val="none"/>
        </w:rPr>
        <w:t>42.竞争性谈判文件解释权</w:t>
      </w:r>
      <w:bookmarkEnd w:id="321"/>
      <w:bookmarkEnd w:id="326"/>
    </w:p>
    <w:p>
      <w:pPr>
        <w:spacing w:line="560" w:lineRule="exact"/>
        <w:ind w:firstLine="480" w:firstLineChars="200"/>
        <w:jc w:val="left"/>
        <w:rPr>
          <w:rFonts w:ascii="宋体" w:hAnsi="宋体" w:cs="宋体"/>
          <w:sz w:val="24"/>
          <w:highlight w:val="none"/>
          <w:lang w:val="en-GB"/>
        </w:rPr>
      </w:pPr>
      <w:r>
        <w:rPr>
          <w:rFonts w:hint="eastAsia" w:ascii="宋体" w:hAnsi="宋体" w:cs="宋体"/>
          <w:sz w:val="24"/>
          <w:highlight w:val="none"/>
          <w:u w:val="single"/>
          <w:lang w:val="en-GB"/>
        </w:rPr>
        <w:t>见</w:t>
      </w:r>
      <w:r>
        <w:rPr>
          <w:rFonts w:hint="eastAsia" w:ascii="宋体" w:hAnsi="宋体" w:cs="宋体"/>
          <w:sz w:val="24"/>
          <w:highlight w:val="none"/>
          <w:u w:val="single"/>
        </w:rPr>
        <w:t>供应商</w:t>
      </w:r>
      <w:r>
        <w:rPr>
          <w:rFonts w:hint="eastAsia" w:ascii="宋体" w:hAnsi="宋体" w:cs="宋体"/>
          <w:sz w:val="24"/>
          <w:highlight w:val="none"/>
          <w:u w:val="single"/>
          <w:lang w:val="en-GB"/>
        </w:rPr>
        <w:t>须知资料表</w:t>
      </w:r>
      <w:r>
        <w:rPr>
          <w:rFonts w:hint="eastAsia" w:ascii="宋体" w:hAnsi="宋体" w:cs="宋体"/>
          <w:sz w:val="24"/>
          <w:highlight w:val="none"/>
          <w:lang w:val="en-GB"/>
        </w:rPr>
        <w:t>。</w:t>
      </w:r>
    </w:p>
    <w:p>
      <w:pPr>
        <w:widowControl/>
        <w:spacing w:line="560" w:lineRule="exact"/>
        <w:jc w:val="left"/>
        <w:rPr>
          <w:rFonts w:ascii="宋体" w:hAnsi="宋体" w:cs="宋体"/>
          <w:sz w:val="24"/>
          <w:highlight w:val="none"/>
          <w:lang w:val="en-GB"/>
        </w:rPr>
      </w:pPr>
      <w:r>
        <w:rPr>
          <w:rFonts w:hint="eastAsia" w:ascii="宋体" w:hAnsi="宋体" w:cs="宋体"/>
          <w:sz w:val="24"/>
          <w:highlight w:val="none"/>
          <w:lang w:val="en-GB"/>
        </w:rPr>
        <w:br w:type="page"/>
      </w:r>
    </w:p>
    <w:p>
      <w:pPr>
        <w:pStyle w:val="3"/>
        <w:tabs>
          <w:tab w:val="left" w:pos="0"/>
        </w:tabs>
        <w:spacing w:before="0" w:after="0" w:line="560" w:lineRule="exact"/>
        <w:rPr>
          <w:rFonts w:hAnsi="宋体" w:cs="宋体"/>
          <w:highlight w:val="none"/>
        </w:rPr>
      </w:pPr>
      <w:bookmarkStart w:id="327" w:name="_Toc1624"/>
      <w:bookmarkStart w:id="328" w:name="_Toc17976"/>
      <w:bookmarkStart w:id="329" w:name="_Toc23883"/>
      <w:bookmarkStart w:id="330" w:name="_Toc51176624"/>
      <w:bookmarkStart w:id="331" w:name="_Toc518923103"/>
      <w:r>
        <w:rPr>
          <w:rFonts w:hint="eastAsia" w:hAnsi="宋体" w:cs="宋体"/>
          <w:highlight w:val="none"/>
        </w:rPr>
        <w:t>第三章  货物需求</w:t>
      </w:r>
      <w:bookmarkEnd w:id="327"/>
      <w:bookmarkEnd w:id="328"/>
    </w:p>
    <w:p>
      <w:pPr>
        <w:pStyle w:val="4"/>
        <w:spacing w:line="560" w:lineRule="exact"/>
        <w:jc w:val="left"/>
        <w:rPr>
          <w:rFonts w:ascii="宋体" w:hAnsi="宋体"/>
          <w:highlight w:val="none"/>
        </w:rPr>
      </w:pPr>
      <w:bookmarkStart w:id="332" w:name="_Toc11013"/>
      <w:bookmarkStart w:id="333" w:name="_Toc10686"/>
      <w:bookmarkStart w:id="334" w:name="_Toc6518"/>
      <w:r>
        <w:rPr>
          <w:rFonts w:hint="eastAsia" w:ascii="宋体" w:hAnsi="宋体"/>
          <w:highlight w:val="none"/>
        </w:rPr>
        <w:t>一、</w:t>
      </w:r>
      <w:r>
        <w:rPr>
          <w:rFonts w:hint="eastAsia" w:ascii="宋体" w:hAnsi="宋体"/>
          <w:spacing w:val="-2"/>
          <w:highlight w:val="none"/>
        </w:rPr>
        <w:t>项</w:t>
      </w:r>
      <w:r>
        <w:rPr>
          <w:rFonts w:hint="eastAsia" w:ascii="宋体" w:hAnsi="宋体"/>
          <w:highlight w:val="none"/>
        </w:rPr>
        <w:t>目</w:t>
      </w:r>
      <w:r>
        <w:rPr>
          <w:rFonts w:hint="eastAsia" w:ascii="宋体" w:hAnsi="宋体"/>
          <w:spacing w:val="-2"/>
          <w:highlight w:val="none"/>
        </w:rPr>
        <w:t>概</w:t>
      </w:r>
      <w:r>
        <w:rPr>
          <w:rFonts w:hint="eastAsia" w:ascii="宋体" w:hAnsi="宋体"/>
          <w:highlight w:val="none"/>
        </w:rPr>
        <w:t>述</w:t>
      </w:r>
      <w:bookmarkEnd w:id="332"/>
      <w:bookmarkEnd w:id="333"/>
      <w:bookmarkEnd w:id="334"/>
    </w:p>
    <w:p>
      <w:pPr>
        <w:pStyle w:val="8"/>
        <w:spacing w:line="560" w:lineRule="exact"/>
        <w:ind w:firstLine="480" w:firstLineChars="200"/>
        <w:rPr>
          <w:highlight w:val="none"/>
        </w:rPr>
      </w:pPr>
      <w:r>
        <w:rPr>
          <w:rFonts w:hint="eastAsia"/>
          <w:highlight w:val="none"/>
        </w:rPr>
        <w:t>1、采购标的内容：淄博稷下实验学校校园文化景观建设项目。</w:t>
      </w:r>
    </w:p>
    <w:p>
      <w:pPr>
        <w:pStyle w:val="8"/>
        <w:spacing w:line="560" w:lineRule="exact"/>
        <w:ind w:firstLine="480" w:firstLineChars="200"/>
        <w:rPr>
          <w:highlight w:val="none"/>
        </w:rPr>
      </w:pPr>
      <w:r>
        <w:rPr>
          <w:rFonts w:hint="eastAsia"/>
          <w:highlight w:val="none"/>
        </w:rPr>
        <w:t>2、实施地点：采购人指定地点。</w:t>
      </w:r>
    </w:p>
    <w:p>
      <w:pPr>
        <w:pStyle w:val="8"/>
        <w:spacing w:line="560" w:lineRule="exact"/>
        <w:ind w:firstLine="480" w:firstLineChars="200"/>
        <w:rPr>
          <w:highlight w:val="none"/>
        </w:rPr>
      </w:pPr>
      <w:r>
        <w:rPr>
          <w:rFonts w:hint="eastAsia"/>
          <w:highlight w:val="none"/>
        </w:rPr>
        <w:t>3、实施时间：签订合同后，接采购人通知之日起。</w:t>
      </w:r>
    </w:p>
    <w:p>
      <w:pPr>
        <w:pStyle w:val="8"/>
        <w:spacing w:line="560" w:lineRule="exact"/>
        <w:ind w:firstLine="480" w:firstLineChars="200"/>
        <w:rPr>
          <w:highlight w:val="none"/>
        </w:rPr>
      </w:pPr>
      <w:r>
        <w:rPr>
          <w:rFonts w:hint="eastAsia"/>
          <w:highlight w:val="none"/>
        </w:rPr>
        <w:t>4、供货要求：合同签订并接到采购人通知后20日内供货并安装完毕验收合格。货物须运至采购人指定的地点，且按要求安装到位后，经采购人验收合格后方可交货。由成交供应商自身原因造成的时间延误，由成交供应商负全部责任，如发现不合格产品或不符合合同质量要求等，采购人有权拒绝验收，由此导致的供货时间延误、费用的增加由成交供应商全部承担，造成的损失采购人保留索赔的权利。</w:t>
      </w:r>
    </w:p>
    <w:p>
      <w:pPr>
        <w:pStyle w:val="8"/>
        <w:spacing w:line="560" w:lineRule="exact"/>
        <w:ind w:firstLine="480" w:firstLineChars="200"/>
        <w:rPr>
          <w:highlight w:val="none"/>
        </w:rPr>
      </w:pPr>
      <w:r>
        <w:rPr>
          <w:rFonts w:hint="eastAsia"/>
          <w:highlight w:val="none"/>
        </w:rPr>
        <w:t>5、质量要求：合格，所有产品应是全新的、未使用过的，完全符合采购规定的质量、规格和性能的要求，且须保证其所出售的上述货物没有侵犯任何第三人的知识产权和商业秘密等权利，如采购人使用成交供应商货物构成上述侵权的，则由成交供应商承担全部责任。所供货物的设计、生产、制造、安装等各项技术标准，应当符合国家（强制性）标准、行业标准及各项规范要求；国家没有相应标准、规范的，可使用行业标准、规定；非标设备按采购约定的技术要求和规范，如因供应商包装不当以及其他原因造成损坏或丢失，应由供应商负责修复或补缺。如发现货物短缺、质次、损坏、产地和规格不符等问题，应作详细记录，由供应商立即无条件为采购人调换或补齐，同时由供应商承担因此而产生的一切后果。</w:t>
      </w:r>
    </w:p>
    <w:p>
      <w:pPr>
        <w:pStyle w:val="8"/>
        <w:spacing w:line="560" w:lineRule="exact"/>
        <w:ind w:firstLine="480" w:firstLineChars="200"/>
        <w:rPr>
          <w:highlight w:val="none"/>
        </w:rPr>
      </w:pPr>
      <w:r>
        <w:rPr>
          <w:rFonts w:hint="eastAsia"/>
          <w:highlight w:val="none"/>
        </w:rPr>
        <w:t>6、本项目整体质保年限不低于2年。质保期从验收合格之日起开始计算。</w:t>
      </w:r>
    </w:p>
    <w:p>
      <w:pPr>
        <w:pStyle w:val="8"/>
        <w:spacing w:line="560" w:lineRule="exact"/>
        <w:rPr>
          <w:rFonts w:hAnsi="宋体"/>
          <w:highlight w:val="none"/>
        </w:rPr>
      </w:pPr>
    </w:p>
    <w:p>
      <w:pPr>
        <w:spacing w:before="9" w:line="560" w:lineRule="exact"/>
        <w:jc w:val="left"/>
        <w:rPr>
          <w:rFonts w:ascii="宋体" w:hAnsi="宋体"/>
          <w:sz w:val="9"/>
          <w:szCs w:val="9"/>
          <w:highlight w:val="none"/>
        </w:rPr>
      </w:pPr>
    </w:p>
    <w:p>
      <w:pPr>
        <w:pStyle w:val="4"/>
        <w:spacing w:line="560" w:lineRule="exact"/>
        <w:jc w:val="left"/>
        <w:rPr>
          <w:rFonts w:ascii="宋体" w:hAnsi="宋体" w:cs="宋体"/>
          <w:highlight w:val="none"/>
        </w:rPr>
      </w:pPr>
      <w:bookmarkStart w:id="335" w:name="_Toc2823"/>
      <w:bookmarkStart w:id="336" w:name="_Toc20437"/>
      <w:bookmarkStart w:id="337" w:name="_Toc17578"/>
      <w:r>
        <w:rPr>
          <w:rFonts w:hint="eastAsia" w:ascii="宋体" w:hAnsi="宋体"/>
          <w:highlight w:val="none"/>
        </w:rPr>
        <w:t>二、货物明细</w:t>
      </w:r>
      <w:bookmarkEnd w:id="335"/>
      <w:bookmarkEnd w:id="336"/>
      <w:bookmarkEnd w:id="337"/>
    </w:p>
    <w:p>
      <w:pPr>
        <w:pStyle w:val="8"/>
        <w:spacing w:line="560" w:lineRule="exact"/>
        <w:ind w:firstLine="480" w:firstLineChars="200"/>
        <w:rPr>
          <w:highlight w:val="none"/>
        </w:rPr>
      </w:pPr>
      <w:r>
        <w:rPr>
          <w:rFonts w:hint="eastAsia"/>
          <w:highlight w:val="none"/>
        </w:rPr>
        <w:t xml:space="preserve">注：采购清单中的产品如属于政府强制采购的节能产品的，供应商所投产品须为属于财政部、发展改革委、生态环境部等部门发布的政府采购节能产品品目清单中的产品，在报价文件中提供依据国家确定的认证机构出具的、处于有效期之内的节能产品认证证书原件扫描件，否则谈判小组有权利拒绝其报价。 </w:t>
      </w:r>
    </w:p>
    <w:p>
      <w:pPr>
        <w:pStyle w:val="8"/>
        <w:spacing w:line="560" w:lineRule="exact"/>
        <w:ind w:firstLine="480" w:firstLineChars="200"/>
        <w:rPr>
          <w:highlight w:val="none"/>
        </w:rPr>
      </w:pPr>
      <w:r>
        <w:rPr>
          <w:rFonts w:hint="eastAsia"/>
          <w:highlight w:val="none"/>
        </w:rPr>
        <w:t>说明：1.为保证充分满足项目需要，采购人在落实拟采购产品的“采购项目清单及技术参数”要求时，通过网络等途径参考了部分厂家相应型号的产品，上述“采购项目清单及技术参数”中如有涉及产品厂家或产品型号时，仅出于描述技术参数、性能要求的需要，采购人不存在指定厂家、指定品牌型号的意向。</w:t>
      </w:r>
    </w:p>
    <w:p>
      <w:pPr>
        <w:pStyle w:val="8"/>
        <w:numPr>
          <w:ilvl w:val="0"/>
          <w:numId w:val="2"/>
        </w:numPr>
        <w:spacing w:line="560" w:lineRule="exact"/>
        <w:ind w:firstLine="480" w:firstLineChars="200"/>
        <w:rPr>
          <w:highlight w:val="none"/>
        </w:rPr>
      </w:pPr>
      <w:r>
        <w:rPr>
          <w:rFonts w:hint="eastAsia"/>
          <w:highlight w:val="none"/>
        </w:rPr>
        <w:t>供应商在报价时应从保证采购人需要为出发点选择合适的产品，拟报产品的参数、性能应相当于或不低于上述“采购项目清单及技术参数”中的技术参数、性能要求，应保证产品质量、功能满足采购人的实际使用需求。</w:t>
      </w:r>
    </w:p>
    <w:p>
      <w:pPr>
        <w:pStyle w:val="8"/>
        <w:numPr>
          <w:ilvl w:val="0"/>
          <w:numId w:val="2"/>
        </w:numPr>
        <w:spacing w:line="560" w:lineRule="exact"/>
        <w:ind w:firstLine="480" w:firstLineChars="200"/>
        <w:rPr>
          <w:highlight w:val="none"/>
        </w:rPr>
      </w:pPr>
      <w:r>
        <w:rPr>
          <w:rFonts w:hint="eastAsia"/>
          <w:highlight w:val="none"/>
        </w:rPr>
        <w:t>采购清单：</w:t>
      </w:r>
    </w:p>
    <w:tbl>
      <w:tblPr>
        <w:tblStyle w:val="23"/>
        <w:tblW w:w="8460" w:type="dxa"/>
        <w:tblInd w:w="93" w:type="dxa"/>
        <w:tblLayout w:type="autofit"/>
        <w:tblCellMar>
          <w:top w:w="0" w:type="dxa"/>
          <w:left w:w="108" w:type="dxa"/>
          <w:bottom w:w="0" w:type="dxa"/>
          <w:right w:w="108" w:type="dxa"/>
        </w:tblCellMar>
      </w:tblPr>
      <w:tblGrid>
        <w:gridCol w:w="648"/>
        <w:gridCol w:w="1152"/>
        <w:gridCol w:w="2676"/>
        <w:gridCol w:w="2400"/>
        <w:gridCol w:w="696"/>
        <w:gridCol w:w="960"/>
      </w:tblGrid>
      <w:tr>
        <w:tblPrEx>
          <w:tblCellMar>
            <w:top w:w="0" w:type="dxa"/>
            <w:left w:w="108" w:type="dxa"/>
            <w:bottom w:w="0" w:type="dxa"/>
            <w:right w:w="108" w:type="dxa"/>
          </w:tblCellMar>
        </w:tblPrEx>
        <w:trPr>
          <w:trHeight w:val="300" w:hRule="atLeast"/>
        </w:trPr>
        <w:tc>
          <w:tcPr>
            <w:tcW w:w="648"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序号</w:t>
            </w:r>
          </w:p>
        </w:tc>
        <w:tc>
          <w:tcPr>
            <w:tcW w:w="1152"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名称</w:t>
            </w:r>
          </w:p>
        </w:tc>
        <w:tc>
          <w:tcPr>
            <w:tcW w:w="267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实施内容</w:t>
            </w:r>
          </w:p>
        </w:tc>
        <w:tc>
          <w:tcPr>
            <w:tcW w:w="2400" w:type="dxa"/>
            <w:tcBorders>
              <w:top w:val="single" w:color="000000" w:sz="4" w:space="0"/>
              <w:left w:val="single" w:color="000000" w:sz="4" w:space="0"/>
              <w:bottom w:val="nil"/>
              <w:right w:val="single" w:color="000000" w:sz="4" w:space="0"/>
            </w:tcBorders>
            <w:shd w:val="clear" w:color="auto" w:fill="FFFFFF"/>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规格（长*宽*高）</w:t>
            </w:r>
          </w:p>
        </w:tc>
        <w:tc>
          <w:tcPr>
            <w:tcW w:w="624"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单位</w:t>
            </w:r>
          </w:p>
        </w:tc>
        <w:tc>
          <w:tcPr>
            <w:tcW w:w="960"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数量</w:t>
            </w:r>
          </w:p>
        </w:tc>
      </w:tr>
      <w:tr>
        <w:tblPrEx>
          <w:tblCellMar>
            <w:top w:w="0" w:type="dxa"/>
            <w:left w:w="108" w:type="dxa"/>
            <w:bottom w:w="0" w:type="dxa"/>
            <w:right w:w="108" w:type="dxa"/>
          </w:tblCellMar>
        </w:tblPrEx>
        <w:trPr>
          <w:trHeight w:val="1680" w:hRule="atLeast"/>
        </w:trPr>
        <w:tc>
          <w:tcPr>
            <w:tcW w:w="0" w:type="auto"/>
            <w:vMerge w:val="restart"/>
            <w:tcBorders>
              <w:top w:val="single" w:color="000000" w:sz="4" w:space="0"/>
              <w:left w:val="single" w:color="000000" w:sz="4" w:space="0"/>
              <w:bottom w:val="nil"/>
              <w:right w:val="single" w:color="000000" w:sz="4" w:space="0"/>
            </w:tcBorders>
            <w:shd w:val="clear" w:color="auto" w:fill="FFFFFF"/>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1</w:t>
            </w:r>
          </w:p>
        </w:tc>
        <w:tc>
          <w:tcPr>
            <w:tcW w:w="1152" w:type="dxa"/>
            <w:vMerge w:val="restart"/>
            <w:tcBorders>
              <w:top w:val="single" w:color="000000" w:sz="4" w:space="0"/>
              <w:left w:val="single" w:color="000000" w:sz="4" w:space="0"/>
              <w:bottom w:val="nil"/>
              <w:right w:val="nil"/>
            </w:tcBorders>
            <w:shd w:val="clear" w:color="auto" w:fill="FFFFFF"/>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美达菲双语幼儿园</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班级文化设计施工</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三表栏                    900*1200                             班训                      1500*1000                     作品展示区1500*1000        主题形象墙4000*1000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12</w:t>
            </w:r>
          </w:p>
        </w:tc>
      </w:tr>
      <w:tr>
        <w:tblPrEx>
          <w:tblCellMar>
            <w:top w:w="0" w:type="dxa"/>
            <w:left w:w="108" w:type="dxa"/>
            <w:bottom w:w="0" w:type="dxa"/>
            <w:right w:w="108" w:type="dxa"/>
          </w:tblCellMar>
        </w:tblPrEx>
        <w:trPr>
          <w:trHeight w:val="640"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nil"/>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廊道文化设计</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（2500*1000）*18块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平方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45</w:t>
            </w:r>
          </w:p>
        </w:tc>
      </w:tr>
      <w:tr>
        <w:tblPrEx>
          <w:tblCellMar>
            <w:top w:w="0" w:type="dxa"/>
            <w:left w:w="108" w:type="dxa"/>
            <w:bottom w:w="0" w:type="dxa"/>
            <w:right w:w="108" w:type="dxa"/>
          </w:tblCellMar>
        </w:tblPrEx>
        <w:trPr>
          <w:trHeight w:val="399"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nil"/>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主题文化景观形象墙设计</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5000*2000*15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1</w:t>
            </w:r>
          </w:p>
        </w:tc>
      </w:tr>
      <w:tr>
        <w:tblPrEx>
          <w:tblCellMar>
            <w:top w:w="0" w:type="dxa"/>
            <w:left w:w="108" w:type="dxa"/>
            <w:bottom w:w="0" w:type="dxa"/>
            <w:right w:w="108" w:type="dxa"/>
          </w:tblCellMar>
        </w:tblPrEx>
        <w:trPr>
          <w:trHeight w:val="620"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nil"/>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楼名字制作安装</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br w:type="textWrapping"/>
            </w:r>
            <w:r>
              <w:rPr>
                <w:rFonts w:hint="eastAsia" w:ascii="宋体" w:hAnsi="宋体" w:cs="宋体"/>
                <w:color w:val="000000"/>
                <w:kern w:val="0"/>
                <w:sz w:val="24"/>
                <w:highlight w:val="none"/>
              </w:rPr>
              <w:t>（900*55）*3个字</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 xml:space="preserve">1 </w:t>
            </w:r>
          </w:p>
        </w:tc>
      </w:tr>
      <w:tr>
        <w:tblPrEx>
          <w:tblCellMar>
            <w:top w:w="0" w:type="dxa"/>
            <w:left w:w="108" w:type="dxa"/>
            <w:bottom w:w="0" w:type="dxa"/>
            <w:right w:w="108" w:type="dxa"/>
          </w:tblCellMar>
        </w:tblPrEx>
        <w:trPr>
          <w:trHeight w:val="399"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nil"/>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班牌科室牌制作安装</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350*160</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 xml:space="preserve">48 </w:t>
            </w:r>
          </w:p>
        </w:tc>
      </w:tr>
      <w:tr>
        <w:tblPrEx>
          <w:tblCellMar>
            <w:top w:w="0" w:type="dxa"/>
            <w:left w:w="108" w:type="dxa"/>
            <w:bottom w:w="0" w:type="dxa"/>
            <w:right w:w="108" w:type="dxa"/>
          </w:tblCellMar>
        </w:tblPrEx>
        <w:trPr>
          <w:trHeight w:val="561"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nil"/>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导示牌制作安装</w:t>
            </w:r>
          </w:p>
        </w:tc>
        <w:tc>
          <w:tcPr>
            <w:tcW w:w="2400"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480*3000*100</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 xml:space="preserve">1 </w:t>
            </w:r>
          </w:p>
        </w:tc>
      </w:tr>
      <w:tr>
        <w:tblPrEx>
          <w:tblCellMar>
            <w:top w:w="0" w:type="dxa"/>
            <w:left w:w="108" w:type="dxa"/>
            <w:bottom w:w="0" w:type="dxa"/>
            <w:right w:w="108" w:type="dxa"/>
          </w:tblCellMar>
        </w:tblPrEx>
        <w:trPr>
          <w:trHeight w:val="399"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nil"/>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三楼平台活动区</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平方</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 xml:space="preserve">380 </w:t>
            </w:r>
          </w:p>
        </w:tc>
      </w:tr>
      <w:tr>
        <w:tblPrEx>
          <w:tblCellMar>
            <w:top w:w="0" w:type="dxa"/>
            <w:left w:w="108" w:type="dxa"/>
            <w:bottom w:w="0" w:type="dxa"/>
            <w:right w:w="108" w:type="dxa"/>
          </w:tblCellMar>
        </w:tblPrEx>
        <w:trPr>
          <w:trHeight w:val="621"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nil"/>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微景观艺术造景</w:t>
            </w:r>
            <w:r>
              <w:rPr>
                <w:rFonts w:hint="eastAsia" w:ascii="宋体" w:hAnsi="宋体" w:cs="宋体"/>
                <w:color w:val="000000"/>
                <w:kern w:val="0"/>
                <w:sz w:val="24"/>
                <w:highlight w:val="none"/>
              </w:rPr>
              <w:br w:type="textWrapping"/>
            </w:r>
            <w:r>
              <w:rPr>
                <w:rFonts w:hint="eastAsia" w:ascii="宋体" w:hAnsi="宋体" w:cs="宋体"/>
                <w:color w:val="000000"/>
                <w:kern w:val="0"/>
                <w:sz w:val="24"/>
                <w:highlight w:val="none"/>
              </w:rPr>
              <w:t>制作安装</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（5000*600*450）*5套</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米</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25</w:t>
            </w:r>
          </w:p>
        </w:tc>
      </w:tr>
      <w:tr>
        <w:tblPrEx>
          <w:tblCellMar>
            <w:top w:w="0" w:type="dxa"/>
            <w:left w:w="108" w:type="dxa"/>
            <w:bottom w:w="0" w:type="dxa"/>
            <w:right w:w="108" w:type="dxa"/>
          </w:tblCellMar>
        </w:tblPrEx>
        <w:trPr>
          <w:trHeight w:val="399"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nil"/>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文化布置制作安装</w:t>
            </w:r>
          </w:p>
        </w:tc>
        <w:tc>
          <w:tcPr>
            <w:tcW w:w="2400"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走廊（5000*1200）*3 块                                三楼走廊（10000*1200）*1 块                          楼梯间（3200*2000）*4块</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平方</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43.6</w:t>
            </w:r>
          </w:p>
        </w:tc>
      </w:tr>
      <w:tr>
        <w:tblPrEx>
          <w:tblCellMar>
            <w:top w:w="0" w:type="dxa"/>
            <w:left w:w="108" w:type="dxa"/>
            <w:bottom w:w="0" w:type="dxa"/>
            <w:right w:w="108" w:type="dxa"/>
          </w:tblCellMar>
        </w:tblPrEx>
        <w:trPr>
          <w:trHeight w:val="660"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nil"/>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造型主题艺术书架制作安装</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2450*2800*610</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组</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3</w:t>
            </w:r>
          </w:p>
        </w:tc>
      </w:tr>
      <w:tr>
        <w:tblPrEx>
          <w:tblCellMar>
            <w:top w:w="0" w:type="dxa"/>
            <w:left w:w="108" w:type="dxa"/>
            <w:bottom w:w="0" w:type="dxa"/>
            <w:right w:w="108" w:type="dxa"/>
          </w:tblCellMar>
        </w:tblPrEx>
        <w:trPr>
          <w:trHeight w:val="399"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nil"/>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造型圆桌</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800*800*740</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张</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3</w:t>
            </w:r>
          </w:p>
        </w:tc>
      </w:tr>
      <w:tr>
        <w:tblPrEx>
          <w:tblCellMar>
            <w:top w:w="0" w:type="dxa"/>
            <w:left w:w="108" w:type="dxa"/>
            <w:bottom w:w="0" w:type="dxa"/>
            <w:right w:w="108" w:type="dxa"/>
          </w:tblCellMar>
        </w:tblPrEx>
        <w:trPr>
          <w:trHeight w:val="621"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nil"/>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造型椅子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480*430*780</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把</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9</w:t>
            </w:r>
          </w:p>
        </w:tc>
      </w:tr>
      <w:tr>
        <w:tblPrEx>
          <w:tblCellMar>
            <w:top w:w="0" w:type="dxa"/>
            <w:left w:w="108" w:type="dxa"/>
            <w:bottom w:w="0" w:type="dxa"/>
            <w:right w:w="108" w:type="dxa"/>
          </w:tblCellMar>
        </w:tblPrEx>
        <w:trPr>
          <w:trHeight w:val="399"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nil"/>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艺术圆凳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480*470*350</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6</w:t>
            </w:r>
          </w:p>
        </w:tc>
      </w:tr>
      <w:tr>
        <w:tblPrEx>
          <w:tblCellMar>
            <w:top w:w="0" w:type="dxa"/>
            <w:left w:w="108" w:type="dxa"/>
            <w:bottom w:w="0" w:type="dxa"/>
            <w:right w:w="108" w:type="dxa"/>
          </w:tblCellMar>
        </w:tblPrEx>
        <w:trPr>
          <w:trHeight w:val="399"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nil"/>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文化景观制作安装</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10000*354</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项</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1</w:t>
            </w:r>
          </w:p>
        </w:tc>
      </w:tr>
      <w:tr>
        <w:tblPrEx>
          <w:tblCellMar>
            <w:top w:w="0" w:type="dxa"/>
            <w:left w:w="108" w:type="dxa"/>
            <w:bottom w:w="0" w:type="dxa"/>
            <w:right w:w="108" w:type="dxa"/>
          </w:tblCellMar>
        </w:tblPrEx>
        <w:trPr>
          <w:trHeight w:val="660"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nil"/>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白雪公主七个小矮人</w:t>
            </w:r>
            <w:r>
              <w:rPr>
                <w:rFonts w:hint="eastAsia" w:ascii="宋体" w:hAnsi="宋体" w:cs="宋体"/>
                <w:color w:val="000000"/>
                <w:kern w:val="0"/>
                <w:sz w:val="24"/>
                <w:highlight w:val="none"/>
              </w:rPr>
              <w:br w:type="textWrapping"/>
            </w:r>
            <w:r>
              <w:rPr>
                <w:rFonts w:hint="eastAsia" w:ascii="宋体" w:hAnsi="宋体" w:cs="宋体"/>
                <w:color w:val="000000"/>
                <w:kern w:val="0"/>
                <w:sz w:val="24"/>
                <w:highlight w:val="none"/>
              </w:rPr>
              <w:t>雕塑</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白雪公主800*700*1650               小矮人                       660*1350</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项</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1</w:t>
            </w:r>
          </w:p>
        </w:tc>
      </w:tr>
      <w:tr>
        <w:tblPrEx>
          <w:tblCellMar>
            <w:top w:w="0" w:type="dxa"/>
            <w:left w:w="108" w:type="dxa"/>
            <w:bottom w:w="0" w:type="dxa"/>
            <w:right w:w="108" w:type="dxa"/>
          </w:tblCellMar>
        </w:tblPrEx>
        <w:trPr>
          <w:trHeight w:val="621"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nil"/>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5只熊猫组合雕塑</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（大于440*400*620）*5只一套</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1</w:t>
            </w:r>
          </w:p>
        </w:tc>
      </w:tr>
      <w:tr>
        <w:tblPrEx>
          <w:tblCellMar>
            <w:top w:w="0" w:type="dxa"/>
            <w:left w:w="108" w:type="dxa"/>
            <w:bottom w:w="0" w:type="dxa"/>
            <w:right w:w="108" w:type="dxa"/>
          </w:tblCellMar>
        </w:tblPrEx>
        <w:trPr>
          <w:trHeight w:val="399"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nil"/>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宣传栏制作安装</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3000*2400</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 xml:space="preserve">2 </w:t>
            </w:r>
          </w:p>
        </w:tc>
      </w:tr>
      <w:tr>
        <w:tblPrEx>
          <w:tblCellMar>
            <w:top w:w="0" w:type="dxa"/>
            <w:left w:w="108" w:type="dxa"/>
            <w:bottom w:w="0" w:type="dxa"/>
            <w:right w:w="108" w:type="dxa"/>
          </w:tblCellMar>
        </w:tblPrEx>
        <w:trPr>
          <w:trHeight w:val="399" w:hRule="atLeast"/>
        </w:trPr>
        <w:tc>
          <w:tcPr>
            <w:tcW w:w="0" w:type="auto"/>
            <w:vMerge w:val="restart"/>
            <w:tcBorders>
              <w:top w:val="single" w:color="000000" w:sz="4" w:space="0"/>
              <w:left w:val="single" w:color="000000" w:sz="4" w:space="0"/>
              <w:bottom w:val="nil"/>
              <w:right w:val="single" w:color="000000" w:sz="4" w:space="0"/>
            </w:tcBorders>
            <w:shd w:val="clear" w:color="auto" w:fill="FFFFFF"/>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2</w:t>
            </w:r>
          </w:p>
        </w:tc>
        <w:tc>
          <w:tcPr>
            <w:tcW w:w="1152" w:type="dxa"/>
            <w:vMerge w:val="restart"/>
            <w:tcBorders>
              <w:top w:val="single" w:color="000000" w:sz="4" w:space="0"/>
              <w:left w:val="single" w:color="000000" w:sz="4" w:space="0"/>
              <w:bottom w:val="nil"/>
              <w:right w:val="single" w:color="000000" w:sz="4" w:space="0"/>
            </w:tcBorders>
            <w:shd w:val="clear" w:color="auto" w:fill="FFFFFF"/>
            <w:vAlign w:val="center"/>
          </w:tcPr>
          <w:p>
            <w:pPr>
              <w:widowControl/>
              <w:jc w:val="left"/>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淄博稷下实验学校</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VI视觉系统设计</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全套</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 xml:space="preserve">2 </w:t>
            </w:r>
          </w:p>
        </w:tc>
      </w:tr>
      <w:tr>
        <w:tblPrEx>
          <w:tblCellMar>
            <w:top w:w="0" w:type="dxa"/>
            <w:left w:w="108" w:type="dxa"/>
            <w:bottom w:w="0" w:type="dxa"/>
            <w:right w:w="108" w:type="dxa"/>
          </w:tblCellMar>
        </w:tblPrEx>
        <w:trPr>
          <w:trHeight w:val="399"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single" w:color="000000" w:sz="4" w:space="0"/>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班级文化设计施工</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三表栏                    900*1200                             班训                      1500*1000                     作品展示区1500*1000        主题形象墙4000*1000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40</w:t>
            </w:r>
          </w:p>
        </w:tc>
      </w:tr>
      <w:tr>
        <w:tblPrEx>
          <w:tblCellMar>
            <w:top w:w="0" w:type="dxa"/>
            <w:left w:w="108" w:type="dxa"/>
            <w:bottom w:w="0" w:type="dxa"/>
            <w:right w:w="108" w:type="dxa"/>
          </w:tblCellMar>
        </w:tblPrEx>
        <w:trPr>
          <w:trHeight w:val="399"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single" w:color="000000" w:sz="4" w:space="0"/>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廊道文化设计</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（2500*1000）*18块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平方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85</w:t>
            </w:r>
          </w:p>
        </w:tc>
      </w:tr>
      <w:tr>
        <w:tblPrEx>
          <w:tblCellMar>
            <w:top w:w="0" w:type="dxa"/>
            <w:left w:w="108" w:type="dxa"/>
            <w:bottom w:w="0" w:type="dxa"/>
            <w:right w:w="108" w:type="dxa"/>
          </w:tblCellMar>
        </w:tblPrEx>
        <w:trPr>
          <w:trHeight w:val="399"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single" w:color="000000" w:sz="4" w:space="0"/>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主题文化景观设计</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5000*2000*35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tblPrEx>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single" w:color="000000" w:sz="4" w:space="0"/>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楼名字制作安装</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ascii="宋体" w:hAnsi="宋体" w:cs="宋体"/>
                <w:color w:val="000000"/>
                <w:sz w:val="24"/>
                <w:highlight w:val="none"/>
              </w:rPr>
            </w:pPr>
            <w:r>
              <w:rPr>
                <w:rFonts w:hint="eastAsia" w:ascii="宋体" w:hAnsi="宋体" w:cs="宋体"/>
                <w:color w:val="000000"/>
                <w:kern w:val="0"/>
                <w:sz w:val="24"/>
                <w:highlight w:val="none"/>
              </w:rPr>
              <w:t>（900*55）*3个字</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 xml:space="preserve">1 </w:t>
            </w:r>
          </w:p>
        </w:tc>
      </w:tr>
      <w:tr>
        <w:tblPrEx>
          <w:tblCellMar>
            <w:top w:w="0" w:type="dxa"/>
            <w:left w:w="108" w:type="dxa"/>
            <w:bottom w:w="0" w:type="dxa"/>
            <w:right w:w="108" w:type="dxa"/>
          </w:tblCellMar>
        </w:tblPrEx>
        <w:trPr>
          <w:trHeight w:val="639"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single" w:color="000000" w:sz="4" w:space="0"/>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班牌科室牌设计</w:t>
            </w:r>
            <w:r>
              <w:rPr>
                <w:rFonts w:hint="eastAsia" w:ascii="宋体" w:hAnsi="宋体" w:cs="宋体"/>
                <w:color w:val="000000"/>
                <w:kern w:val="0"/>
                <w:sz w:val="24"/>
                <w:highlight w:val="none"/>
              </w:rPr>
              <w:br w:type="textWrapping"/>
            </w:r>
            <w:r>
              <w:rPr>
                <w:rFonts w:hint="eastAsia" w:ascii="宋体" w:hAnsi="宋体" w:cs="宋体"/>
                <w:color w:val="000000"/>
                <w:kern w:val="0"/>
                <w:sz w:val="24"/>
                <w:highlight w:val="none"/>
              </w:rPr>
              <w:t>制作安装</w:t>
            </w:r>
          </w:p>
        </w:tc>
        <w:tc>
          <w:tcPr>
            <w:tcW w:w="2400"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350*160</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 xml:space="preserve">156 </w:t>
            </w:r>
          </w:p>
        </w:tc>
      </w:tr>
      <w:tr>
        <w:tblPrEx>
          <w:tblCellMar>
            <w:top w:w="0" w:type="dxa"/>
            <w:left w:w="108" w:type="dxa"/>
            <w:bottom w:w="0" w:type="dxa"/>
            <w:right w:w="108" w:type="dxa"/>
          </w:tblCellMar>
        </w:tblPrEx>
        <w:trPr>
          <w:trHeight w:val="501"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single" w:color="000000" w:sz="4" w:space="0"/>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导示牌设计制作安装</w:t>
            </w:r>
          </w:p>
        </w:tc>
        <w:tc>
          <w:tcPr>
            <w:tcW w:w="2400"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480*3000*100</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 xml:space="preserve">2 </w:t>
            </w:r>
          </w:p>
        </w:tc>
      </w:tr>
      <w:tr>
        <w:tblPrEx>
          <w:tblCellMar>
            <w:top w:w="0" w:type="dxa"/>
            <w:left w:w="108" w:type="dxa"/>
            <w:bottom w:w="0" w:type="dxa"/>
            <w:right w:w="108" w:type="dxa"/>
          </w:tblCellMar>
        </w:tblPrEx>
        <w:trPr>
          <w:trHeight w:val="399"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single" w:color="000000" w:sz="4" w:space="0"/>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室外活动平台</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624"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平方</w:t>
            </w:r>
          </w:p>
        </w:tc>
        <w:tc>
          <w:tcPr>
            <w:tcW w:w="960"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 xml:space="preserve">295 </w:t>
            </w:r>
          </w:p>
        </w:tc>
      </w:tr>
      <w:tr>
        <w:tblPrEx>
          <w:tblCellMar>
            <w:top w:w="0" w:type="dxa"/>
            <w:left w:w="108" w:type="dxa"/>
            <w:bottom w:w="0" w:type="dxa"/>
            <w:right w:w="108" w:type="dxa"/>
          </w:tblCellMar>
        </w:tblPrEx>
        <w:trPr>
          <w:trHeight w:val="399"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single" w:color="000000" w:sz="4" w:space="0"/>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宣传栏制作安装</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3000*2400</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 xml:space="preserve">4 </w:t>
            </w:r>
          </w:p>
        </w:tc>
      </w:tr>
      <w:tr>
        <w:tblPrEx>
          <w:tblCellMar>
            <w:top w:w="0" w:type="dxa"/>
            <w:left w:w="108" w:type="dxa"/>
            <w:bottom w:w="0" w:type="dxa"/>
            <w:right w:w="108" w:type="dxa"/>
          </w:tblCellMar>
        </w:tblPrEx>
        <w:trPr>
          <w:trHeight w:val="399"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single" w:color="000000" w:sz="4" w:space="0"/>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微景观艺术造景制作安装</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（2000*400*500）*12套</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米</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24</w:t>
            </w:r>
          </w:p>
        </w:tc>
      </w:tr>
      <w:tr>
        <w:tblPrEx>
          <w:tblCellMar>
            <w:top w:w="0" w:type="dxa"/>
            <w:left w:w="108" w:type="dxa"/>
            <w:bottom w:w="0" w:type="dxa"/>
            <w:right w:w="108" w:type="dxa"/>
          </w:tblCellMar>
        </w:tblPrEx>
        <w:trPr>
          <w:trHeight w:val="699"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single" w:color="000000" w:sz="4" w:space="0"/>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造型主题艺术书架制作安装</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2450*2800*610</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组</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8</w:t>
            </w:r>
          </w:p>
        </w:tc>
      </w:tr>
      <w:tr>
        <w:tblPrEx>
          <w:tblCellMar>
            <w:top w:w="0" w:type="dxa"/>
            <w:left w:w="108" w:type="dxa"/>
            <w:bottom w:w="0" w:type="dxa"/>
            <w:right w:w="108" w:type="dxa"/>
          </w:tblCellMar>
        </w:tblPrEx>
        <w:trPr>
          <w:trHeight w:val="399"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single" w:color="000000" w:sz="4" w:space="0"/>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造型圆桌</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800*800*740</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张</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8</w:t>
            </w:r>
          </w:p>
        </w:tc>
      </w:tr>
      <w:tr>
        <w:tblPrEx>
          <w:tblCellMar>
            <w:top w:w="0" w:type="dxa"/>
            <w:left w:w="108" w:type="dxa"/>
            <w:bottom w:w="0" w:type="dxa"/>
            <w:right w:w="108" w:type="dxa"/>
          </w:tblCellMar>
        </w:tblPrEx>
        <w:trPr>
          <w:trHeight w:val="399"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single" w:color="000000" w:sz="4" w:space="0"/>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造型椅子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480*430*780</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把</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24</w:t>
            </w:r>
          </w:p>
        </w:tc>
      </w:tr>
      <w:tr>
        <w:tblPrEx>
          <w:tblCellMar>
            <w:top w:w="0" w:type="dxa"/>
            <w:left w:w="108" w:type="dxa"/>
            <w:bottom w:w="0" w:type="dxa"/>
            <w:right w:w="108" w:type="dxa"/>
          </w:tblCellMar>
        </w:tblPrEx>
        <w:trPr>
          <w:trHeight w:val="561"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single" w:color="000000" w:sz="4" w:space="0"/>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艺术圆凳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480*470*350</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16</w:t>
            </w:r>
          </w:p>
        </w:tc>
      </w:tr>
      <w:tr>
        <w:tblPrEx>
          <w:tblCellMar>
            <w:top w:w="0" w:type="dxa"/>
            <w:left w:w="108" w:type="dxa"/>
            <w:bottom w:w="0" w:type="dxa"/>
            <w:right w:w="108" w:type="dxa"/>
          </w:tblCellMar>
        </w:tblPrEx>
        <w:trPr>
          <w:trHeight w:val="399"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single" w:color="000000" w:sz="4" w:space="0"/>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书本竹简雕塑</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2200*1400</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项</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tblPrEx>
          <w:tblCellMar>
            <w:top w:w="0" w:type="dxa"/>
            <w:left w:w="108" w:type="dxa"/>
            <w:bottom w:w="0" w:type="dxa"/>
            <w:right w:w="108" w:type="dxa"/>
          </w:tblCellMar>
        </w:tblPrEx>
        <w:trPr>
          <w:trHeight w:val="399"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single" w:color="000000" w:sz="4" w:space="0"/>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主题雕塑景墙</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5000*2000*35</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项</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w:t>
            </w:r>
          </w:p>
        </w:tc>
      </w:tr>
      <w:tr>
        <w:tblPrEx>
          <w:tblCellMar>
            <w:top w:w="0" w:type="dxa"/>
            <w:left w:w="108" w:type="dxa"/>
            <w:bottom w:w="0" w:type="dxa"/>
            <w:right w:w="108" w:type="dxa"/>
          </w:tblCellMar>
        </w:tblPrEx>
        <w:trPr>
          <w:trHeight w:val="399" w:hRule="atLeast"/>
        </w:trPr>
        <w:tc>
          <w:tcPr>
            <w:tcW w:w="0" w:type="auto"/>
            <w:vMerge w:val="continue"/>
            <w:tcBorders>
              <w:top w:val="single" w:color="000000" w:sz="4" w:space="0"/>
              <w:left w:val="single" w:color="000000" w:sz="4" w:space="0"/>
              <w:bottom w:val="nil"/>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nil"/>
              <w:right w:val="single" w:color="000000" w:sz="4" w:space="0"/>
            </w:tcBorders>
            <w:shd w:val="clear" w:color="auto" w:fill="FFFFFF"/>
            <w:vAlign w:val="center"/>
          </w:tcPr>
          <w:p>
            <w:pPr>
              <w:jc w:val="left"/>
              <w:rPr>
                <w:rFonts w:ascii="宋体" w:hAnsi="宋体" w:cs="宋体"/>
                <w:color w:val="000000"/>
                <w:sz w:val="22"/>
                <w:szCs w:val="22"/>
                <w:highlight w:val="none"/>
              </w:rPr>
            </w:pPr>
          </w:p>
        </w:tc>
        <w:tc>
          <w:tcPr>
            <w:tcW w:w="2676" w:type="dxa"/>
            <w:tcBorders>
              <w:top w:val="single" w:color="000000" w:sz="4" w:space="0"/>
              <w:left w:val="single" w:color="000000" w:sz="4" w:space="0"/>
              <w:bottom w:val="nil"/>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文化小品制作安装</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2000*1500*100</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 xml:space="preserve">12 </w:t>
            </w:r>
          </w:p>
        </w:tc>
      </w:tr>
      <w:tr>
        <w:tblPrEx>
          <w:tblCellMar>
            <w:top w:w="0" w:type="dxa"/>
            <w:left w:w="108" w:type="dxa"/>
            <w:bottom w:w="0" w:type="dxa"/>
            <w:right w:w="108" w:type="dxa"/>
          </w:tblCellMar>
        </w:tblPrEx>
        <w:trPr>
          <w:trHeight w:val="492" w:hRule="atLeast"/>
        </w:trPr>
        <w:tc>
          <w:tcPr>
            <w:tcW w:w="0" w:type="auto"/>
            <w:vMerge w:val="restart"/>
            <w:tcBorders>
              <w:top w:val="single" w:color="000000" w:sz="4" w:space="0"/>
              <w:left w:val="single" w:color="000000" w:sz="4" w:space="0"/>
              <w:bottom w:val="single" w:color="000000" w:sz="4" w:space="0"/>
              <w:right w:val="single" w:color="000000" w:sz="4" w:space="0"/>
            </w:tcBorders>
            <w:shd w:val="clear" w:color="auto" w:fill="FFFFFF"/>
            <w:noWrap/>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3</w:t>
            </w:r>
          </w:p>
        </w:tc>
        <w:tc>
          <w:tcPr>
            <w:tcW w:w="1152" w:type="dxa"/>
            <w:vMerge w:val="restart"/>
            <w:tcBorders>
              <w:top w:val="single" w:color="000000" w:sz="4" w:space="0"/>
              <w:left w:val="single" w:color="000000" w:sz="4" w:space="0"/>
              <w:bottom w:val="single" w:color="000000" w:sz="4" w:space="0"/>
              <w:right w:val="single" w:color="000000" w:sz="4" w:space="0"/>
            </w:tcBorders>
            <w:shd w:val="clear" w:color="auto" w:fill="FFFFFF"/>
            <w:vAlign w:val="center"/>
          </w:tcPr>
          <w:p>
            <w:pPr>
              <w:widowControl/>
              <w:jc w:val="center"/>
              <w:textAlignment w:val="center"/>
              <w:rPr>
                <w:rFonts w:ascii="宋体" w:hAnsi="宋体" w:cs="宋体"/>
                <w:color w:val="000000"/>
                <w:sz w:val="22"/>
                <w:szCs w:val="22"/>
                <w:highlight w:val="none"/>
              </w:rPr>
            </w:pPr>
            <w:r>
              <w:rPr>
                <w:rFonts w:hint="eastAsia" w:ascii="宋体" w:hAnsi="宋体" w:cs="宋体"/>
                <w:color w:val="000000"/>
                <w:kern w:val="0"/>
                <w:sz w:val="22"/>
                <w:szCs w:val="22"/>
                <w:highlight w:val="none"/>
              </w:rPr>
              <w:t>淄博美达菲双语</w:t>
            </w:r>
            <w:r>
              <w:rPr>
                <w:rFonts w:hint="eastAsia" w:ascii="宋体" w:hAnsi="宋体" w:cs="宋体"/>
                <w:color w:val="000000"/>
                <w:kern w:val="0"/>
                <w:sz w:val="22"/>
                <w:szCs w:val="22"/>
                <w:highlight w:val="none"/>
              </w:rPr>
              <w:br w:type="textWrapping"/>
            </w:r>
            <w:r>
              <w:rPr>
                <w:rFonts w:hint="eastAsia" w:ascii="宋体" w:hAnsi="宋体" w:cs="宋体"/>
                <w:color w:val="000000"/>
                <w:kern w:val="0"/>
                <w:sz w:val="22"/>
                <w:szCs w:val="22"/>
                <w:highlight w:val="none"/>
              </w:rPr>
              <w:t>高中</w:t>
            </w: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VI视觉系统设计</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全套</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 xml:space="preserve">1 </w:t>
            </w:r>
          </w:p>
        </w:tc>
      </w:tr>
      <w:tr>
        <w:tblPrEx>
          <w:tblCellMar>
            <w:top w:w="0" w:type="dxa"/>
            <w:left w:w="108" w:type="dxa"/>
            <w:bottom w:w="0" w:type="dxa"/>
            <w:right w:w="108" w:type="dxa"/>
          </w:tblCellMar>
        </w:tblPrEx>
        <w:trPr>
          <w:trHeight w:val="8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班级文化设计施工</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三表栏                    900*1200                             班训                      1500*1000                     作品展示区1500*1000        主题形象墙4000*1000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班</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24</w:t>
            </w:r>
          </w:p>
        </w:tc>
      </w:tr>
      <w:tr>
        <w:tblPrEx>
          <w:tblCellMar>
            <w:top w:w="0" w:type="dxa"/>
            <w:left w:w="108" w:type="dxa"/>
            <w:bottom w:w="0" w:type="dxa"/>
            <w:right w:w="108" w:type="dxa"/>
          </w:tblCellMar>
        </w:tblPrEx>
        <w:trPr>
          <w:trHeight w:val="49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廊道文化设计</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（3000*1000）*32块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平方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96</w:t>
            </w:r>
          </w:p>
        </w:tc>
      </w:tr>
      <w:tr>
        <w:tblPrEx>
          <w:tblCellMar>
            <w:top w:w="0" w:type="dxa"/>
            <w:left w:w="108" w:type="dxa"/>
            <w:bottom w:w="0" w:type="dxa"/>
            <w:right w:w="108" w:type="dxa"/>
          </w:tblCellMar>
        </w:tblPrEx>
        <w:trPr>
          <w:trHeight w:val="88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主题文化景观设计</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3000*650*460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4</w:t>
            </w:r>
          </w:p>
        </w:tc>
      </w:tr>
      <w:tr>
        <w:tblPrEx>
          <w:tblCellMar>
            <w:top w:w="0" w:type="dxa"/>
            <w:left w:w="108" w:type="dxa"/>
            <w:bottom w:w="0" w:type="dxa"/>
            <w:right w:w="108" w:type="dxa"/>
          </w:tblCellMar>
        </w:tblPrEx>
        <w:trPr>
          <w:trHeight w:val="90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楼名字制作安装</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（900*55）*3个字</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 xml:space="preserve">1 </w:t>
            </w:r>
          </w:p>
        </w:tc>
      </w:tr>
      <w:tr>
        <w:tblPrEx>
          <w:tblCellMar>
            <w:top w:w="0" w:type="dxa"/>
            <w:left w:w="108" w:type="dxa"/>
            <w:bottom w:w="0" w:type="dxa"/>
            <w:right w:w="108" w:type="dxa"/>
          </w:tblCellMar>
        </w:tblPrEx>
        <w:trPr>
          <w:trHeight w:val="49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班牌科室牌制作及安装</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350*160</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 xml:space="preserve">111 </w:t>
            </w:r>
          </w:p>
        </w:tc>
      </w:tr>
      <w:tr>
        <w:tblPrEx>
          <w:tblCellMar>
            <w:top w:w="0" w:type="dxa"/>
            <w:left w:w="108" w:type="dxa"/>
            <w:bottom w:w="0" w:type="dxa"/>
            <w:right w:w="108" w:type="dxa"/>
          </w:tblCellMar>
        </w:tblPrEx>
        <w:trPr>
          <w:trHeight w:val="49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导示牌设计制作安装</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480*3000*100</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 xml:space="preserve">1 </w:t>
            </w:r>
          </w:p>
        </w:tc>
      </w:tr>
      <w:tr>
        <w:tblPrEx>
          <w:tblCellMar>
            <w:top w:w="0" w:type="dxa"/>
            <w:left w:w="108" w:type="dxa"/>
            <w:bottom w:w="0" w:type="dxa"/>
            <w:right w:w="108" w:type="dxa"/>
          </w:tblCellMar>
        </w:tblPrEx>
        <w:trPr>
          <w:trHeight w:val="49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宣传栏制作安装</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3000*2400</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 xml:space="preserve">2 </w:t>
            </w:r>
          </w:p>
        </w:tc>
      </w:tr>
      <w:tr>
        <w:tblPrEx>
          <w:tblCellMar>
            <w:top w:w="0" w:type="dxa"/>
            <w:left w:w="108" w:type="dxa"/>
            <w:bottom w:w="0" w:type="dxa"/>
            <w:right w:w="108" w:type="dxa"/>
          </w:tblCellMar>
        </w:tblPrEx>
        <w:trPr>
          <w:trHeight w:val="72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微景观艺术造景</w:t>
            </w:r>
            <w:r>
              <w:rPr>
                <w:rFonts w:hint="eastAsia" w:ascii="宋体" w:hAnsi="宋体" w:cs="宋体"/>
                <w:color w:val="000000"/>
                <w:kern w:val="0"/>
                <w:sz w:val="24"/>
                <w:highlight w:val="none"/>
              </w:rPr>
              <w:br w:type="textWrapping"/>
            </w:r>
            <w:r>
              <w:rPr>
                <w:rFonts w:hint="eastAsia" w:ascii="宋体" w:hAnsi="宋体" w:cs="宋体"/>
                <w:color w:val="000000"/>
                <w:kern w:val="0"/>
                <w:sz w:val="24"/>
                <w:highlight w:val="none"/>
              </w:rPr>
              <w:t>制作安装</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2000*650*400</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米</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24</w:t>
            </w:r>
          </w:p>
        </w:tc>
      </w:tr>
      <w:tr>
        <w:tblPrEx>
          <w:tblCellMar>
            <w:top w:w="0" w:type="dxa"/>
            <w:left w:w="108" w:type="dxa"/>
            <w:bottom w:w="0" w:type="dxa"/>
            <w:right w:w="108" w:type="dxa"/>
          </w:tblCellMar>
        </w:tblPrEx>
        <w:trPr>
          <w:trHeight w:val="49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文化布置制作安装</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ascii="宋体" w:hAnsi="宋体" w:cs="宋体"/>
                <w:color w:val="000000"/>
                <w:sz w:val="24"/>
                <w:highlight w:val="none"/>
              </w:rPr>
            </w:pP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平方</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148</w:t>
            </w:r>
          </w:p>
        </w:tc>
      </w:tr>
      <w:tr>
        <w:tblPrEx>
          <w:tblCellMar>
            <w:top w:w="0" w:type="dxa"/>
            <w:left w:w="108" w:type="dxa"/>
            <w:bottom w:w="0" w:type="dxa"/>
            <w:right w:w="108" w:type="dxa"/>
          </w:tblCellMar>
        </w:tblPrEx>
        <w:trPr>
          <w:trHeight w:val="639"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造型主题艺术书架</w:t>
            </w:r>
            <w:r>
              <w:rPr>
                <w:rFonts w:hint="eastAsia" w:ascii="宋体" w:hAnsi="宋体" w:cs="宋体"/>
                <w:color w:val="000000"/>
                <w:kern w:val="0"/>
                <w:sz w:val="24"/>
                <w:highlight w:val="none"/>
              </w:rPr>
              <w:br w:type="textWrapping"/>
            </w:r>
            <w:r>
              <w:rPr>
                <w:rFonts w:hint="eastAsia" w:ascii="宋体" w:hAnsi="宋体" w:cs="宋体"/>
                <w:color w:val="000000"/>
                <w:kern w:val="0"/>
                <w:sz w:val="24"/>
                <w:highlight w:val="none"/>
              </w:rPr>
              <w:t>制作安装</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2450*2800*400</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组</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6</w:t>
            </w:r>
          </w:p>
        </w:tc>
      </w:tr>
      <w:tr>
        <w:tblPrEx>
          <w:tblCellMar>
            <w:top w:w="0" w:type="dxa"/>
            <w:left w:w="108" w:type="dxa"/>
            <w:bottom w:w="0" w:type="dxa"/>
            <w:right w:w="108" w:type="dxa"/>
          </w:tblCellMar>
        </w:tblPrEx>
        <w:trPr>
          <w:trHeight w:val="49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造型圆桌</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800*800*740</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张</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6</w:t>
            </w:r>
          </w:p>
        </w:tc>
      </w:tr>
      <w:tr>
        <w:tblPrEx>
          <w:tblCellMar>
            <w:top w:w="0" w:type="dxa"/>
            <w:left w:w="108" w:type="dxa"/>
            <w:bottom w:w="0" w:type="dxa"/>
            <w:right w:w="108" w:type="dxa"/>
          </w:tblCellMar>
        </w:tblPrEx>
        <w:trPr>
          <w:trHeight w:val="49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造型椅子</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480*430*780</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把</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18</w:t>
            </w:r>
          </w:p>
        </w:tc>
      </w:tr>
      <w:tr>
        <w:tblPrEx>
          <w:tblCellMar>
            <w:top w:w="0" w:type="dxa"/>
            <w:left w:w="108" w:type="dxa"/>
            <w:bottom w:w="0" w:type="dxa"/>
            <w:right w:w="108" w:type="dxa"/>
          </w:tblCellMar>
        </w:tblPrEx>
        <w:trPr>
          <w:trHeight w:val="49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艺术圆凳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480*470*350</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个</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12</w:t>
            </w:r>
          </w:p>
        </w:tc>
      </w:tr>
      <w:tr>
        <w:tblPrEx>
          <w:tblCellMar>
            <w:top w:w="0" w:type="dxa"/>
            <w:left w:w="108" w:type="dxa"/>
            <w:bottom w:w="0" w:type="dxa"/>
            <w:right w:w="108" w:type="dxa"/>
          </w:tblCellMar>
        </w:tblPrEx>
        <w:trPr>
          <w:trHeight w:val="621"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理想园文化景观</w:t>
            </w:r>
            <w:r>
              <w:rPr>
                <w:rFonts w:hint="eastAsia" w:ascii="宋体" w:hAnsi="宋体" w:cs="宋体"/>
                <w:color w:val="000000"/>
                <w:kern w:val="0"/>
                <w:sz w:val="24"/>
                <w:highlight w:val="none"/>
              </w:rPr>
              <w:br w:type="textWrapping"/>
            </w:r>
            <w:r>
              <w:rPr>
                <w:rFonts w:hint="eastAsia" w:ascii="宋体" w:hAnsi="宋体" w:cs="宋体"/>
                <w:color w:val="000000"/>
                <w:kern w:val="0"/>
                <w:sz w:val="24"/>
                <w:highlight w:val="none"/>
              </w:rPr>
              <w:t>制作安装</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10000*354</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项</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1</w:t>
            </w:r>
          </w:p>
        </w:tc>
      </w:tr>
      <w:tr>
        <w:tblPrEx>
          <w:tblCellMar>
            <w:top w:w="0" w:type="dxa"/>
            <w:left w:w="108" w:type="dxa"/>
            <w:bottom w:w="0" w:type="dxa"/>
            <w:right w:w="108" w:type="dxa"/>
          </w:tblCellMar>
        </w:tblPrEx>
        <w:trPr>
          <w:trHeight w:val="660"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汉白玉石雕书本</w:t>
            </w:r>
            <w:r>
              <w:rPr>
                <w:rFonts w:hint="eastAsia" w:ascii="宋体" w:hAnsi="宋体" w:cs="宋体"/>
                <w:color w:val="000000"/>
                <w:kern w:val="0"/>
                <w:sz w:val="24"/>
                <w:highlight w:val="none"/>
              </w:rPr>
              <w:br w:type="textWrapping"/>
            </w:r>
            <w:r>
              <w:rPr>
                <w:rFonts w:hint="eastAsia" w:ascii="宋体" w:hAnsi="宋体" w:cs="宋体"/>
                <w:color w:val="000000"/>
                <w:kern w:val="0"/>
                <w:sz w:val="24"/>
                <w:highlight w:val="none"/>
              </w:rPr>
              <w:t>制作安装</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2000*1200*1000</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项</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1</w:t>
            </w:r>
          </w:p>
        </w:tc>
      </w:tr>
      <w:tr>
        <w:tblPrEx>
          <w:tblCellMar>
            <w:top w:w="0" w:type="dxa"/>
            <w:left w:w="108" w:type="dxa"/>
            <w:bottom w:w="0" w:type="dxa"/>
            <w:right w:w="108" w:type="dxa"/>
          </w:tblCellMar>
        </w:tblPrEx>
        <w:trPr>
          <w:trHeight w:val="492" w:hRule="atLeast"/>
        </w:trPr>
        <w:tc>
          <w:tcPr>
            <w:tcW w:w="0" w:type="auto"/>
            <w:vMerge w:val="continue"/>
            <w:tcBorders>
              <w:top w:val="single" w:color="000000" w:sz="4" w:space="0"/>
              <w:left w:val="single" w:color="000000" w:sz="4" w:space="0"/>
              <w:bottom w:val="single" w:color="000000" w:sz="4" w:space="0"/>
              <w:right w:val="single" w:color="000000" w:sz="4" w:space="0"/>
            </w:tcBorders>
            <w:shd w:val="clear" w:color="auto" w:fill="FFFFFF"/>
            <w:noWrap/>
            <w:vAlign w:val="center"/>
          </w:tcPr>
          <w:p>
            <w:pPr>
              <w:jc w:val="center"/>
              <w:rPr>
                <w:rFonts w:ascii="宋体" w:hAnsi="宋体" w:cs="宋体"/>
                <w:color w:val="000000"/>
                <w:sz w:val="22"/>
                <w:szCs w:val="22"/>
                <w:highlight w:val="none"/>
              </w:rPr>
            </w:pPr>
          </w:p>
        </w:tc>
        <w:tc>
          <w:tcPr>
            <w:tcW w:w="1152" w:type="dxa"/>
            <w:vMerge w:val="continue"/>
            <w:tcBorders>
              <w:top w:val="single" w:color="000000" w:sz="4" w:space="0"/>
              <w:left w:val="single" w:color="000000" w:sz="4" w:space="0"/>
              <w:bottom w:val="single" w:color="000000" w:sz="4" w:space="0"/>
              <w:right w:val="single" w:color="000000" w:sz="4" w:space="0"/>
            </w:tcBorders>
            <w:shd w:val="clear" w:color="auto" w:fill="FFFFFF"/>
            <w:vAlign w:val="center"/>
          </w:tcPr>
          <w:p>
            <w:pPr>
              <w:jc w:val="center"/>
              <w:rPr>
                <w:rFonts w:ascii="宋体" w:hAnsi="宋体" w:cs="宋体"/>
                <w:color w:val="000000"/>
                <w:sz w:val="22"/>
                <w:szCs w:val="22"/>
                <w:highlight w:val="none"/>
              </w:rPr>
            </w:pPr>
          </w:p>
        </w:tc>
        <w:tc>
          <w:tcPr>
            <w:tcW w:w="267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文化小品制作安装</w:t>
            </w:r>
          </w:p>
        </w:tc>
        <w:tc>
          <w:tcPr>
            <w:tcW w:w="240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2000*1500*100</w:t>
            </w:r>
          </w:p>
        </w:tc>
        <w:tc>
          <w:tcPr>
            <w:tcW w:w="62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套</w:t>
            </w:r>
          </w:p>
        </w:tc>
        <w:tc>
          <w:tcPr>
            <w:tcW w:w="960"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center"/>
              <w:textAlignment w:val="center"/>
              <w:rPr>
                <w:rFonts w:ascii="宋体" w:hAnsi="宋体" w:cs="宋体"/>
                <w:color w:val="000000"/>
                <w:sz w:val="24"/>
                <w:highlight w:val="none"/>
              </w:rPr>
            </w:pPr>
            <w:r>
              <w:rPr>
                <w:rFonts w:hint="eastAsia" w:ascii="宋体" w:hAnsi="宋体" w:cs="宋体"/>
                <w:color w:val="000000"/>
                <w:kern w:val="0"/>
                <w:sz w:val="24"/>
                <w:highlight w:val="none"/>
              </w:rPr>
              <w:t xml:space="preserve">6 </w:t>
            </w:r>
          </w:p>
        </w:tc>
      </w:tr>
    </w:tbl>
    <w:p>
      <w:pPr>
        <w:pStyle w:val="8"/>
        <w:spacing w:line="560" w:lineRule="exact"/>
        <w:ind w:firstLine="0"/>
        <w:rPr>
          <w:highlight w:val="none"/>
        </w:rPr>
      </w:pPr>
    </w:p>
    <w:p>
      <w:pPr>
        <w:pStyle w:val="4"/>
        <w:spacing w:line="560" w:lineRule="exact"/>
        <w:jc w:val="left"/>
        <w:rPr>
          <w:rFonts w:ascii="宋体" w:hAnsi="宋体"/>
          <w:highlight w:val="none"/>
        </w:rPr>
      </w:pPr>
      <w:bookmarkStart w:id="338" w:name="_Toc46235118"/>
      <w:bookmarkStart w:id="339" w:name="_Toc7548"/>
      <w:bookmarkStart w:id="340" w:name="_Toc12461"/>
      <w:bookmarkStart w:id="341" w:name="_Toc25849"/>
      <w:r>
        <w:rPr>
          <w:rFonts w:hint="eastAsia" w:ascii="宋体" w:hAnsi="宋体"/>
          <w:highlight w:val="none"/>
        </w:rPr>
        <w:t>三、</w:t>
      </w:r>
      <w:bookmarkEnd w:id="338"/>
      <w:bookmarkStart w:id="342" w:name="_Toc46235119"/>
      <w:r>
        <w:rPr>
          <w:rFonts w:ascii="宋体" w:hAnsi="宋体"/>
          <w:spacing w:val="-2"/>
          <w:highlight w:val="none"/>
        </w:rPr>
        <w:t>其</w:t>
      </w:r>
      <w:r>
        <w:rPr>
          <w:rFonts w:ascii="宋体" w:hAnsi="宋体"/>
          <w:highlight w:val="none"/>
        </w:rPr>
        <w:t>他</w:t>
      </w:r>
      <w:r>
        <w:rPr>
          <w:rFonts w:ascii="宋体" w:hAnsi="宋体"/>
          <w:spacing w:val="-2"/>
          <w:highlight w:val="none"/>
        </w:rPr>
        <w:t>要</w:t>
      </w:r>
      <w:r>
        <w:rPr>
          <w:rFonts w:ascii="宋体" w:hAnsi="宋体"/>
          <w:highlight w:val="none"/>
        </w:rPr>
        <w:t>求</w:t>
      </w:r>
      <w:bookmarkEnd w:id="339"/>
      <w:bookmarkEnd w:id="340"/>
      <w:bookmarkEnd w:id="341"/>
      <w:bookmarkEnd w:id="342"/>
    </w:p>
    <w:p>
      <w:pPr>
        <w:pStyle w:val="8"/>
        <w:spacing w:line="560" w:lineRule="exact"/>
        <w:rPr>
          <w:rFonts w:hAnsi="宋体"/>
          <w:highlight w:val="none"/>
        </w:rPr>
      </w:pPr>
      <w:r>
        <w:rPr>
          <w:rFonts w:hint="eastAsia" w:hAnsi="宋体"/>
          <w:highlight w:val="none"/>
        </w:rPr>
        <w:t xml:space="preserve">投标供应商应符合以下要求： </w:t>
      </w:r>
    </w:p>
    <w:p>
      <w:pPr>
        <w:pStyle w:val="8"/>
        <w:spacing w:line="560" w:lineRule="exact"/>
        <w:rPr>
          <w:rFonts w:hAnsi="宋体"/>
          <w:highlight w:val="none"/>
        </w:rPr>
      </w:pPr>
      <w:r>
        <w:rPr>
          <w:rFonts w:hint="eastAsia" w:hAnsi="宋体"/>
          <w:highlight w:val="none"/>
        </w:rPr>
        <w:t xml:space="preserve">1.供应商的产品须为正规厂家生产的合格产品，由成交供应商负责供应、安装、调试。 </w:t>
      </w:r>
    </w:p>
    <w:p>
      <w:pPr>
        <w:pStyle w:val="8"/>
        <w:spacing w:line="560" w:lineRule="exact"/>
        <w:rPr>
          <w:rFonts w:hAnsi="宋体"/>
          <w:highlight w:val="none"/>
        </w:rPr>
      </w:pPr>
      <w:r>
        <w:rPr>
          <w:rFonts w:hint="eastAsia" w:hAnsi="宋体"/>
          <w:highlight w:val="none"/>
        </w:rPr>
        <w:t xml:space="preserve">2.供应商所报产品的质量标准须符合国家、行业相关标准要求。 </w:t>
      </w:r>
    </w:p>
    <w:p>
      <w:pPr>
        <w:pStyle w:val="8"/>
        <w:spacing w:line="560" w:lineRule="exact"/>
        <w:rPr>
          <w:rFonts w:hAnsi="宋体"/>
          <w:highlight w:val="none"/>
        </w:rPr>
      </w:pPr>
      <w:r>
        <w:rPr>
          <w:rFonts w:hint="eastAsia" w:hAnsi="宋体"/>
          <w:highlight w:val="none"/>
        </w:rPr>
        <w:t xml:space="preserve">3.成交供应商须保证所有产品均为全新的、未使用过的合格产品，且须保证其没有侵犯任何第三人的知识产权和商业秘密等权利，如采购人使用成交供应商所供产品构成侵权的，则由成交供应商承担全部责任。 </w:t>
      </w:r>
    </w:p>
    <w:p>
      <w:pPr>
        <w:pStyle w:val="8"/>
        <w:spacing w:line="560" w:lineRule="exact"/>
        <w:rPr>
          <w:rFonts w:hAnsi="宋体"/>
          <w:highlight w:val="none"/>
        </w:rPr>
      </w:pPr>
      <w:r>
        <w:rPr>
          <w:rFonts w:hint="eastAsia" w:hAnsi="宋体"/>
          <w:highlight w:val="none"/>
        </w:rPr>
        <w:t xml:space="preserve">4.成交供应商应根据房间布局，提出设计及安装方案，经采购人认可后，方可实施。 </w:t>
      </w:r>
    </w:p>
    <w:p>
      <w:pPr>
        <w:pStyle w:val="8"/>
        <w:spacing w:line="560" w:lineRule="exact"/>
        <w:rPr>
          <w:rFonts w:hAnsi="宋体"/>
          <w:highlight w:val="none"/>
        </w:rPr>
      </w:pPr>
      <w:r>
        <w:rPr>
          <w:rFonts w:hint="eastAsia" w:hAnsi="宋体"/>
          <w:highlight w:val="none"/>
        </w:rPr>
        <w:t>5.成交供应商所提供的产品必须符合合同规定的规格、质量，如不符时，成交供应商应负责并免费更换全部不合格产品。因产品规格不符、质量不符、损坏或安装不及时而造成的项目延误和由此产生的相关费用由成交供应商负责。同时，采购人有权终止合同。对采购人造成损失的，由成交供应商承担赔偿责任。</w:t>
      </w:r>
    </w:p>
    <w:p>
      <w:pPr>
        <w:pStyle w:val="8"/>
        <w:spacing w:line="560" w:lineRule="exact"/>
        <w:rPr>
          <w:rFonts w:hAnsi="宋体"/>
          <w:highlight w:val="none"/>
        </w:rPr>
      </w:pPr>
      <w:r>
        <w:rPr>
          <w:rFonts w:hint="eastAsia" w:hAnsi="宋体"/>
          <w:highlight w:val="none"/>
        </w:rPr>
        <w:t xml:space="preserve">6.在质保期内，以上所有产品在使用过程中出现的非人为原因损坏，成交供应商须免费提供上门维修和更换服务。 </w:t>
      </w:r>
    </w:p>
    <w:p>
      <w:pPr>
        <w:pStyle w:val="8"/>
        <w:spacing w:line="560" w:lineRule="exact"/>
        <w:rPr>
          <w:rFonts w:hAnsi="宋体"/>
          <w:highlight w:val="none"/>
        </w:rPr>
      </w:pPr>
      <w:r>
        <w:rPr>
          <w:rFonts w:hint="eastAsia" w:hAnsi="宋体"/>
          <w:highlight w:val="none"/>
        </w:rPr>
        <w:t xml:space="preserve">7.售后服务要求： </w:t>
      </w:r>
    </w:p>
    <w:p>
      <w:pPr>
        <w:pStyle w:val="8"/>
        <w:spacing w:line="560" w:lineRule="exact"/>
        <w:rPr>
          <w:rFonts w:hAnsi="宋体"/>
          <w:highlight w:val="none"/>
        </w:rPr>
      </w:pPr>
      <w:r>
        <w:rPr>
          <w:rFonts w:hint="eastAsia" w:hAnsi="宋体"/>
          <w:highlight w:val="none"/>
        </w:rPr>
        <w:t xml:space="preserve">7.1供应商可承诺更优惠的质保期。在质保期内，供应商应做到 7*24 小时服务，立即响应，1 小时上门服务，以保证正常使用。质保期满后，若出现质量问题，成交供应商只收取成本费。 </w:t>
      </w:r>
    </w:p>
    <w:p>
      <w:pPr>
        <w:pStyle w:val="8"/>
        <w:spacing w:line="560" w:lineRule="exact"/>
        <w:rPr>
          <w:rFonts w:hAnsi="宋体"/>
          <w:highlight w:val="none"/>
        </w:rPr>
      </w:pPr>
      <w:r>
        <w:rPr>
          <w:rFonts w:hint="eastAsia" w:hAnsi="宋体"/>
          <w:highlight w:val="none"/>
        </w:rPr>
        <w:t xml:space="preserve">7.2 供应商应具有良好的售后服务体系，应提供 7×24 小时响应服务；应拥有稳定的服务保障和技术支持队伍，保证实施的服务质量和快速的服务响应时间。在报价文件中应明确在发生问题时的应急措施和响应时间。 </w:t>
      </w:r>
    </w:p>
    <w:p>
      <w:pPr>
        <w:pStyle w:val="8"/>
        <w:spacing w:line="560" w:lineRule="exact"/>
        <w:rPr>
          <w:rFonts w:hAnsi="宋体"/>
          <w:highlight w:val="none"/>
        </w:rPr>
      </w:pPr>
      <w:r>
        <w:rPr>
          <w:rFonts w:hint="eastAsia" w:hAnsi="宋体"/>
          <w:highlight w:val="none"/>
        </w:rPr>
        <w:t xml:space="preserve">7.3 保修期外出现质量问题，由成交供应商按成本价及时提供易损件和维修所需的其它原材料。在服务期内，供应商对所提供的产品进行免费更换、维修。 </w:t>
      </w:r>
    </w:p>
    <w:p>
      <w:pPr>
        <w:pStyle w:val="8"/>
        <w:spacing w:line="560" w:lineRule="exact"/>
        <w:rPr>
          <w:rFonts w:hAnsi="宋体"/>
          <w:highlight w:val="none"/>
        </w:rPr>
      </w:pPr>
      <w:r>
        <w:rPr>
          <w:rFonts w:hint="eastAsia" w:hAnsi="宋体"/>
          <w:highlight w:val="none"/>
        </w:rPr>
        <w:t xml:space="preserve">8.供货时间及安装地点： </w:t>
      </w:r>
    </w:p>
    <w:p>
      <w:pPr>
        <w:pStyle w:val="8"/>
        <w:spacing w:line="560" w:lineRule="exact"/>
        <w:rPr>
          <w:rFonts w:hAnsi="宋体"/>
          <w:highlight w:val="none"/>
        </w:rPr>
      </w:pPr>
      <w:r>
        <w:rPr>
          <w:rFonts w:hint="eastAsia" w:hAnsi="宋体"/>
          <w:highlight w:val="none"/>
        </w:rPr>
        <w:t xml:space="preserve">8.1 交货时间：合同签订并接到采购人通知后20日内供货并安装完毕并验收合格；供应商承诺时间提前的，以供应商承诺时间为准。 </w:t>
      </w:r>
    </w:p>
    <w:p>
      <w:pPr>
        <w:pStyle w:val="8"/>
        <w:spacing w:line="560" w:lineRule="exact"/>
        <w:rPr>
          <w:rFonts w:hAnsi="宋体"/>
          <w:highlight w:val="none"/>
        </w:rPr>
      </w:pPr>
      <w:r>
        <w:rPr>
          <w:rFonts w:hint="eastAsia" w:hAnsi="宋体"/>
          <w:highlight w:val="none"/>
        </w:rPr>
        <w:t xml:space="preserve">8.2 安装地点：采购人指定地点。 </w:t>
      </w:r>
    </w:p>
    <w:p>
      <w:pPr>
        <w:pStyle w:val="8"/>
        <w:spacing w:line="560" w:lineRule="exact"/>
        <w:rPr>
          <w:rFonts w:hAnsi="宋体"/>
          <w:highlight w:val="none"/>
        </w:rPr>
      </w:pPr>
      <w:r>
        <w:rPr>
          <w:rFonts w:hint="eastAsia" w:hAnsi="宋体"/>
          <w:highlight w:val="none"/>
        </w:rPr>
        <w:t xml:space="preserve">9.货物安装完成后，如发现产品质量不合格等，采购人有权拒绝验收，由此导致的供货时间延误、费用的增加由成交供应商全部承担，造成的损失采购人保留索赔的权利。 </w:t>
      </w:r>
    </w:p>
    <w:p>
      <w:pPr>
        <w:pStyle w:val="8"/>
        <w:spacing w:line="560" w:lineRule="exact"/>
        <w:rPr>
          <w:rFonts w:hAnsi="宋体"/>
          <w:highlight w:val="none"/>
        </w:rPr>
      </w:pPr>
      <w:r>
        <w:rPr>
          <w:rFonts w:hint="eastAsia" w:hAnsi="宋体"/>
          <w:highlight w:val="none"/>
        </w:rPr>
        <w:t>10.本项目成交供应商不得转包、分包。</w:t>
      </w:r>
    </w:p>
    <w:p>
      <w:pPr>
        <w:pStyle w:val="4"/>
        <w:spacing w:line="560" w:lineRule="exact"/>
        <w:jc w:val="left"/>
        <w:rPr>
          <w:rFonts w:ascii="宋体" w:hAnsi="宋体"/>
          <w:highlight w:val="none"/>
        </w:rPr>
      </w:pPr>
      <w:bookmarkStart w:id="343" w:name="_Toc39131050"/>
      <w:r>
        <w:rPr>
          <w:rFonts w:hint="eastAsia" w:ascii="宋体" w:hAnsi="宋体"/>
          <w:highlight w:val="none"/>
        </w:rPr>
        <w:t>四、安全文明施工及环境保护要求</w:t>
      </w:r>
      <w:bookmarkEnd w:id="343"/>
    </w:p>
    <w:p>
      <w:pPr>
        <w:pStyle w:val="8"/>
        <w:spacing w:line="560" w:lineRule="exact"/>
        <w:rPr>
          <w:rFonts w:hAnsi="宋体"/>
          <w:highlight w:val="none"/>
        </w:rPr>
      </w:pPr>
      <w:r>
        <w:rPr>
          <w:rFonts w:hint="eastAsia" w:hAnsi="宋体"/>
          <w:highlight w:val="none"/>
        </w:rPr>
        <w:t>1、合同履行期间必须严格按照有关规定，做好施工现场管理，做到安全文明施工，包括施工人员、操作人员安全和其他工作人员安全，否则出现的一切安全隐患及事故均由成交供应商负责；对于不按规定要求施工的，采购人有权中止其施工，不听劝阻的，将做罚款处理，直至停止施工。</w:t>
      </w:r>
    </w:p>
    <w:p>
      <w:pPr>
        <w:pStyle w:val="8"/>
        <w:spacing w:line="560" w:lineRule="exact"/>
        <w:rPr>
          <w:rFonts w:hAnsi="宋体"/>
          <w:highlight w:val="none"/>
        </w:rPr>
      </w:pPr>
      <w:r>
        <w:rPr>
          <w:rFonts w:hint="eastAsia" w:hAnsi="宋体"/>
          <w:highlight w:val="none"/>
        </w:rPr>
        <w:t>2、成交供应商应做好场区内环境保护，防止环境污染。成交供应商使用任何机械前，须经采购人同意；施工中不得污染周边环境；做好各类设施的维护。任何因施工造成的环境破坏和污染，成交供应商都有责任采取措施予以防止和消除。由于成交供应商过失、疏忽或未按采购人指示做好环境保护工作导致需要另外采取环境保护措施，这部分额外工作的费用应由成交供应商负担。</w:t>
      </w:r>
    </w:p>
    <w:p>
      <w:pPr>
        <w:pStyle w:val="8"/>
        <w:spacing w:line="560" w:lineRule="exact"/>
        <w:rPr>
          <w:rFonts w:hAnsi="宋体"/>
          <w:highlight w:val="none"/>
        </w:rPr>
      </w:pPr>
      <w:r>
        <w:rPr>
          <w:rFonts w:hint="eastAsia" w:hAnsi="宋体"/>
          <w:highlight w:val="none"/>
        </w:rPr>
        <w:t>3、在施工期间或竣工后，注意保护施工现场的环境卫生，工程施工产生中的垃圾要及时外运，不得在工地存放。工程竣工后，将施工垃圾全部清理完毕，做到工完、料净、场地清。</w:t>
      </w:r>
    </w:p>
    <w:p>
      <w:pPr>
        <w:pStyle w:val="8"/>
        <w:spacing w:line="560" w:lineRule="exact"/>
        <w:rPr>
          <w:rFonts w:hAnsi="宋体"/>
          <w:highlight w:val="none"/>
        </w:rPr>
      </w:pPr>
      <w:r>
        <w:rPr>
          <w:rFonts w:hint="eastAsia" w:hAnsi="宋体"/>
          <w:highlight w:val="none"/>
        </w:rPr>
        <w:t>4、工程施工用水、电、施工现场的临时设施以及竣工后的清理工作，均由承包人自行解决。</w:t>
      </w:r>
    </w:p>
    <w:p>
      <w:pPr>
        <w:pStyle w:val="8"/>
        <w:spacing w:line="560" w:lineRule="exact"/>
        <w:rPr>
          <w:rFonts w:hAnsi="宋体"/>
          <w:highlight w:val="none"/>
        </w:rPr>
      </w:pPr>
      <w:r>
        <w:rPr>
          <w:rFonts w:hint="eastAsia" w:hAnsi="宋体"/>
          <w:highlight w:val="none"/>
        </w:rPr>
        <w:t>5、工程施工过程中造成的水、电等管线及其它设施的损坏，由成交供应商负责恢复原状，一切责任由成交供应商承担。</w:t>
      </w:r>
    </w:p>
    <w:p>
      <w:pPr>
        <w:pStyle w:val="8"/>
        <w:spacing w:line="560" w:lineRule="exact"/>
        <w:rPr>
          <w:rFonts w:hAnsi="宋体"/>
          <w:highlight w:val="none"/>
        </w:rPr>
      </w:pPr>
      <w:r>
        <w:rPr>
          <w:rFonts w:hint="eastAsia" w:hAnsi="宋体"/>
          <w:highlight w:val="none"/>
        </w:rPr>
        <w:t>6、成交后，供货安装期间需保证公共卫生清洁，否则采购人将视情节严重将对供应商进行罚款等处罚。</w:t>
      </w:r>
    </w:p>
    <w:p>
      <w:pPr>
        <w:pStyle w:val="8"/>
        <w:spacing w:line="560" w:lineRule="exact"/>
        <w:rPr>
          <w:rFonts w:hAnsi="宋体"/>
          <w:highlight w:val="none"/>
        </w:rPr>
      </w:pPr>
      <w:r>
        <w:rPr>
          <w:rFonts w:hint="eastAsia" w:hAnsi="宋体"/>
          <w:highlight w:val="none"/>
        </w:rPr>
        <w:t>供应商安装时，如确需对现场进行打孔等破坏行为，须提前向采购人、施工总承包单位和监理单位进行书面申请。在采购人、施工总承包单位和监理单位监督下，确定打孔位置，由供应商严格按照要求对指定位置进行打孔，完工后恢复现场原貌。</w:t>
      </w:r>
    </w:p>
    <w:p>
      <w:pPr>
        <w:pStyle w:val="8"/>
        <w:spacing w:line="560" w:lineRule="exact"/>
        <w:rPr>
          <w:rFonts w:hAnsi="宋体"/>
          <w:highlight w:val="none"/>
        </w:rPr>
      </w:pPr>
    </w:p>
    <w:p>
      <w:pPr>
        <w:pStyle w:val="4"/>
        <w:spacing w:line="560" w:lineRule="exact"/>
        <w:ind w:left="720" w:hanging="720"/>
        <w:rPr>
          <w:rFonts w:ascii="宋体" w:hAnsi="宋体" w:eastAsia="宋体" w:cs="宋体"/>
          <w:szCs w:val="24"/>
          <w:highlight w:val="none"/>
        </w:rPr>
      </w:pPr>
    </w:p>
    <w:p>
      <w:pPr>
        <w:spacing w:line="560" w:lineRule="exact"/>
        <w:rPr>
          <w:rFonts w:ascii="宋体" w:hAnsi="宋体" w:cs="宋体"/>
          <w:highlight w:val="none"/>
        </w:rPr>
      </w:pPr>
    </w:p>
    <w:p>
      <w:pPr>
        <w:pStyle w:val="2"/>
        <w:rPr>
          <w:rFonts w:ascii="宋体" w:hAnsi="宋体" w:cs="宋体"/>
          <w:highlight w:val="none"/>
        </w:rPr>
      </w:pPr>
    </w:p>
    <w:p>
      <w:pPr>
        <w:rPr>
          <w:rFonts w:ascii="宋体" w:hAnsi="宋体" w:cs="宋体"/>
          <w:highlight w:val="none"/>
        </w:rPr>
      </w:pPr>
    </w:p>
    <w:p>
      <w:pPr>
        <w:pStyle w:val="2"/>
        <w:rPr>
          <w:rFonts w:ascii="宋体" w:hAnsi="宋体" w:cs="宋体"/>
          <w:highlight w:val="none"/>
        </w:rPr>
      </w:pPr>
    </w:p>
    <w:p>
      <w:pPr>
        <w:rPr>
          <w:rFonts w:ascii="宋体" w:hAnsi="宋体" w:cs="宋体"/>
          <w:highlight w:val="none"/>
        </w:rPr>
      </w:pPr>
    </w:p>
    <w:p>
      <w:pPr>
        <w:pStyle w:val="2"/>
        <w:rPr>
          <w:highlight w:val="none"/>
        </w:rPr>
      </w:pPr>
    </w:p>
    <w:p>
      <w:pPr>
        <w:rPr>
          <w:rFonts w:ascii="宋体" w:hAnsi="宋体" w:cs="宋体"/>
          <w:highlight w:val="none"/>
        </w:rPr>
      </w:pPr>
    </w:p>
    <w:p>
      <w:pPr>
        <w:pStyle w:val="2"/>
        <w:rPr>
          <w:highlight w:val="none"/>
        </w:rPr>
      </w:pPr>
    </w:p>
    <w:p>
      <w:pPr>
        <w:spacing w:line="560" w:lineRule="exact"/>
        <w:rPr>
          <w:rFonts w:ascii="宋体" w:hAnsi="宋体" w:cs="宋体"/>
          <w:highlight w:val="none"/>
        </w:rPr>
      </w:pPr>
    </w:p>
    <w:p>
      <w:pPr>
        <w:pStyle w:val="3"/>
        <w:tabs>
          <w:tab w:val="left" w:pos="0"/>
        </w:tabs>
        <w:spacing w:before="0" w:after="0" w:line="560" w:lineRule="exact"/>
        <w:ind w:firstLine="2249" w:firstLineChars="700"/>
        <w:jc w:val="both"/>
        <w:rPr>
          <w:rFonts w:hAnsi="宋体" w:cs="宋体"/>
          <w:highlight w:val="none"/>
        </w:rPr>
      </w:pPr>
      <w:bookmarkStart w:id="344" w:name="_Toc11322"/>
      <w:r>
        <w:rPr>
          <w:rFonts w:hint="eastAsia" w:hAnsi="宋体" w:cs="宋体"/>
          <w:highlight w:val="none"/>
        </w:rPr>
        <w:t>第四章  评审方法和标准</w:t>
      </w:r>
      <w:bookmarkEnd w:id="344"/>
    </w:p>
    <w:p>
      <w:pPr>
        <w:pStyle w:val="9"/>
        <w:tabs>
          <w:tab w:val="clear" w:pos="567"/>
        </w:tabs>
        <w:spacing w:before="0" w:line="560" w:lineRule="exact"/>
        <w:ind w:firstLine="540" w:firstLineChars="225"/>
        <w:rPr>
          <w:rFonts w:cs="宋体"/>
          <w:highlight w:val="none"/>
        </w:rPr>
      </w:pPr>
    </w:p>
    <w:p>
      <w:pPr>
        <w:spacing w:line="560" w:lineRule="exact"/>
        <w:ind w:firstLine="424" w:firstLineChars="177"/>
        <w:rPr>
          <w:rFonts w:ascii="宋体" w:hAnsi="宋体" w:cs="宋体"/>
          <w:sz w:val="24"/>
          <w:highlight w:val="none"/>
        </w:rPr>
      </w:pPr>
      <w:r>
        <w:rPr>
          <w:rFonts w:hint="eastAsia" w:ascii="宋体" w:hAnsi="宋体" w:cs="宋体"/>
          <w:sz w:val="24"/>
          <w:highlight w:val="none"/>
        </w:rPr>
        <w:t>本项目将按照竞争性谈判文件第一章供应商须知中“五 开标及谈判”、“六 确定成交”及本章的规定评审。</w:t>
      </w:r>
    </w:p>
    <w:p>
      <w:pPr>
        <w:spacing w:line="560" w:lineRule="exact"/>
        <w:ind w:firstLine="542" w:firstLineChars="225"/>
        <w:outlineLvl w:val="1"/>
        <w:rPr>
          <w:rFonts w:ascii="宋体" w:hAnsi="宋体" w:eastAsiaTheme="minorEastAsia" w:cstheme="minorBidi"/>
          <w:b/>
          <w:bCs/>
          <w:sz w:val="24"/>
          <w:szCs w:val="22"/>
          <w:highlight w:val="none"/>
        </w:rPr>
      </w:pPr>
      <w:bookmarkStart w:id="345" w:name="_Toc29721"/>
      <w:r>
        <w:rPr>
          <w:rFonts w:hint="eastAsia" w:ascii="宋体" w:hAnsi="宋体" w:eastAsiaTheme="minorEastAsia" w:cstheme="minorBidi"/>
          <w:b/>
          <w:bCs/>
          <w:sz w:val="24"/>
          <w:szCs w:val="22"/>
          <w:highlight w:val="none"/>
        </w:rPr>
        <w:t>一、支持节能环保、中小微企业、监狱企业、残疾人福利性单位发展的鼓励优惠政策</w:t>
      </w:r>
      <w:bookmarkEnd w:id="345"/>
    </w:p>
    <w:p>
      <w:pPr>
        <w:spacing w:line="560" w:lineRule="exact"/>
        <w:ind w:firstLine="542" w:firstLineChars="225"/>
        <w:outlineLvl w:val="1"/>
        <w:rPr>
          <w:rFonts w:ascii="宋体" w:hAnsi="宋体" w:eastAsiaTheme="minorEastAsia" w:cstheme="minorBidi"/>
          <w:b/>
          <w:bCs/>
          <w:sz w:val="24"/>
          <w:szCs w:val="22"/>
          <w:highlight w:val="none"/>
        </w:rPr>
      </w:pPr>
      <w:bookmarkStart w:id="346" w:name="_Toc16649"/>
      <w:r>
        <w:rPr>
          <w:rFonts w:hint="eastAsia" w:ascii="宋体" w:hAnsi="宋体" w:eastAsiaTheme="minorEastAsia" w:cstheme="minorBidi"/>
          <w:b/>
          <w:bCs/>
          <w:sz w:val="24"/>
          <w:szCs w:val="22"/>
          <w:highlight w:val="none"/>
        </w:rPr>
        <w:t>1.优采强采节能环保产品</w:t>
      </w:r>
      <w:bookmarkEnd w:id="346"/>
      <w:r>
        <w:rPr>
          <w:rFonts w:hint="eastAsia" w:ascii="宋体" w:hAnsi="宋体" w:eastAsiaTheme="minorEastAsia" w:cstheme="minorBidi"/>
          <w:b/>
          <w:bCs/>
          <w:sz w:val="24"/>
          <w:szCs w:val="22"/>
          <w:highlight w:val="none"/>
        </w:rPr>
        <w:t xml:space="preserve"> </w:t>
      </w:r>
    </w:p>
    <w:p>
      <w:pPr>
        <w:spacing w:line="560" w:lineRule="exact"/>
        <w:ind w:firstLine="540" w:firstLineChars="225"/>
        <w:rPr>
          <w:rFonts w:ascii="宋体" w:hAnsi="宋体"/>
          <w:sz w:val="24"/>
          <w:highlight w:val="none"/>
        </w:rPr>
      </w:pPr>
      <w:r>
        <w:rPr>
          <w:rFonts w:hint="eastAsia" w:ascii="宋体" w:hAnsi="宋体"/>
          <w:sz w:val="24"/>
          <w:highlight w:val="none"/>
        </w:rPr>
        <w:t>1.1采购产品属于《节能产品政府采购品目清单》中强制采购节能产品的，供应商所投产品必须是《节能产品政府采购品目清单》中强制采购节能产品，提供</w:t>
      </w:r>
      <w:r>
        <w:rPr>
          <w:rFonts w:hint="eastAsia" w:ascii="宋体" w:hAnsi="宋体" w:cs="宋体"/>
          <w:sz w:val="24"/>
          <w:highlight w:val="none"/>
        </w:rPr>
        <w:t>国家确定的认证机构出具的、处于有效期之内的</w:t>
      </w:r>
      <w:r>
        <w:rPr>
          <w:rFonts w:hint="eastAsia" w:ascii="宋体" w:hAnsi="宋体"/>
          <w:sz w:val="24"/>
          <w:highlight w:val="none"/>
        </w:rPr>
        <w:t>认证证书扫描件</w:t>
      </w:r>
      <w:r>
        <w:rPr>
          <w:rFonts w:hint="eastAsia" w:ascii="宋体" w:hAnsi="宋体" w:cs="宋体"/>
          <w:sz w:val="24"/>
          <w:highlight w:val="none"/>
          <w:lang w:val="zh-CN"/>
        </w:rPr>
        <w:t>或提供加盖供应商公章的节能产品认证结果信息发布平台或中国政府采购网（www.ccgp.gov.cn）产品网站查询截图。</w:t>
      </w:r>
    </w:p>
    <w:p>
      <w:pPr>
        <w:pStyle w:val="22"/>
        <w:keepNext w:val="0"/>
        <w:keepLines w:val="0"/>
        <w:widowControl/>
        <w:suppressLineNumbers w:val="0"/>
        <w:spacing w:before="0" w:beforeAutospacing="0" w:after="0" w:afterAutospacing="0" w:line="560" w:lineRule="atLeast"/>
        <w:ind w:left="0" w:firstLine="540"/>
        <w:jc w:val="both"/>
        <w:rPr>
          <w:rFonts w:hint="eastAsia" w:ascii="宋体" w:hAnsi="宋体" w:cs="宋体"/>
          <w:sz w:val="24"/>
          <w:lang w:val="zh-CN"/>
        </w:rPr>
      </w:pPr>
      <w:r>
        <w:rPr>
          <w:rFonts w:hint="eastAsia" w:ascii="宋体" w:hAnsi="宋体"/>
          <w:sz w:val="24"/>
          <w:highlight w:val="none"/>
        </w:rPr>
        <w:t>1.2属于节能产品品目清单中强制采购节能产品的则该响应产品不享受优惠政策。供应商所报产品属于节能、环镜标志产品政府采购品目清单中的产品并取得</w:t>
      </w:r>
      <w:r>
        <w:rPr>
          <w:rFonts w:hint="eastAsia" w:ascii="宋体" w:hAnsi="宋体" w:cs="宋体"/>
          <w:sz w:val="24"/>
          <w:highlight w:val="none"/>
        </w:rPr>
        <w:t>国家确定的认证机构出具的、处于有效期之内的</w:t>
      </w:r>
      <w:r>
        <w:rPr>
          <w:rFonts w:hint="eastAsia" w:ascii="宋体" w:hAnsi="宋体"/>
          <w:sz w:val="24"/>
          <w:highlight w:val="none"/>
        </w:rPr>
        <w:t>认证证书扫描件</w:t>
      </w:r>
      <w:r>
        <w:rPr>
          <w:rFonts w:hint="eastAsia" w:ascii="宋体" w:hAnsi="宋体" w:cs="宋体"/>
          <w:sz w:val="24"/>
          <w:highlight w:val="none"/>
          <w:lang w:val="zh-CN"/>
        </w:rPr>
        <w:t>或提供加盖供应商公章的节能产品认证结果信息发布平台或中国政府采购网（www.ccgp.gov.cn）产品网站查询截图</w:t>
      </w:r>
      <w:r>
        <w:rPr>
          <w:rFonts w:hint="eastAsia" w:ascii="宋体" w:hAnsi="宋体"/>
          <w:sz w:val="24"/>
          <w:highlight w:val="none"/>
        </w:rPr>
        <w:t>，且为政府非强制采购节能、环镜标志产品的，在价格、技术评审中，</w:t>
      </w:r>
      <w:r>
        <w:rPr>
          <w:rFonts w:hint="eastAsia" w:ascii="宋体" w:hAnsi="宋体" w:cs="宋体"/>
          <w:sz w:val="24"/>
          <w:lang w:val="zh-CN"/>
        </w:rPr>
        <w:t>给予一定比例的加分：</w:t>
      </w:r>
    </w:p>
    <w:p>
      <w:pPr>
        <w:pStyle w:val="22"/>
        <w:keepNext w:val="0"/>
        <w:keepLines w:val="0"/>
        <w:widowControl/>
        <w:suppressLineNumbers w:val="0"/>
        <w:spacing w:before="0" w:beforeAutospacing="0" w:after="0" w:afterAutospacing="0" w:line="560" w:lineRule="atLeast"/>
        <w:ind w:left="0" w:firstLine="540"/>
        <w:jc w:val="both"/>
        <w:rPr>
          <w:rFonts w:hint="eastAsia" w:ascii="宋体" w:hAnsi="宋体" w:cs="宋体"/>
          <w:sz w:val="24"/>
          <w:lang w:val="zh-CN"/>
        </w:rPr>
      </w:pPr>
      <w:r>
        <w:rPr>
          <w:rFonts w:hint="eastAsia" w:ascii="宋体" w:hAnsi="宋体" w:cs="宋体"/>
          <w:sz w:val="24"/>
          <w:lang w:val="zh-CN"/>
        </w:rPr>
        <w:t>在价格评审项中，对节能、环境标志产品分别给予加分（加分=价格评标总分值×</w:t>
      </w:r>
      <w:r>
        <w:rPr>
          <w:rFonts w:hint="eastAsia" w:ascii="宋体" w:hAnsi="宋体" w:cs="宋体"/>
          <w:sz w:val="24"/>
          <w:lang w:val="en-US" w:eastAsia="zh-CN"/>
        </w:rPr>
        <w:t>/</w:t>
      </w:r>
      <w:r>
        <w:rPr>
          <w:rFonts w:hint="eastAsia" w:ascii="宋体" w:hAnsi="宋体" w:cs="宋体"/>
          <w:sz w:val="24"/>
          <w:lang w:val="zh-CN"/>
        </w:rPr>
        <w:t>%×节能、环镜标志产品价格在响应报价中所占比例）；</w:t>
      </w:r>
    </w:p>
    <w:p>
      <w:pPr>
        <w:pStyle w:val="22"/>
        <w:keepNext w:val="0"/>
        <w:keepLines w:val="0"/>
        <w:widowControl/>
        <w:suppressLineNumbers w:val="0"/>
        <w:spacing w:before="0" w:beforeAutospacing="0" w:after="0" w:afterAutospacing="0" w:line="560" w:lineRule="atLeast"/>
        <w:ind w:left="0" w:firstLine="540"/>
        <w:jc w:val="both"/>
        <w:rPr>
          <w:rFonts w:ascii="宋体" w:hAnsi="宋体"/>
          <w:sz w:val="24"/>
          <w:highlight w:val="none"/>
        </w:rPr>
      </w:pPr>
      <w:r>
        <w:rPr>
          <w:rFonts w:hint="eastAsia" w:ascii="宋体" w:hAnsi="宋体" w:cs="宋体"/>
          <w:sz w:val="24"/>
          <w:lang w:val="zh-CN"/>
        </w:rPr>
        <w:t>在技术评审项中，对节能、环境标志产品分别给予加分（加分=技术评标总分值×</w:t>
      </w:r>
      <w:r>
        <w:rPr>
          <w:rFonts w:hint="eastAsia" w:ascii="宋体" w:hAnsi="宋体" w:cs="宋体"/>
          <w:sz w:val="24"/>
          <w:lang w:val="en-US" w:eastAsia="zh-CN"/>
        </w:rPr>
        <w:t>/</w:t>
      </w:r>
      <w:r>
        <w:rPr>
          <w:rFonts w:hint="eastAsia" w:ascii="宋体" w:hAnsi="宋体" w:cs="宋体"/>
          <w:sz w:val="24"/>
          <w:lang w:val="zh-CN"/>
        </w:rPr>
        <w:t>%×节能、环镜标志产品价格在响应报价中所占比例）。</w:t>
      </w:r>
      <w:bookmarkStart w:id="461" w:name="_GoBack"/>
      <w:bookmarkEnd w:id="461"/>
    </w:p>
    <w:p>
      <w:pPr>
        <w:spacing w:line="560" w:lineRule="exact"/>
        <w:ind w:firstLine="480" w:firstLineChars="200"/>
        <w:rPr>
          <w:rFonts w:ascii="宋体" w:hAnsi="宋体"/>
          <w:sz w:val="24"/>
          <w:highlight w:val="none"/>
        </w:rPr>
      </w:pPr>
      <w:r>
        <w:rPr>
          <w:rFonts w:hint="eastAsia" w:ascii="宋体" w:hAnsi="宋体"/>
          <w:sz w:val="24"/>
          <w:highlight w:val="none"/>
        </w:rPr>
        <w:t>1.3供应商在报价文件中必须对属于节能、环境标志产品清单中的产品，单独分项报价（格式见附件15、16）。</w:t>
      </w:r>
    </w:p>
    <w:p>
      <w:pPr>
        <w:spacing w:line="560" w:lineRule="exact"/>
        <w:ind w:firstLine="480" w:firstLineChars="200"/>
        <w:rPr>
          <w:rFonts w:ascii="宋体" w:hAnsi="宋体"/>
          <w:sz w:val="24"/>
          <w:highlight w:val="none"/>
        </w:rPr>
      </w:pPr>
      <w:r>
        <w:rPr>
          <w:rFonts w:hint="eastAsia" w:ascii="宋体" w:hAnsi="宋体"/>
          <w:sz w:val="24"/>
          <w:highlight w:val="none"/>
        </w:rPr>
        <w:t>1.4未按以上规定提供证书的不给予政策优惠，若节能产品、环境标志产品政府采购品目清单内的产品仅是构成响应产品的部件、组件或零件的，则该响应产品不享受优惠政策。</w:t>
      </w:r>
    </w:p>
    <w:p>
      <w:pPr>
        <w:spacing w:line="560" w:lineRule="exact"/>
        <w:ind w:firstLine="542" w:firstLineChars="225"/>
        <w:outlineLvl w:val="1"/>
        <w:rPr>
          <w:rFonts w:ascii="宋体" w:hAnsi="宋体" w:eastAsiaTheme="minorEastAsia" w:cstheme="minorBidi"/>
          <w:b/>
          <w:bCs/>
          <w:sz w:val="24"/>
          <w:szCs w:val="22"/>
          <w:highlight w:val="none"/>
        </w:rPr>
      </w:pPr>
      <w:bookmarkStart w:id="347" w:name="_Toc13376"/>
      <w:r>
        <w:rPr>
          <w:rFonts w:hint="eastAsia" w:ascii="宋体" w:hAnsi="宋体" w:eastAsiaTheme="minorEastAsia" w:cstheme="minorBidi"/>
          <w:b/>
          <w:bCs/>
          <w:sz w:val="24"/>
          <w:szCs w:val="22"/>
          <w:highlight w:val="none"/>
        </w:rPr>
        <w:t>2.中、小微企业</w:t>
      </w:r>
      <w:bookmarkEnd w:id="347"/>
    </w:p>
    <w:p>
      <w:pPr>
        <w:spacing w:line="560" w:lineRule="exact"/>
        <w:ind w:firstLine="540" w:firstLineChars="225"/>
        <w:rPr>
          <w:rFonts w:ascii="宋体" w:hAnsi="宋体"/>
          <w:sz w:val="24"/>
          <w:highlight w:val="none"/>
        </w:rPr>
      </w:pPr>
      <w:r>
        <w:rPr>
          <w:rFonts w:hint="eastAsia" w:ascii="宋体" w:hAnsi="宋体"/>
          <w:sz w:val="24"/>
          <w:highlight w:val="none"/>
        </w:rPr>
        <w:t>2.1若供应商为小微企业，按照《政府采购促进中小企业发展管理办法》（财库﹝2020﹞46号）及工信部等部委发布的《关于印发中小企业划型标准规定的通知》（工信部联企业〔2011〕300号）执行）的规定，享受评审中价格扣除的政府采购政策。</w:t>
      </w:r>
    </w:p>
    <w:p>
      <w:pPr>
        <w:spacing w:line="560" w:lineRule="exact"/>
        <w:ind w:firstLine="540" w:firstLineChars="225"/>
        <w:rPr>
          <w:rFonts w:ascii="宋体" w:hAnsi="宋体"/>
          <w:sz w:val="24"/>
          <w:highlight w:val="none"/>
        </w:rPr>
      </w:pPr>
      <w:r>
        <w:rPr>
          <w:rFonts w:hint="eastAsia" w:ascii="宋体" w:hAnsi="宋体"/>
          <w:sz w:val="24"/>
          <w:highlight w:val="none"/>
        </w:rPr>
        <w:t>给予小型和微型企业（包括相互之间组成的联合体）产品的价格</w:t>
      </w:r>
      <w:r>
        <w:rPr>
          <w:rFonts w:hint="eastAsia" w:ascii="宋体" w:hAnsi="宋体"/>
          <w:sz w:val="24"/>
          <w:highlight w:val="none"/>
          <w:u w:val="single"/>
        </w:rPr>
        <w:t xml:space="preserve"> / </w:t>
      </w:r>
      <w:r>
        <w:rPr>
          <w:rFonts w:hint="eastAsia" w:ascii="宋体" w:hAnsi="宋体"/>
          <w:sz w:val="24"/>
          <w:highlight w:val="none"/>
        </w:rPr>
        <w:t>%的扣除；计算方法是：</w:t>
      </w:r>
    </w:p>
    <w:p>
      <w:pPr>
        <w:spacing w:line="560" w:lineRule="exact"/>
        <w:ind w:firstLine="540" w:firstLineChars="225"/>
        <w:rPr>
          <w:rFonts w:ascii="宋体" w:hAnsi="宋体"/>
          <w:sz w:val="24"/>
          <w:highlight w:val="none"/>
        </w:rPr>
      </w:pPr>
      <w:r>
        <w:rPr>
          <w:rFonts w:hint="eastAsia" w:ascii="宋体" w:hAnsi="宋体"/>
          <w:sz w:val="24"/>
          <w:highlight w:val="none"/>
        </w:rPr>
        <w:t>最终价格＝报价×（1-价格扣除比例)，按照最终价格进行价格评审。</w:t>
      </w:r>
    </w:p>
    <w:p>
      <w:pPr>
        <w:spacing w:line="560" w:lineRule="exact"/>
        <w:ind w:firstLine="540" w:firstLineChars="225"/>
        <w:rPr>
          <w:rFonts w:ascii="宋体" w:hAnsi="宋体"/>
          <w:sz w:val="24"/>
          <w:highlight w:val="none"/>
        </w:rPr>
      </w:pPr>
      <w:r>
        <w:rPr>
          <w:rFonts w:hint="eastAsia" w:ascii="宋体" w:hAnsi="宋体"/>
          <w:sz w:val="24"/>
          <w:highlight w:val="none"/>
        </w:rPr>
        <w:t>2.2大中型企业和其他自然人、法人或者其他组织与小型、微型企业组成联合体响应，联合协议中约定，小型、微型企业的协议合同金额占到联合体协议合同金额30%以上的，可给予联合体</w:t>
      </w:r>
      <w:r>
        <w:rPr>
          <w:rFonts w:hint="eastAsia" w:ascii="宋体" w:hAnsi="宋体"/>
          <w:sz w:val="24"/>
          <w:highlight w:val="none"/>
          <w:u w:val="single"/>
        </w:rPr>
        <w:t xml:space="preserve"> / </w:t>
      </w:r>
      <w:r>
        <w:rPr>
          <w:rFonts w:hint="eastAsia" w:ascii="宋体" w:hAnsi="宋体"/>
          <w:sz w:val="24"/>
          <w:highlight w:val="none"/>
        </w:rPr>
        <w:t>的价格扣除。计算方法是：</w:t>
      </w:r>
    </w:p>
    <w:p>
      <w:pPr>
        <w:spacing w:line="560" w:lineRule="exact"/>
        <w:ind w:firstLine="540" w:firstLineChars="225"/>
        <w:rPr>
          <w:rFonts w:ascii="宋体" w:hAnsi="宋体"/>
          <w:sz w:val="24"/>
          <w:highlight w:val="none"/>
        </w:rPr>
      </w:pPr>
      <w:r>
        <w:rPr>
          <w:rFonts w:hint="eastAsia" w:ascii="宋体" w:hAnsi="宋体"/>
          <w:sz w:val="24"/>
          <w:highlight w:val="none"/>
        </w:rPr>
        <w:t>最终价格＝响应报价×（1-价格扣除比例)，按照最终价格计算其价格分得分。</w:t>
      </w:r>
    </w:p>
    <w:p>
      <w:pPr>
        <w:spacing w:line="560" w:lineRule="exact"/>
        <w:ind w:firstLine="540" w:firstLineChars="225"/>
        <w:rPr>
          <w:rFonts w:ascii="宋体" w:hAnsi="宋体"/>
          <w:sz w:val="24"/>
          <w:highlight w:val="none"/>
        </w:rPr>
      </w:pPr>
      <w:r>
        <w:rPr>
          <w:rFonts w:hint="eastAsia" w:ascii="宋体" w:hAnsi="宋体"/>
          <w:sz w:val="24"/>
          <w:highlight w:val="none"/>
        </w:rPr>
        <w:t>2.3供应商为小型和微型企业的，须提供《中小企业声明函》（格式见附件）扫描件附于响应文件中。</w:t>
      </w:r>
    </w:p>
    <w:p>
      <w:pPr>
        <w:spacing w:line="560" w:lineRule="exact"/>
        <w:ind w:firstLine="542" w:firstLineChars="225"/>
        <w:outlineLvl w:val="1"/>
        <w:rPr>
          <w:rFonts w:ascii="宋体" w:hAnsi="宋体" w:eastAsiaTheme="minorEastAsia" w:cstheme="minorBidi"/>
          <w:b/>
          <w:bCs/>
          <w:sz w:val="24"/>
          <w:szCs w:val="22"/>
          <w:highlight w:val="none"/>
        </w:rPr>
      </w:pPr>
      <w:bookmarkStart w:id="348" w:name="_Toc13690"/>
      <w:r>
        <w:rPr>
          <w:rFonts w:hint="eastAsia" w:ascii="宋体" w:hAnsi="宋体" w:eastAsiaTheme="minorEastAsia" w:cstheme="minorBidi"/>
          <w:b/>
          <w:bCs/>
          <w:sz w:val="24"/>
          <w:szCs w:val="22"/>
          <w:highlight w:val="none"/>
        </w:rPr>
        <w:t>3.监狱企业</w:t>
      </w:r>
      <w:bookmarkEnd w:id="348"/>
    </w:p>
    <w:p>
      <w:pPr>
        <w:spacing w:line="560" w:lineRule="exact"/>
        <w:ind w:firstLine="540" w:firstLineChars="225"/>
        <w:rPr>
          <w:rFonts w:ascii="宋体" w:hAnsi="宋体"/>
          <w:sz w:val="24"/>
          <w:highlight w:val="none"/>
        </w:rPr>
      </w:pPr>
      <w:r>
        <w:rPr>
          <w:rFonts w:hint="eastAsia" w:ascii="宋体" w:hAnsi="宋体"/>
          <w:sz w:val="24"/>
          <w:highlight w:val="none"/>
        </w:rPr>
        <w:t>3.1若供应商为监狱企业，按照财政部、司法部发布的《关于政府采购支持监狱企业发展有关问题的通知》的规定，在政府采购活动中，监狱企业视同小型、微型企业，享受评审中价格扣除的政府采购政策。</w:t>
      </w:r>
    </w:p>
    <w:p>
      <w:pPr>
        <w:spacing w:line="560" w:lineRule="exact"/>
        <w:ind w:firstLine="540" w:firstLineChars="225"/>
        <w:rPr>
          <w:rFonts w:ascii="宋体" w:hAnsi="宋体"/>
          <w:sz w:val="24"/>
          <w:highlight w:val="none"/>
        </w:rPr>
      </w:pPr>
      <w:r>
        <w:rPr>
          <w:rFonts w:hint="eastAsia" w:ascii="宋体" w:hAnsi="宋体"/>
          <w:sz w:val="24"/>
          <w:highlight w:val="none"/>
        </w:rPr>
        <w:t>3.2给予监狱企业（包括相互之间组成的联合体）产品的价格</w:t>
      </w:r>
      <w:r>
        <w:rPr>
          <w:rFonts w:hint="eastAsia" w:ascii="宋体" w:hAnsi="宋体"/>
          <w:sz w:val="24"/>
          <w:highlight w:val="none"/>
          <w:u w:val="single"/>
        </w:rPr>
        <w:t xml:space="preserve"> /% </w:t>
      </w:r>
      <w:r>
        <w:rPr>
          <w:rFonts w:hint="eastAsia" w:ascii="宋体" w:hAnsi="宋体"/>
          <w:sz w:val="24"/>
          <w:highlight w:val="none"/>
        </w:rPr>
        <w:t xml:space="preserve">的扣除；计算方法是： </w:t>
      </w:r>
    </w:p>
    <w:p>
      <w:pPr>
        <w:spacing w:line="560" w:lineRule="exact"/>
        <w:ind w:firstLine="540" w:firstLineChars="225"/>
        <w:rPr>
          <w:rFonts w:ascii="宋体" w:hAnsi="宋体"/>
          <w:sz w:val="24"/>
          <w:highlight w:val="none"/>
        </w:rPr>
      </w:pPr>
      <w:r>
        <w:rPr>
          <w:rFonts w:hint="eastAsia" w:ascii="宋体" w:hAnsi="宋体"/>
          <w:sz w:val="24"/>
          <w:highlight w:val="none"/>
        </w:rPr>
        <w:t>最终价格＝响应报价×（1-价格扣除比例)，按照最终价格计算其价格分得分。</w:t>
      </w:r>
    </w:p>
    <w:p>
      <w:pPr>
        <w:spacing w:line="560" w:lineRule="exact"/>
        <w:ind w:firstLine="540" w:firstLineChars="225"/>
        <w:rPr>
          <w:rFonts w:ascii="宋体" w:hAnsi="宋体"/>
          <w:sz w:val="24"/>
          <w:highlight w:val="none"/>
        </w:rPr>
      </w:pPr>
      <w:r>
        <w:rPr>
          <w:rFonts w:hint="eastAsia" w:ascii="宋体" w:hAnsi="宋体"/>
          <w:sz w:val="24"/>
          <w:highlight w:val="none"/>
        </w:rPr>
        <w:t>3.3法人、其他组织或者自然人与监狱企业组成联合体响应，联合协议中约定，监狱企业的协议合同金额占到联合体协议合同金额30%以上的，可给予联合体</w:t>
      </w:r>
      <w:r>
        <w:rPr>
          <w:rFonts w:hint="eastAsia" w:ascii="宋体" w:hAnsi="宋体"/>
          <w:sz w:val="24"/>
          <w:highlight w:val="none"/>
          <w:u w:val="single"/>
        </w:rPr>
        <w:t xml:space="preserve"> / </w:t>
      </w:r>
      <w:r>
        <w:rPr>
          <w:rFonts w:hint="eastAsia" w:ascii="宋体" w:hAnsi="宋体"/>
          <w:sz w:val="24"/>
          <w:highlight w:val="none"/>
        </w:rPr>
        <w:t xml:space="preserve">的价格扣除。计算方法是： </w:t>
      </w:r>
    </w:p>
    <w:p>
      <w:pPr>
        <w:spacing w:line="560" w:lineRule="exact"/>
        <w:ind w:firstLine="540" w:firstLineChars="225"/>
        <w:rPr>
          <w:rFonts w:ascii="宋体" w:hAnsi="宋体"/>
          <w:sz w:val="24"/>
          <w:highlight w:val="none"/>
        </w:rPr>
      </w:pPr>
      <w:r>
        <w:rPr>
          <w:rFonts w:hint="eastAsia" w:ascii="宋体" w:hAnsi="宋体"/>
          <w:sz w:val="24"/>
          <w:highlight w:val="none"/>
        </w:rPr>
        <w:t xml:space="preserve">最终价格＝报价×（1-价格扣除比例)，按照最终价格计算其价格分得分。 </w:t>
      </w:r>
    </w:p>
    <w:p>
      <w:pPr>
        <w:spacing w:line="560" w:lineRule="exact"/>
        <w:ind w:firstLine="540" w:firstLineChars="225"/>
        <w:rPr>
          <w:rFonts w:ascii="宋体" w:hAnsi="宋体"/>
          <w:sz w:val="24"/>
          <w:highlight w:val="none"/>
        </w:rPr>
      </w:pPr>
      <w:r>
        <w:rPr>
          <w:rFonts w:hint="eastAsia" w:ascii="宋体" w:hAnsi="宋体"/>
          <w:sz w:val="24"/>
          <w:highlight w:val="none"/>
        </w:rPr>
        <w:t>供应商须提供省级以上监狱管理局、戒毒管理局（含新疆生产建设兵团）出具的属于监狱企业的证明文件扫描件附于响应文件中，否则不给予价格扣除。</w:t>
      </w:r>
    </w:p>
    <w:p>
      <w:pPr>
        <w:spacing w:line="560" w:lineRule="exact"/>
        <w:ind w:firstLine="542" w:firstLineChars="225"/>
        <w:outlineLvl w:val="1"/>
        <w:rPr>
          <w:rFonts w:ascii="宋体" w:hAnsi="宋体" w:eastAsiaTheme="minorEastAsia" w:cstheme="minorBidi"/>
          <w:b/>
          <w:bCs/>
          <w:sz w:val="24"/>
          <w:szCs w:val="22"/>
          <w:highlight w:val="none"/>
        </w:rPr>
      </w:pPr>
      <w:bookmarkStart w:id="349" w:name="_Toc9822"/>
      <w:r>
        <w:rPr>
          <w:rFonts w:hint="eastAsia" w:ascii="宋体" w:hAnsi="宋体" w:eastAsiaTheme="minorEastAsia" w:cstheme="minorBidi"/>
          <w:b/>
          <w:bCs/>
          <w:sz w:val="24"/>
          <w:szCs w:val="22"/>
          <w:highlight w:val="none"/>
        </w:rPr>
        <w:t>4.残疾人福利性单位</w:t>
      </w:r>
      <w:bookmarkEnd w:id="349"/>
    </w:p>
    <w:p>
      <w:pPr>
        <w:spacing w:line="560" w:lineRule="exact"/>
        <w:ind w:firstLine="540" w:firstLineChars="225"/>
        <w:rPr>
          <w:rFonts w:ascii="宋体" w:hAnsi="宋体"/>
          <w:sz w:val="24"/>
          <w:highlight w:val="none"/>
        </w:rPr>
      </w:pPr>
      <w:r>
        <w:rPr>
          <w:rFonts w:hint="eastAsia" w:ascii="宋体" w:hAnsi="宋体"/>
          <w:sz w:val="24"/>
          <w:highlight w:val="none"/>
        </w:rPr>
        <w:t>4.1若供应商为残疾人福利性单位， &lt;&lt;三部门联合发布关于促进残疾人就业政府采购政策的通知&gt;&gt;(财库{2017}141号)的规定，在政府采购活动中残疾人福利性单位视同小型、微型企业，享受预留份额、评审中价格扣除等促进中小企业发展的政府采购政策。残疾人福利性单位属于小型、微型企业的，不重复享受政策。</w:t>
      </w:r>
    </w:p>
    <w:p>
      <w:pPr>
        <w:spacing w:line="560" w:lineRule="exact"/>
        <w:ind w:firstLine="540" w:firstLineChars="225"/>
        <w:rPr>
          <w:rFonts w:ascii="宋体" w:hAnsi="宋体"/>
          <w:sz w:val="24"/>
          <w:highlight w:val="none"/>
        </w:rPr>
      </w:pPr>
      <w:r>
        <w:rPr>
          <w:rFonts w:hint="eastAsia" w:ascii="宋体" w:hAnsi="宋体"/>
          <w:sz w:val="24"/>
          <w:highlight w:val="none"/>
        </w:rPr>
        <w:t>4.2给予残疾人福利性单位产品的价格</w:t>
      </w:r>
      <w:r>
        <w:rPr>
          <w:rFonts w:hint="eastAsia" w:ascii="宋体" w:hAnsi="宋体"/>
          <w:sz w:val="24"/>
          <w:highlight w:val="none"/>
          <w:u w:val="single"/>
        </w:rPr>
        <w:t xml:space="preserve"> /% </w:t>
      </w:r>
      <w:r>
        <w:rPr>
          <w:rFonts w:hint="eastAsia" w:ascii="宋体" w:hAnsi="宋体"/>
          <w:sz w:val="24"/>
          <w:highlight w:val="none"/>
        </w:rPr>
        <w:t>的扣除；计算方法是：</w:t>
      </w:r>
    </w:p>
    <w:p>
      <w:pPr>
        <w:spacing w:line="560" w:lineRule="exact"/>
        <w:ind w:firstLine="540" w:firstLineChars="225"/>
        <w:rPr>
          <w:rFonts w:ascii="宋体" w:hAnsi="宋体"/>
          <w:sz w:val="24"/>
          <w:highlight w:val="none"/>
        </w:rPr>
      </w:pPr>
      <w:r>
        <w:rPr>
          <w:rFonts w:hint="eastAsia" w:ascii="宋体" w:hAnsi="宋体"/>
          <w:sz w:val="24"/>
          <w:highlight w:val="none"/>
        </w:rPr>
        <w:t>最终价格＝报价×（1-价格扣除比例)，按照最终价格计算其价格分得分。</w:t>
      </w:r>
    </w:p>
    <w:p>
      <w:pPr>
        <w:spacing w:line="560" w:lineRule="exact"/>
        <w:ind w:firstLine="540" w:firstLineChars="225"/>
        <w:rPr>
          <w:rFonts w:ascii="宋体" w:hAnsi="宋体"/>
          <w:sz w:val="24"/>
          <w:highlight w:val="none"/>
        </w:rPr>
      </w:pPr>
      <w:r>
        <w:rPr>
          <w:rFonts w:hint="eastAsia" w:ascii="宋体" w:hAnsi="宋体"/>
          <w:sz w:val="24"/>
          <w:highlight w:val="none"/>
        </w:rPr>
        <w:t>供应商须提供《残疾人福利性单位声明函》扫描件附于响应文件中，否则不给予价格扣除。</w:t>
      </w:r>
    </w:p>
    <w:p>
      <w:pPr>
        <w:spacing w:line="560" w:lineRule="exact"/>
        <w:ind w:firstLine="540" w:firstLineChars="225"/>
        <w:rPr>
          <w:rFonts w:ascii="宋体" w:hAnsi="宋体"/>
          <w:sz w:val="24"/>
          <w:highlight w:val="none"/>
        </w:rPr>
      </w:pPr>
      <w:r>
        <w:rPr>
          <w:rFonts w:hint="eastAsia" w:ascii="宋体" w:hAnsi="宋体"/>
          <w:sz w:val="24"/>
          <w:highlight w:val="none"/>
        </w:rPr>
        <w:t>4.3成交供应商为残疾人福利性单位的，采购代理机构应当随中标结果同时公告其《残疾人福利性单位声明函》，接受社会监督。</w:t>
      </w:r>
    </w:p>
    <w:p>
      <w:pPr>
        <w:spacing w:line="560" w:lineRule="exact"/>
        <w:ind w:firstLine="540" w:firstLineChars="225"/>
        <w:rPr>
          <w:rFonts w:ascii="宋体" w:hAnsi="宋体"/>
          <w:sz w:val="24"/>
          <w:highlight w:val="none"/>
        </w:rPr>
      </w:pPr>
      <w:r>
        <w:rPr>
          <w:rFonts w:hint="eastAsia" w:ascii="宋体" w:hAnsi="宋体"/>
          <w:sz w:val="24"/>
          <w:highlight w:val="none"/>
        </w:rPr>
        <w:t>注：供应商在响应文件中提供的涉及到政策加分项目的相关资料须一次性上传提交出示，不接受二次提交材料验证，由谈判小组检查验证。供应商所提供的资料或填写的内容必须真实、可靠，如有虚假或隐瞒，一经查实将导致响应被拒绝，并按照《中华人民共和国政府采购法》第七十七条第一款“提供虚假材料谋取中标的”进行处罚，给甲方造成损失的应承担赔偿。</w:t>
      </w:r>
    </w:p>
    <w:p>
      <w:pPr>
        <w:spacing w:line="560" w:lineRule="exact"/>
        <w:ind w:firstLine="542" w:firstLineChars="225"/>
        <w:outlineLvl w:val="1"/>
        <w:rPr>
          <w:rFonts w:ascii="宋体" w:hAnsi="宋体" w:eastAsiaTheme="minorEastAsia" w:cstheme="minorBidi"/>
          <w:b/>
          <w:bCs/>
          <w:sz w:val="24"/>
          <w:szCs w:val="22"/>
          <w:highlight w:val="none"/>
        </w:rPr>
      </w:pPr>
      <w:bookmarkStart w:id="350" w:name="_Toc9838"/>
      <w:r>
        <w:rPr>
          <w:rFonts w:hint="eastAsia" w:ascii="宋体" w:hAnsi="宋体" w:eastAsiaTheme="minorEastAsia" w:cstheme="minorBidi"/>
          <w:b/>
          <w:bCs/>
          <w:sz w:val="24"/>
          <w:szCs w:val="22"/>
          <w:highlight w:val="none"/>
        </w:rPr>
        <w:t>二、评审办法</w:t>
      </w:r>
      <w:bookmarkEnd w:id="350"/>
    </w:p>
    <w:p>
      <w:pPr>
        <w:spacing w:line="560" w:lineRule="exact"/>
        <w:ind w:firstLine="540" w:firstLineChars="225"/>
        <w:rPr>
          <w:rFonts w:ascii="宋体" w:hAnsi="宋体"/>
          <w:sz w:val="24"/>
          <w:highlight w:val="none"/>
        </w:rPr>
      </w:pPr>
      <w:r>
        <w:rPr>
          <w:rFonts w:hint="eastAsia" w:ascii="宋体" w:hAnsi="宋体"/>
          <w:sz w:val="24"/>
          <w:highlight w:val="none"/>
        </w:rPr>
        <w:t>本次评审采用</w:t>
      </w:r>
      <w:bookmarkStart w:id="351" w:name="percentDesc"/>
      <w:bookmarkEnd w:id="351"/>
      <w:r>
        <w:rPr>
          <w:rFonts w:hint="eastAsia" w:ascii="宋体" w:hAnsi="宋体"/>
          <w:sz w:val="24"/>
          <w:highlight w:val="none"/>
        </w:rPr>
        <w:t>最低评标价法，是指响应文件满足竞争性谈判文件全部实质性要求，且最终响应报价最低的供应商为成交候选人。</w:t>
      </w:r>
    </w:p>
    <w:p>
      <w:pPr>
        <w:pStyle w:val="5"/>
        <w:spacing w:before="0" w:after="0" w:line="560" w:lineRule="exact"/>
        <w:ind w:firstLine="480" w:firstLineChars="200"/>
        <w:rPr>
          <w:rFonts w:hAnsi="宋体"/>
          <w:b w:val="0"/>
          <w:bCs/>
          <w:highlight w:val="none"/>
          <w:u w:val="none"/>
        </w:rPr>
      </w:pPr>
      <w:bookmarkStart w:id="352" w:name="_Toc16295"/>
      <w:bookmarkStart w:id="353" w:name="_Toc23737"/>
      <w:r>
        <w:rPr>
          <w:rFonts w:hint="eastAsia" w:hAnsi="宋体"/>
          <w:b w:val="0"/>
          <w:bCs/>
          <w:highlight w:val="none"/>
          <w:u w:val="none"/>
        </w:rPr>
        <w:t>采用最低评标价法的采购项目，提供相同品牌产品的不同供应商参加同一合同项下响应的，以其中通过资格审查、符合性审查且报价最低的参与响应；报价相同的，由采购人或者采购人委托谈判小组按照竞争性谈判文件规定的方式确定一个参加评标的供应商，竞争性谈判文件未规定的采取随机抽取方式确定，其他响应无效。</w:t>
      </w:r>
      <w:bookmarkEnd w:id="352"/>
      <w:bookmarkEnd w:id="353"/>
    </w:p>
    <w:p>
      <w:pPr>
        <w:spacing w:line="560" w:lineRule="exact"/>
        <w:ind w:firstLine="480" w:firstLineChars="200"/>
        <w:rPr>
          <w:rFonts w:hAnsi="宋体"/>
          <w:bCs/>
          <w:sz w:val="24"/>
          <w:highlight w:val="none"/>
        </w:rPr>
      </w:pPr>
      <w:r>
        <w:rPr>
          <w:rFonts w:hint="eastAsia" w:hAnsi="宋体"/>
          <w:bCs/>
          <w:sz w:val="24"/>
          <w:highlight w:val="none"/>
        </w:rPr>
        <w:t>采用</w:t>
      </w:r>
      <w:r>
        <w:rPr>
          <w:rFonts w:hint="eastAsia" w:ascii="宋体" w:hAnsi="宋体"/>
          <w:bCs/>
          <w:sz w:val="24"/>
          <w:highlight w:val="none"/>
        </w:rPr>
        <w:t>最低评标价法</w:t>
      </w:r>
      <w:r>
        <w:rPr>
          <w:rFonts w:hint="eastAsia" w:hAnsi="宋体"/>
          <w:bCs/>
          <w:sz w:val="24"/>
          <w:highlight w:val="none"/>
        </w:rPr>
        <w:t>的，评标结果按照响应报价由低到高顺序排列。响应报价相同的并列。响应文件满足</w:t>
      </w:r>
      <w:r>
        <w:rPr>
          <w:rFonts w:hint="eastAsia" w:ascii="宋体" w:hAnsi="宋体"/>
          <w:sz w:val="24"/>
          <w:highlight w:val="none"/>
        </w:rPr>
        <w:t>竞争性谈判文件</w:t>
      </w:r>
      <w:r>
        <w:rPr>
          <w:rFonts w:hint="eastAsia" w:hAnsi="宋体"/>
          <w:bCs/>
          <w:sz w:val="24"/>
          <w:highlight w:val="none"/>
        </w:rPr>
        <w:t>全部实质性要求且最终报价最低的供应商为排名第一的成交候选人，报价也相同的，由谈判小组投票决定。</w:t>
      </w:r>
    </w:p>
    <w:p>
      <w:pPr>
        <w:spacing w:line="560" w:lineRule="exact"/>
        <w:ind w:firstLine="480" w:firstLineChars="200"/>
        <w:rPr>
          <w:rFonts w:hAnsi="宋体"/>
          <w:bCs/>
          <w:sz w:val="24"/>
          <w:highlight w:val="none"/>
        </w:rPr>
      </w:pPr>
      <w:r>
        <w:rPr>
          <w:rFonts w:hint="eastAsia" w:hAnsi="宋体"/>
          <w:bCs/>
          <w:sz w:val="24"/>
          <w:highlight w:val="none"/>
        </w:rPr>
        <w:t>本项目专门面向中小微企业采购，评审过程中不再进行价格扣除。</w:t>
      </w:r>
    </w:p>
    <w:p>
      <w:pPr>
        <w:spacing w:line="560" w:lineRule="exact"/>
        <w:ind w:firstLine="542" w:firstLineChars="225"/>
        <w:outlineLvl w:val="1"/>
        <w:rPr>
          <w:rFonts w:ascii="宋体" w:hAnsi="宋体" w:eastAsiaTheme="minorEastAsia" w:cstheme="minorBidi"/>
          <w:b/>
          <w:bCs/>
          <w:sz w:val="24"/>
          <w:szCs w:val="22"/>
          <w:highlight w:val="none"/>
        </w:rPr>
      </w:pPr>
      <w:bookmarkStart w:id="354" w:name="_Toc19029"/>
      <w:r>
        <w:rPr>
          <w:rFonts w:hint="eastAsia" w:ascii="宋体" w:hAnsi="宋体" w:eastAsiaTheme="minorEastAsia" w:cstheme="minorBidi"/>
          <w:b/>
          <w:bCs/>
          <w:sz w:val="24"/>
          <w:szCs w:val="22"/>
          <w:highlight w:val="none"/>
        </w:rPr>
        <w:t>三、评标标准</w:t>
      </w:r>
      <w:bookmarkEnd w:id="354"/>
    </w:p>
    <w:p>
      <w:pPr>
        <w:pStyle w:val="4"/>
        <w:spacing w:line="560" w:lineRule="exact"/>
        <w:rPr>
          <w:rFonts w:ascii="宋体" w:hAnsi="宋体" w:eastAsia="宋体" w:cs="宋体"/>
          <w:highlight w:val="none"/>
        </w:rPr>
      </w:pPr>
      <w:bookmarkStart w:id="355" w:name="_Toc14162"/>
      <w:bookmarkStart w:id="356" w:name="_Toc63753206"/>
      <w:bookmarkStart w:id="357" w:name="_Toc62323827"/>
      <w:bookmarkStart w:id="358" w:name="_Toc29759"/>
      <w:r>
        <w:rPr>
          <w:rFonts w:hint="eastAsia" w:ascii="宋体" w:hAnsi="宋体" w:eastAsia="宋体" w:cs="宋体"/>
          <w:highlight w:val="none"/>
        </w:rPr>
        <w:t>初步评审（样表）</w:t>
      </w:r>
      <w:bookmarkEnd w:id="355"/>
      <w:bookmarkEnd w:id="356"/>
      <w:bookmarkEnd w:id="357"/>
      <w:bookmarkEnd w:id="358"/>
    </w:p>
    <w:tbl>
      <w:tblPr>
        <w:tblStyle w:val="23"/>
        <w:tblpPr w:leftFromText="180" w:rightFromText="180" w:vertAnchor="text" w:horzAnchor="page" w:tblpX="1696" w:tblpY="597"/>
        <w:tblOverlap w:val="never"/>
        <w:tblW w:w="8686"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99"/>
        <w:gridCol w:w="641"/>
        <w:gridCol w:w="3650"/>
        <w:gridCol w:w="349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Align w:val="center"/>
          </w:tcPr>
          <w:p>
            <w:pPr>
              <w:spacing w:line="560" w:lineRule="exact"/>
              <w:jc w:val="center"/>
              <w:rPr>
                <w:rFonts w:ascii="宋体" w:hAnsi="宋体" w:cs="宋体"/>
                <w:kern w:val="0"/>
                <w:szCs w:val="21"/>
                <w:highlight w:val="none"/>
                <w:lang w:eastAsia="en-US"/>
              </w:rPr>
            </w:pPr>
            <w:r>
              <w:rPr>
                <w:rFonts w:ascii="宋体" w:hAnsi="宋体" w:cs="宋体"/>
                <w:kern w:val="0"/>
                <w:szCs w:val="21"/>
                <w:highlight w:val="none"/>
                <w:lang w:eastAsia="en-US"/>
              </w:rPr>
              <w:t>评审方式</w:t>
            </w:r>
          </w:p>
        </w:tc>
        <w:tc>
          <w:tcPr>
            <w:tcW w:w="641" w:type="dxa"/>
            <w:vAlign w:val="center"/>
          </w:tcPr>
          <w:p>
            <w:pPr>
              <w:spacing w:line="560" w:lineRule="exact"/>
              <w:jc w:val="center"/>
              <w:rPr>
                <w:rFonts w:ascii="宋体" w:hAnsi="宋体" w:cs="宋体"/>
                <w:kern w:val="0"/>
                <w:szCs w:val="21"/>
                <w:highlight w:val="none"/>
                <w:lang w:eastAsia="en-US"/>
              </w:rPr>
            </w:pPr>
            <w:r>
              <w:rPr>
                <w:rFonts w:ascii="宋体" w:hAnsi="宋体" w:cs="宋体"/>
                <w:kern w:val="0"/>
                <w:szCs w:val="21"/>
                <w:highlight w:val="none"/>
                <w:lang w:eastAsia="en-US"/>
              </w:rPr>
              <w:t>序号</w:t>
            </w:r>
          </w:p>
        </w:tc>
        <w:tc>
          <w:tcPr>
            <w:tcW w:w="3650" w:type="dxa"/>
            <w:vAlign w:val="center"/>
          </w:tcPr>
          <w:p>
            <w:pPr>
              <w:spacing w:line="560" w:lineRule="exact"/>
              <w:jc w:val="center"/>
              <w:rPr>
                <w:rFonts w:ascii="宋体" w:hAnsi="宋体" w:cs="宋体"/>
                <w:kern w:val="0"/>
                <w:szCs w:val="21"/>
                <w:highlight w:val="none"/>
              </w:rPr>
            </w:pPr>
            <w:r>
              <w:rPr>
                <w:rFonts w:ascii="宋体" w:hAnsi="宋体" w:cs="宋体"/>
                <w:kern w:val="0"/>
                <w:szCs w:val="21"/>
                <w:highlight w:val="none"/>
                <w:lang w:eastAsia="en-US"/>
              </w:rPr>
              <w:t>评审因素</w:t>
            </w:r>
          </w:p>
        </w:tc>
        <w:tc>
          <w:tcPr>
            <w:tcW w:w="3496" w:type="dxa"/>
            <w:vAlign w:val="center"/>
          </w:tcPr>
          <w:p>
            <w:pPr>
              <w:spacing w:line="560" w:lineRule="exact"/>
              <w:jc w:val="center"/>
              <w:rPr>
                <w:rFonts w:ascii="宋体" w:hAnsi="宋体" w:cs="宋体"/>
                <w:kern w:val="0"/>
                <w:szCs w:val="21"/>
                <w:highlight w:val="none"/>
                <w:lang w:eastAsia="en-US"/>
              </w:rPr>
            </w:pPr>
            <w:r>
              <w:rPr>
                <w:rFonts w:ascii="宋体" w:hAnsi="宋体" w:cs="宋体"/>
                <w:kern w:val="0"/>
                <w:szCs w:val="21"/>
                <w:highlight w:val="none"/>
                <w:lang w:eastAsia="en-US"/>
              </w:rPr>
              <w:t>评审标准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restart"/>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lang w:eastAsia="en-US"/>
              </w:rPr>
              <w:t>符合性</w:t>
            </w:r>
          </w:p>
          <w:p>
            <w:pPr>
              <w:spacing w:line="560" w:lineRule="exact"/>
              <w:jc w:val="center"/>
              <w:rPr>
                <w:rFonts w:ascii="宋体" w:hAnsi="宋体" w:cs="宋体"/>
                <w:kern w:val="0"/>
                <w:szCs w:val="21"/>
                <w:highlight w:val="none"/>
                <w:lang w:eastAsia="en-US"/>
              </w:rPr>
            </w:pPr>
            <w:r>
              <w:rPr>
                <w:rFonts w:ascii="宋体" w:hAnsi="宋体" w:cs="宋体"/>
                <w:kern w:val="0"/>
                <w:szCs w:val="21"/>
                <w:highlight w:val="none"/>
                <w:lang w:eastAsia="en-US"/>
              </w:rPr>
              <w:t>评审</w:t>
            </w:r>
          </w:p>
          <w:p>
            <w:pPr>
              <w:spacing w:line="560" w:lineRule="exact"/>
              <w:rPr>
                <w:rFonts w:ascii="宋体" w:hAnsi="宋体" w:cs="宋体"/>
                <w:kern w:val="0"/>
                <w:szCs w:val="21"/>
                <w:highlight w:val="none"/>
                <w:lang w:eastAsia="en-US"/>
              </w:rPr>
            </w:pPr>
          </w:p>
        </w:tc>
        <w:tc>
          <w:tcPr>
            <w:tcW w:w="641" w:type="dxa"/>
            <w:vAlign w:val="center"/>
          </w:tcPr>
          <w:p>
            <w:pPr>
              <w:spacing w:line="560" w:lineRule="exact"/>
              <w:jc w:val="center"/>
              <w:rPr>
                <w:rFonts w:ascii="宋体" w:hAnsi="宋体" w:cs="宋体"/>
                <w:kern w:val="0"/>
                <w:szCs w:val="21"/>
                <w:highlight w:val="none"/>
                <w:lang w:eastAsia="en-US"/>
              </w:rPr>
            </w:pPr>
            <w:r>
              <w:rPr>
                <w:rFonts w:ascii="宋体" w:hAnsi="宋体" w:cs="宋体"/>
                <w:kern w:val="0"/>
                <w:szCs w:val="21"/>
                <w:highlight w:val="none"/>
                <w:lang w:eastAsia="en-US"/>
              </w:rPr>
              <w:t>1</w:t>
            </w:r>
          </w:p>
        </w:tc>
        <w:tc>
          <w:tcPr>
            <w:tcW w:w="3650" w:type="dxa"/>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rPr>
              <w:t>供应商名称</w:t>
            </w:r>
          </w:p>
        </w:tc>
        <w:tc>
          <w:tcPr>
            <w:tcW w:w="3496" w:type="dxa"/>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rPr>
              <w:t>与营业执照等一致</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tcPr>
          <w:p>
            <w:pPr>
              <w:spacing w:line="560" w:lineRule="exact"/>
              <w:jc w:val="center"/>
              <w:rPr>
                <w:rFonts w:ascii="宋体" w:hAnsi="宋体" w:cs="宋体"/>
                <w:kern w:val="0"/>
                <w:szCs w:val="21"/>
                <w:highlight w:val="none"/>
                <w:lang w:eastAsia="en-US"/>
              </w:rPr>
            </w:pPr>
          </w:p>
        </w:tc>
        <w:tc>
          <w:tcPr>
            <w:tcW w:w="641" w:type="dxa"/>
            <w:vAlign w:val="center"/>
          </w:tcPr>
          <w:p>
            <w:pPr>
              <w:spacing w:line="560" w:lineRule="exact"/>
              <w:jc w:val="center"/>
              <w:rPr>
                <w:rFonts w:ascii="宋体" w:hAnsi="宋体" w:cs="宋体"/>
                <w:kern w:val="0"/>
                <w:szCs w:val="21"/>
                <w:highlight w:val="none"/>
                <w:lang w:eastAsia="en-US"/>
              </w:rPr>
            </w:pPr>
            <w:r>
              <w:rPr>
                <w:rFonts w:ascii="宋体" w:hAnsi="宋体" w:cs="宋体"/>
                <w:kern w:val="0"/>
                <w:szCs w:val="21"/>
                <w:highlight w:val="none"/>
                <w:lang w:eastAsia="en-US"/>
              </w:rPr>
              <w:t>2</w:t>
            </w:r>
          </w:p>
        </w:tc>
        <w:tc>
          <w:tcPr>
            <w:tcW w:w="3650" w:type="dxa"/>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rPr>
              <w:t>报价文件签署</w:t>
            </w:r>
          </w:p>
        </w:tc>
        <w:tc>
          <w:tcPr>
            <w:tcW w:w="3496" w:type="dxa"/>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rPr>
              <w:t>按谈判文件要求加盖公章或法人签字或签字有法人有效授权</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tcPr>
          <w:p>
            <w:pPr>
              <w:spacing w:line="560" w:lineRule="exact"/>
              <w:jc w:val="center"/>
              <w:rPr>
                <w:rFonts w:ascii="宋体" w:hAnsi="宋体" w:cs="宋体"/>
                <w:kern w:val="0"/>
                <w:szCs w:val="21"/>
                <w:highlight w:val="none"/>
                <w:lang w:eastAsia="en-US"/>
              </w:rPr>
            </w:pPr>
          </w:p>
        </w:tc>
        <w:tc>
          <w:tcPr>
            <w:tcW w:w="641" w:type="dxa"/>
            <w:vAlign w:val="center"/>
          </w:tcPr>
          <w:p>
            <w:pPr>
              <w:spacing w:line="560" w:lineRule="exact"/>
              <w:jc w:val="center"/>
              <w:rPr>
                <w:rFonts w:ascii="宋体" w:hAnsi="宋体" w:cs="宋体"/>
                <w:kern w:val="0"/>
                <w:szCs w:val="21"/>
                <w:highlight w:val="none"/>
                <w:lang w:eastAsia="en-US"/>
              </w:rPr>
            </w:pPr>
            <w:r>
              <w:rPr>
                <w:rFonts w:ascii="宋体" w:hAnsi="宋体" w:cs="宋体"/>
                <w:kern w:val="0"/>
                <w:szCs w:val="21"/>
                <w:highlight w:val="none"/>
                <w:lang w:eastAsia="en-US"/>
              </w:rPr>
              <w:t>3</w:t>
            </w:r>
          </w:p>
        </w:tc>
        <w:tc>
          <w:tcPr>
            <w:tcW w:w="3650" w:type="dxa"/>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rPr>
              <w:t>报价方案</w:t>
            </w:r>
          </w:p>
        </w:tc>
        <w:tc>
          <w:tcPr>
            <w:tcW w:w="3496" w:type="dxa"/>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rPr>
              <w:t>只有一个方案</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tcPr>
          <w:p>
            <w:pPr>
              <w:spacing w:line="560" w:lineRule="exact"/>
              <w:jc w:val="center"/>
              <w:rPr>
                <w:rFonts w:ascii="宋体" w:hAnsi="宋体" w:cs="宋体"/>
                <w:kern w:val="0"/>
                <w:szCs w:val="21"/>
                <w:highlight w:val="none"/>
                <w:lang w:eastAsia="en-US"/>
              </w:rPr>
            </w:pPr>
          </w:p>
        </w:tc>
        <w:tc>
          <w:tcPr>
            <w:tcW w:w="641" w:type="dxa"/>
            <w:vAlign w:val="center"/>
          </w:tcPr>
          <w:p>
            <w:pPr>
              <w:spacing w:line="560" w:lineRule="exact"/>
              <w:jc w:val="center"/>
              <w:rPr>
                <w:rFonts w:ascii="宋体" w:hAnsi="宋体" w:cs="宋体"/>
                <w:kern w:val="0"/>
                <w:szCs w:val="21"/>
                <w:highlight w:val="none"/>
                <w:lang w:eastAsia="en-US"/>
              </w:rPr>
            </w:pPr>
            <w:r>
              <w:rPr>
                <w:rFonts w:ascii="宋体" w:hAnsi="宋体" w:cs="宋体"/>
                <w:kern w:val="0"/>
                <w:szCs w:val="21"/>
                <w:highlight w:val="none"/>
                <w:lang w:eastAsia="en-US"/>
              </w:rPr>
              <w:t>4</w:t>
            </w:r>
          </w:p>
        </w:tc>
        <w:tc>
          <w:tcPr>
            <w:tcW w:w="3650" w:type="dxa"/>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rPr>
              <w:t>报价</w:t>
            </w:r>
          </w:p>
        </w:tc>
        <w:tc>
          <w:tcPr>
            <w:tcW w:w="3496" w:type="dxa"/>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rPr>
              <w:t>只有一个有效报价</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tcPr>
          <w:p>
            <w:pPr>
              <w:spacing w:line="560" w:lineRule="exact"/>
              <w:jc w:val="center"/>
              <w:rPr>
                <w:rFonts w:ascii="宋体" w:hAnsi="宋体" w:cs="宋体"/>
                <w:kern w:val="0"/>
                <w:szCs w:val="21"/>
                <w:highlight w:val="none"/>
                <w:lang w:eastAsia="en-US"/>
              </w:rPr>
            </w:pPr>
          </w:p>
        </w:tc>
        <w:tc>
          <w:tcPr>
            <w:tcW w:w="641" w:type="dxa"/>
            <w:vAlign w:val="center"/>
          </w:tcPr>
          <w:p>
            <w:pPr>
              <w:spacing w:line="560" w:lineRule="exact"/>
              <w:jc w:val="center"/>
              <w:rPr>
                <w:rFonts w:ascii="宋体" w:hAnsi="宋体" w:cs="宋体"/>
                <w:kern w:val="0"/>
                <w:szCs w:val="21"/>
                <w:highlight w:val="none"/>
                <w:lang w:eastAsia="en-US"/>
              </w:rPr>
            </w:pPr>
            <w:r>
              <w:rPr>
                <w:rFonts w:ascii="宋体" w:hAnsi="宋体" w:cs="宋体"/>
                <w:kern w:val="0"/>
                <w:szCs w:val="21"/>
                <w:highlight w:val="none"/>
                <w:lang w:eastAsia="en-US"/>
              </w:rPr>
              <w:t>5</w:t>
            </w:r>
          </w:p>
        </w:tc>
        <w:tc>
          <w:tcPr>
            <w:tcW w:w="3650" w:type="dxa"/>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rPr>
              <w:t>报价货物清单</w:t>
            </w:r>
          </w:p>
        </w:tc>
        <w:tc>
          <w:tcPr>
            <w:tcW w:w="3496" w:type="dxa"/>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rPr>
              <w:t>符合谈判文件的要求</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tcPr>
          <w:p>
            <w:pPr>
              <w:spacing w:line="560" w:lineRule="exact"/>
              <w:jc w:val="center"/>
              <w:rPr>
                <w:rFonts w:ascii="宋体" w:hAnsi="宋体" w:cs="宋体"/>
                <w:kern w:val="0"/>
                <w:szCs w:val="21"/>
                <w:highlight w:val="none"/>
                <w:lang w:eastAsia="en-US"/>
              </w:rPr>
            </w:pPr>
          </w:p>
        </w:tc>
        <w:tc>
          <w:tcPr>
            <w:tcW w:w="641" w:type="dxa"/>
            <w:vAlign w:val="center"/>
          </w:tcPr>
          <w:p>
            <w:pPr>
              <w:spacing w:line="560" w:lineRule="exact"/>
              <w:jc w:val="center"/>
              <w:rPr>
                <w:rFonts w:ascii="宋体" w:hAnsi="宋体" w:eastAsia="宋体" w:cs="宋体"/>
                <w:kern w:val="0"/>
                <w:sz w:val="21"/>
                <w:szCs w:val="21"/>
                <w:highlight w:val="none"/>
                <w:lang w:val="en-US" w:eastAsia="en-US" w:bidi="ar-SA"/>
              </w:rPr>
            </w:pPr>
            <w:r>
              <w:rPr>
                <w:rFonts w:ascii="宋体" w:hAnsi="宋体" w:cs="宋体"/>
                <w:kern w:val="0"/>
                <w:szCs w:val="21"/>
                <w:highlight w:val="none"/>
                <w:lang w:eastAsia="en-US"/>
              </w:rPr>
              <w:t>6</w:t>
            </w:r>
          </w:p>
        </w:tc>
        <w:tc>
          <w:tcPr>
            <w:tcW w:w="3650" w:type="dxa"/>
            <w:vAlign w:val="center"/>
          </w:tcPr>
          <w:p>
            <w:pPr>
              <w:spacing w:line="560" w:lineRule="exact"/>
              <w:jc w:val="center"/>
              <w:rPr>
                <w:rFonts w:hint="eastAsia" w:ascii="宋体" w:hAnsi="宋体" w:eastAsia="宋体" w:cs="宋体"/>
                <w:kern w:val="0"/>
                <w:sz w:val="21"/>
                <w:szCs w:val="21"/>
                <w:highlight w:val="none"/>
                <w:lang w:val="en-US" w:eastAsia="en-US" w:bidi="ar-SA"/>
              </w:rPr>
            </w:pPr>
            <w:r>
              <w:rPr>
                <w:rFonts w:hint="eastAsia" w:ascii="宋体" w:hAnsi="宋体" w:cs="宋体"/>
                <w:kern w:val="0"/>
                <w:szCs w:val="21"/>
                <w:highlight w:val="none"/>
              </w:rPr>
              <w:t>报价有效期</w:t>
            </w:r>
          </w:p>
        </w:tc>
        <w:tc>
          <w:tcPr>
            <w:tcW w:w="3496" w:type="dxa"/>
            <w:vAlign w:val="center"/>
          </w:tcPr>
          <w:p>
            <w:pPr>
              <w:spacing w:line="560" w:lineRule="exact"/>
              <w:jc w:val="center"/>
              <w:rPr>
                <w:rFonts w:hint="eastAsia" w:ascii="宋体" w:hAnsi="宋体" w:eastAsia="宋体" w:cs="宋体"/>
                <w:kern w:val="0"/>
                <w:sz w:val="21"/>
                <w:szCs w:val="21"/>
                <w:highlight w:val="none"/>
                <w:lang w:val="en-US" w:eastAsia="en-US" w:bidi="ar-SA"/>
              </w:rPr>
            </w:pPr>
            <w:r>
              <w:rPr>
                <w:rFonts w:hint="eastAsia" w:ascii="宋体" w:hAnsi="宋体" w:cs="宋体"/>
                <w:kern w:val="0"/>
                <w:szCs w:val="21"/>
                <w:highlight w:val="none"/>
              </w:rPr>
              <w:t>符合第二章14.1条规定</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0" w:hRule="atLeast"/>
        </w:trPr>
        <w:tc>
          <w:tcPr>
            <w:tcW w:w="899" w:type="dxa"/>
            <w:vMerge w:val="continue"/>
          </w:tcPr>
          <w:p>
            <w:pPr>
              <w:spacing w:line="560" w:lineRule="exact"/>
              <w:jc w:val="center"/>
              <w:rPr>
                <w:rFonts w:ascii="宋体" w:hAnsi="宋体" w:cs="宋体"/>
                <w:kern w:val="0"/>
                <w:szCs w:val="21"/>
                <w:highlight w:val="none"/>
                <w:lang w:eastAsia="en-US"/>
              </w:rPr>
            </w:pPr>
          </w:p>
        </w:tc>
        <w:tc>
          <w:tcPr>
            <w:tcW w:w="641" w:type="dxa"/>
            <w:vAlign w:val="center"/>
          </w:tcPr>
          <w:p>
            <w:pPr>
              <w:spacing w:line="560" w:lineRule="exact"/>
              <w:jc w:val="center"/>
              <w:rPr>
                <w:rFonts w:hint="eastAsia" w:ascii="宋体" w:hAnsi="宋体" w:cs="宋体"/>
                <w:kern w:val="0"/>
                <w:szCs w:val="21"/>
                <w:highlight w:val="none"/>
                <w:lang w:eastAsia="zh-CN"/>
              </w:rPr>
            </w:pPr>
            <w:r>
              <w:rPr>
                <w:rFonts w:hint="eastAsia" w:ascii="宋体" w:hAnsi="宋体" w:cs="宋体"/>
                <w:kern w:val="0"/>
                <w:szCs w:val="21"/>
                <w:highlight w:val="none"/>
                <w:lang w:val="en-US" w:eastAsia="zh-CN"/>
              </w:rPr>
              <w:t>7</w:t>
            </w:r>
          </w:p>
        </w:tc>
        <w:tc>
          <w:tcPr>
            <w:tcW w:w="3650" w:type="dxa"/>
            <w:vAlign w:val="center"/>
          </w:tcPr>
          <w:p>
            <w:pPr>
              <w:spacing w:line="560" w:lineRule="exact"/>
              <w:jc w:val="center"/>
              <w:rPr>
                <w:rFonts w:hint="eastAsia" w:ascii="宋体" w:hAnsi="宋体" w:cs="宋体"/>
                <w:kern w:val="0"/>
                <w:szCs w:val="21"/>
                <w:highlight w:val="none"/>
                <w:lang w:eastAsia="en-US"/>
              </w:rPr>
            </w:pPr>
            <w:r>
              <w:rPr>
                <w:rFonts w:hint="default" w:ascii="宋体" w:hAnsi="宋体" w:cs="宋体"/>
                <w:kern w:val="0"/>
                <w:szCs w:val="21"/>
                <w:highlight w:val="none"/>
              </w:rPr>
              <w:t>交货时间、地点、质保期或付款方式</w:t>
            </w:r>
          </w:p>
        </w:tc>
        <w:tc>
          <w:tcPr>
            <w:tcW w:w="3496" w:type="dxa"/>
            <w:vAlign w:val="center"/>
          </w:tcPr>
          <w:p>
            <w:pPr>
              <w:spacing w:line="560" w:lineRule="exact"/>
              <w:jc w:val="center"/>
              <w:rPr>
                <w:rFonts w:ascii="宋体" w:hAnsi="宋体" w:cs="宋体"/>
                <w:kern w:val="0"/>
                <w:szCs w:val="21"/>
                <w:highlight w:val="none"/>
                <w:lang w:eastAsia="en-US"/>
              </w:rPr>
            </w:pPr>
            <w:r>
              <w:rPr>
                <w:rFonts w:hint="eastAsia" w:ascii="宋体" w:hAnsi="宋体" w:cs="宋体"/>
                <w:kern w:val="0"/>
                <w:szCs w:val="21"/>
                <w:highlight w:val="none"/>
              </w:rPr>
              <w:t>符合第二章14.1条规定</w:t>
            </w:r>
          </w:p>
        </w:tc>
      </w:tr>
    </w:tbl>
    <w:p>
      <w:pPr>
        <w:spacing w:before="2" w:line="560" w:lineRule="exact"/>
        <w:jc w:val="left"/>
        <w:rPr>
          <w:rFonts w:ascii="宋体" w:hAnsi="宋体" w:cs="宋体"/>
          <w:kern w:val="0"/>
          <w:sz w:val="11"/>
          <w:szCs w:val="11"/>
          <w:highlight w:val="none"/>
        </w:rPr>
      </w:pPr>
    </w:p>
    <w:p>
      <w:pPr>
        <w:widowControl/>
        <w:spacing w:beforeAutospacing="1" w:afterAutospacing="1" w:line="560" w:lineRule="exact"/>
        <w:jc w:val="left"/>
        <w:outlineLvl w:val="1"/>
        <w:rPr>
          <w:rFonts w:ascii="宋体" w:hAnsi="宋体"/>
          <w:kern w:val="0"/>
          <w:sz w:val="24"/>
          <w:szCs w:val="22"/>
          <w:highlight w:val="none"/>
        </w:rPr>
      </w:pPr>
      <w:bookmarkStart w:id="359" w:name="_Toc29110"/>
      <w:r>
        <w:rPr>
          <w:rFonts w:hint="eastAsia" w:ascii="宋体" w:hAnsi="宋体" w:eastAsiaTheme="minorEastAsia" w:cstheme="minorBidi"/>
          <w:b/>
          <w:bCs/>
          <w:sz w:val="24"/>
          <w:szCs w:val="22"/>
          <w:highlight w:val="none"/>
        </w:rPr>
        <w:t>四、结果确认</w:t>
      </w:r>
      <w:bookmarkEnd w:id="359"/>
    </w:p>
    <w:p>
      <w:pPr>
        <w:spacing w:line="560" w:lineRule="exact"/>
        <w:ind w:firstLine="480" w:firstLineChars="200"/>
        <w:jc w:val="left"/>
        <w:rPr>
          <w:rFonts w:ascii="宋体" w:hAnsi="宋体"/>
          <w:sz w:val="24"/>
          <w:highlight w:val="none"/>
        </w:rPr>
      </w:pPr>
      <w:r>
        <w:rPr>
          <w:rFonts w:hint="eastAsia" w:ascii="宋体" w:hAnsi="宋体"/>
          <w:sz w:val="24"/>
          <w:highlight w:val="none"/>
        </w:rPr>
        <w:t>本项目按照</w:t>
      </w:r>
      <w:r>
        <w:rPr>
          <w:rFonts w:hint="eastAsia" w:ascii="宋体" w:hAnsi="宋体"/>
          <w:sz w:val="24"/>
          <w:highlight w:val="none"/>
          <w:u w:val="single"/>
        </w:rPr>
        <w:t>供应商须知资料表</w:t>
      </w:r>
      <w:r>
        <w:rPr>
          <w:rFonts w:hint="eastAsia" w:ascii="宋体" w:hAnsi="宋体"/>
          <w:sz w:val="24"/>
          <w:highlight w:val="none"/>
        </w:rPr>
        <w:t>由采购人委托谈判小组直接确定成交供应商。</w:t>
      </w:r>
    </w:p>
    <w:p>
      <w:pPr>
        <w:pStyle w:val="4"/>
        <w:spacing w:line="560" w:lineRule="exact"/>
        <w:ind w:left="720" w:hanging="720"/>
        <w:rPr>
          <w:rFonts w:ascii="宋体" w:hAnsi="宋体" w:eastAsia="宋体" w:cs="宋体"/>
          <w:szCs w:val="24"/>
          <w:highlight w:val="none"/>
        </w:rPr>
      </w:pPr>
      <w:r>
        <w:rPr>
          <w:rFonts w:hint="eastAsia" w:hAnsi="宋体" w:cs="宋体"/>
          <w:i/>
          <w:highlight w:val="none"/>
        </w:rPr>
        <w:br w:type="page"/>
      </w:r>
    </w:p>
    <w:bookmarkEnd w:id="329"/>
    <w:bookmarkEnd w:id="330"/>
    <w:bookmarkEnd w:id="331"/>
    <w:p>
      <w:pPr>
        <w:pStyle w:val="3"/>
        <w:spacing w:line="560" w:lineRule="exact"/>
        <w:rPr>
          <w:rFonts w:hAnsi="宋体" w:cs="宋体"/>
          <w:highlight w:val="none"/>
        </w:rPr>
      </w:pPr>
      <w:bookmarkStart w:id="360" w:name="_Toc19807"/>
      <w:bookmarkStart w:id="361" w:name="_Toc518923106"/>
      <w:bookmarkStart w:id="362" w:name="_Toc46235126"/>
      <w:bookmarkStart w:id="363" w:name="_Toc216582812"/>
      <w:r>
        <w:rPr>
          <w:rFonts w:hint="eastAsia" w:hAnsi="宋体" w:cs="宋体"/>
          <w:highlight w:val="none"/>
        </w:rPr>
        <w:t>第五章 响应文件格式</w:t>
      </w:r>
      <w:bookmarkEnd w:id="360"/>
      <w:bookmarkEnd w:id="361"/>
      <w:bookmarkEnd w:id="362"/>
      <w:bookmarkEnd w:id="363"/>
    </w:p>
    <w:p>
      <w:pPr>
        <w:spacing w:line="560" w:lineRule="exact"/>
        <w:rPr>
          <w:rFonts w:ascii="宋体" w:hAnsi="宋体" w:cs="宋体"/>
          <w:highlight w:val="none"/>
        </w:rPr>
      </w:pPr>
      <w:bookmarkStart w:id="364" w:name="_Toc46235128"/>
      <w:bookmarkStart w:id="365" w:name="_Toc518923108"/>
    </w:p>
    <w:p>
      <w:pPr>
        <w:pStyle w:val="4"/>
        <w:spacing w:line="560" w:lineRule="exact"/>
        <w:ind w:left="774" w:hanging="774" w:hangingChars="257"/>
        <w:rPr>
          <w:rFonts w:ascii="宋体" w:hAnsi="宋体" w:eastAsia="宋体" w:cs="宋体"/>
          <w:highlight w:val="none"/>
        </w:rPr>
      </w:pPr>
      <w:bookmarkStart w:id="366" w:name="_Toc11559"/>
      <w:r>
        <w:rPr>
          <w:rFonts w:hint="eastAsia" w:ascii="宋体" w:hAnsi="宋体" w:eastAsia="宋体" w:cs="宋体"/>
          <w:highlight w:val="none"/>
        </w:rPr>
        <w:t>一、报价一览表</w:t>
      </w:r>
      <w:bookmarkEnd w:id="364"/>
      <w:bookmarkEnd w:id="365"/>
      <w:r>
        <w:rPr>
          <w:rFonts w:hint="eastAsia" w:ascii="宋体" w:hAnsi="宋体" w:eastAsia="宋体" w:cs="宋体"/>
          <w:highlight w:val="none"/>
        </w:rPr>
        <w:t>（样表）</w:t>
      </w:r>
      <w:bookmarkEnd w:id="366"/>
    </w:p>
    <w:p>
      <w:pPr>
        <w:tabs>
          <w:tab w:val="left" w:pos="5580"/>
        </w:tabs>
        <w:spacing w:line="560" w:lineRule="exact"/>
        <w:ind w:left="269" w:leftChars="128"/>
        <w:rPr>
          <w:rFonts w:ascii="宋体" w:hAnsi="宋体" w:cs="宋体"/>
          <w:sz w:val="24"/>
          <w:szCs w:val="20"/>
          <w:highlight w:val="none"/>
        </w:rPr>
      </w:pPr>
    </w:p>
    <w:p>
      <w:pPr>
        <w:pStyle w:val="5"/>
        <w:spacing w:line="560" w:lineRule="exact"/>
        <w:rPr>
          <w:rFonts w:hAnsi="宋体" w:cs="宋体"/>
          <w:highlight w:val="none"/>
        </w:rPr>
      </w:pPr>
      <w:bookmarkStart w:id="367" w:name="_Hlt520356241"/>
      <w:bookmarkEnd w:id="367"/>
      <w:bookmarkStart w:id="368" w:name="_Toc62193452"/>
      <w:bookmarkStart w:id="369" w:name="_Toc46235129"/>
      <w:bookmarkStart w:id="370" w:name="_Toc494296984"/>
      <w:bookmarkStart w:id="371" w:name="_Toc10421"/>
      <w:bookmarkStart w:id="372" w:name="_Ref467988698"/>
      <w:bookmarkStart w:id="373" w:name="_Toc480942349"/>
      <w:bookmarkStart w:id="374" w:name="_Toc216582813"/>
      <w:bookmarkStart w:id="375" w:name="_Toc520356217"/>
      <w:r>
        <w:rPr>
          <w:rFonts w:hint="eastAsia" w:hAnsi="宋体" w:cs="宋体"/>
          <w:highlight w:val="none"/>
          <w:u w:val="none"/>
        </w:rPr>
        <w:t>1.报价一览表</w:t>
      </w:r>
      <w:bookmarkEnd w:id="368"/>
      <w:bookmarkEnd w:id="369"/>
      <w:bookmarkEnd w:id="370"/>
      <w:r>
        <w:rPr>
          <w:rFonts w:hint="eastAsia" w:hAnsi="宋体" w:cs="宋体"/>
          <w:highlight w:val="none"/>
        </w:rPr>
        <w:cr/>
      </w:r>
      <w:r>
        <w:rPr>
          <w:rFonts w:hAnsi="宋体" w:cs="宋体"/>
          <w:highlight w:val="none"/>
          <w:u w:val="none"/>
        </w:rPr>
        <w:t>报价单位：</w:t>
      </w:r>
      <w:bookmarkEnd w:id="371"/>
    </w:p>
    <w:tbl>
      <w:tblPr>
        <w:tblStyle w:val="23"/>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09"/>
        <w:gridCol w:w="5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20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highlight w:val="none"/>
              </w:rPr>
            </w:pPr>
            <w:r>
              <w:rPr>
                <w:rFonts w:hint="eastAsia" w:ascii="宋体" w:hAnsi="宋体" w:cs="宋体"/>
                <w:sz w:val="24"/>
                <w:highlight w:val="none"/>
              </w:rPr>
              <w:t>项目编号</w:t>
            </w:r>
          </w:p>
        </w:tc>
        <w:tc>
          <w:tcPr>
            <w:tcW w:w="5719" w:type="dxa"/>
            <w:tcBorders>
              <w:top w:val="single" w:color="auto" w:sz="4" w:space="0"/>
              <w:left w:val="nil"/>
              <w:bottom w:val="single" w:color="auto" w:sz="4" w:space="0"/>
              <w:right w:val="single" w:color="auto" w:sz="4" w:space="0"/>
            </w:tcBorders>
            <w:vAlign w:val="center"/>
          </w:tcPr>
          <w:p>
            <w:pPr>
              <w:pStyle w:val="21"/>
              <w:spacing w:line="560" w:lineRule="exact"/>
              <w:jc w:val="cente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20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highlight w:val="none"/>
              </w:rPr>
            </w:pPr>
            <w:r>
              <w:rPr>
                <w:rFonts w:hint="eastAsia" w:ascii="宋体" w:hAnsi="宋体" w:cs="宋体"/>
                <w:sz w:val="24"/>
                <w:highlight w:val="none"/>
              </w:rPr>
              <w:t>项目名称</w:t>
            </w:r>
          </w:p>
        </w:tc>
        <w:tc>
          <w:tcPr>
            <w:tcW w:w="5719" w:type="dxa"/>
            <w:tcBorders>
              <w:top w:val="single" w:color="auto" w:sz="4" w:space="0"/>
              <w:left w:val="nil"/>
              <w:bottom w:val="single" w:color="auto" w:sz="4" w:space="0"/>
              <w:right w:val="single" w:color="auto" w:sz="4" w:space="0"/>
            </w:tcBorders>
            <w:vAlign w:val="center"/>
          </w:tcPr>
          <w:p>
            <w:pPr>
              <w:spacing w:line="560" w:lineRule="exact"/>
              <w:jc w:val="cente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20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highlight w:val="none"/>
              </w:rPr>
            </w:pPr>
            <w:r>
              <w:rPr>
                <w:rFonts w:hint="eastAsia" w:ascii="宋体" w:hAnsi="宋体" w:cs="宋体"/>
                <w:sz w:val="24"/>
                <w:highlight w:val="none"/>
              </w:rPr>
              <w:t>供应商名称</w:t>
            </w:r>
          </w:p>
        </w:tc>
        <w:tc>
          <w:tcPr>
            <w:tcW w:w="5719" w:type="dxa"/>
            <w:tcBorders>
              <w:top w:val="single" w:color="auto" w:sz="4" w:space="0"/>
              <w:left w:val="nil"/>
              <w:bottom w:val="single" w:color="auto" w:sz="4" w:space="0"/>
              <w:right w:val="single" w:color="auto" w:sz="4" w:space="0"/>
            </w:tcBorders>
            <w:vAlign w:val="center"/>
          </w:tcPr>
          <w:p>
            <w:pPr>
              <w:widowControl/>
              <w:spacing w:line="560" w:lineRule="exact"/>
              <w:jc w:val="cente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trPr>
        <w:tc>
          <w:tcPr>
            <w:tcW w:w="320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highlight w:val="none"/>
              </w:rPr>
            </w:pPr>
            <w:r>
              <w:rPr>
                <w:rFonts w:hint="eastAsia" w:ascii="宋体" w:hAnsi="宋体" w:cs="宋体"/>
                <w:sz w:val="24"/>
                <w:highlight w:val="none"/>
              </w:rPr>
              <w:t>报价</w:t>
            </w:r>
          </w:p>
        </w:tc>
        <w:tc>
          <w:tcPr>
            <w:tcW w:w="5719" w:type="dxa"/>
            <w:tcBorders>
              <w:top w:val="single" w:color="auto" w:sz="4" w:space="0"/>
              <w:left w:val="nil"/>
              <w:bottom w:val="single" w:color="auto" w:sz="4" w:space="0"/>
              <w:right w:val="single" w:color="auto" w:sz="4" w:space="0"/>
            </w:tcBorders>
            <w:vAlign w:val="center"/>
          </w:tcPr>
          <w:p>
            <w:pPr>
              <w:pStyle w:val="21"/>
              <w:spacing w:line="560" w:lineRule="exact"/>
              <w:ind w:firstLine="1080" w:firstLineChars="450"/>
              <w:rPr>
                <w:rFonts w:ascii="宋体" w:hAnsi="宋体" w:cs="宋体"/>
                <w:sz w:val="24"/>
                <w:highlight w:val="none"/>
              </w:rPr>
            </w:pPr>
            <w:r>
              <w:rPr>
                <w:rFonts w:hint="eastAsia" w:ascii="宋体" w:hAnsi="宋体" w:cs="宋体"/>
                <w:sz w:val="24"/>
                <w:highlight w:val="none"/>
              </w:rPr>
              <w:t>大写：</w:t>
            </w:r>
            <w:r>
              <w:rPr>
                <w:rFonts w:ascii="宋体" w:hAnsi="宋体" w:cs="宋体"/>
                <w:sz w:val="24"/>
                <w:highlight w:val="none"/>
              </w:rPr>
              <w:t xml:space="preserve"> </w:t>
            </w:r>
          </w:p>
          <w:p>
            <w:pPr>
              <w:pStyle w:val="21"/>
              <w:spacing w:line="560" w:lineRule="exact"/>
              <w:ind w:firstLine="1080" w:firstLineChars="450"/>
              <w:rPr>
                <w:rFonts w:ascii="宋体" w:hAnsi="宋体" w:cs="宋体"/>
                <w:sz w:val="24"/>
                <w:highlight w:val="none"/>
              </w:rPr>
            </w:pPr>
            <w:r>
              <w:rPr>
                <w:rFonts w:hint="eastAsia" w:ascii="宋体" w:hAnsi="宋体" w:cs="宋体"/>
                <w:sz w:val="24"/>
                <w:highlight w:val="none"/>
              </w:rPr>
              <w:t>小写：</w:t>
            </w:r>
            <w:r>
              <w:rPr>
                <w:rFonts w:ascii="宋体" w:hAnsi="宋体" w:cs="宋体"/>
                <w:sz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320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highlight w:val="none"/>
              </w:rPr>
            </w:pPr>
            <w:r>
              <w:rPr>
                <w:rFonts w:hint="eastAsia" w:ascii="宋体" w:hAnsi="宋体" w:cs="宋体"/>
                <w:sz w:val="24"/>
                <w:highlight w:val="none"/>
              </w:rPr>
              <w:t>供货期</w:t>
            </w:r>
          </w:p>
        </w:tc>
        <w:tc>
          <w:tcPr>
            <w:tcW w:w="5719" w:type="dxa"/>
            <w:tcBorders>
              <w:top w:val="single" w:color="auto" w:sz="4" w:space="0"/>
              <w:left w:val="nil"/>
              <w:bottom w:val="single" w:color="auto" w:sz="4" w:space="0"/>
              <w:right w:val="single" w:color="auto" w:sz="4" w:space="0"/>
            </w:tcBorders>
            <w:vAlign w:val="center"/>
          </w:tcPr>
          <w:p>
            <w:pPr>
              <w:spacing w:line="560" w:lineRule="exact"/>
              <w:jc w:val="center"/>
              <w:rPr>
                <w:rFonts w:ascii="宋体" w:hAnsi="宋体" w:cs="宋体"/>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3209" w:type="dxa"/>
            <w:tcBorders>
              <w:top w:val="single" w:color="auto" w:sz="4" w:space="0"/>
              <w:left w:val="single" w:color="auto" w:sz="4" w:space="0"/>
              <w:bottom w:val="single" w:color="auto" w:sz="4" w:space="0"/>
              <w:right w:val="single" w:color="auto" w:sz="4" w:space="0"/>
            </w:tcBorders>
            <w:vAlign w:val="center"/>
          </w:tcPr>
          <w:p>
            <w:pPr>
              <w:spacing w:line="560" w:lineRule="exact"/>
              <w:jc w:val="center"/>
              <w:rPr>
                <w:rFonts w:ascii="宋体" w:hAnsi="宋体" w:cs="宋体"/>
                <w:sz w:val="24"/>
                <w:highlight w:val="none"/>
              </w:rPr>
            </w:pPr>
            <w:r>
              <w:rPr>
                <w:rFonts w:hint="eastAsia" w:ascii="宋体" w:hAnsi="宋体" w:cs="宋体"/>
                <w:sz w:val="24"/>
                <w:highlight w:val="none"/>
              </w:rPr>
              <w:t>备注</w:t>
            </w:r>
          </w:p>
        </w:tc>
        <w:tc>
          <w:tcPr>
            <w:tcW w:w="5719" w:type="dxa"/>
            <w:tcBorders>
              <w:top w:val="single" w:color="auto" w:sz="4" w:space="0"/>
              <w:left w:val="nil"/>
              <w:bottom w:val="single" w:color="auto" w:sz="4" w:space="0"/>
              <w:right w:val="single" w:color="auto" w:sz="4" w:space="0"/>
            </w:tcBorders>
            <w:vAlign w:val="center"/>
          </w:tcPr>
          <w:p>
            <w:pPr>
              <w:spacing w:line="560" w:lineRule="exact"/>
              <w:jc w:val="center"/>
              <w:rPr>
                <w:rFonts w:ascii="宋体" w:hAnsi="宋体" w:cs="宋体"/>
                <w:sz w:val="24"/>
                <w:highlight w:val="none"/>
              </w:rPr>
            </w:pPr>
          </w:p>
        </w:tc>
      </w:tr>
    </w:tbl>
    <w:p>
      <w:pPr>
        <w:pStyle w:val="12"/>
        <w:tabs>
          <w:tab w:val="left" w:pos="5580"/>
        </w:tabs>
        <w:spacing w:line="560" w:lineRule="exact"/>
        <w:rPr>
          <w:rFonts w:hAnsi="宋体"/>
          <w:sz w:val="24"/>
          <w:highlight w:val="none"/>
        </w:rPr>
      </w:pPr>
      <w:r>
        <w:rPr>
          <w:rFonts w:hint="eastAsia" w:hAnsi="宋体"/>
          <w:sz w:val="24"/>
          <w:highlight w:val="none"/>
        </w:rPr>
        <w:t>供应商名称（公章）：</w:t>
      </w:r>
      <w:r>
        <w:rPr>
          <w:rFonts w:hAnsi="宋体"/>
          <w:sz w:val="24"/>
          <w:highlight w:val="none"/>
          <w:u w:val="single"/>
        </w:rPr>
        <w:tab/>
      </w:r>
      <w:r>
        <w:rPr>
          <w:rFonts w:hint="eastAsia" w:hAnsi="宋体"/>
          <w:sz w:val="24"/>
          <w:highlight w:val="none"/>
          <w:u w:val="single"/>
        </w:rPr>
        <w:t xml:space="preserve">  </w:t>
      </w:r>
      <w:r>
        <w:rPr>
          <w:rFonts w:hAnsi="宋体"/>
          <w:sz w:val="24"/>
          <w:highlight w:val="none"/>
          <w:u w:val="single"/>
        </w:rPr>
        <w:tab/>
      </w:r>
      <w:r>
        <w:rPr>
          <w:rFonts w:hint="eastAsia" w:hAnsi="宋体"/>
          <w:sz w:val="24"/>
          <w:highlight w:val="none"/>
          <w:u w:val="single"/>
        </w:rPr>
        <w:t xml:space="preserve"> </w:t>
      </w:r>
      <w:r>
        <w:rPr>
          <w:rFonts w:hAnsi="宋体"/>
          <w:sz w:val="24"/>
          <w:highlight w:val="none"/>
          <w:u w:val="single"/>
        </w:rPr>
        <w:tab/>
      </w:r>
      <w:r>
        <w:rPr>
          <w:rFonts w:hint="eastAsia" w:hAnsi="宋体"/>
          <w:sz w:val="24"/>
          <w:highlight w:val="none"/>
          <w:u w:val="single"/>
        </w:rPr>
        <w:t xml:space="preserve"> </w:t>
      </w:r>
      <w:r>
        <w:rPr>
          <w:rFonts w:hAnsi="宋体"/>
          <w:sz w:val="24"/>
          <w:highlight w:val="none"/>
          <w:u w:val="single"/>
        </w:rPr>
        <w:tab/>
      </w:r>
      <w:r>
        <w:rPr>
          <w:rFonts w:hint="eastAsia" w:hAnsi="宋体"/>
          <w:sz w:val="24"/>
          <w:highlight w:val="none"/>
          <w:u w:val="single"/>
        </w:rPr>
        <w:t xml:space="preserve"> </w:t>
      </w:r>
      <w:r>
        <w:rPr>
          <w:rFonts w:hAnsi="宋体"/>
          <w:sz w:val="24"/>
          <w:highlight w:val="none"/>
          <w:u w:val="single"/>
        </w:rPr>
        <w:tab/>
      </w:r>
      <w:r>
        <w:rPr>
          <w:rFonts w:hint="eastAsia" w:hAnsi="宋体"/>
          <w:sz w:val="24"/>
          <w:highlight w:val="none"/>
          <w:u w:val="single"/>
        </w:rPr>
        <w:t xml:space="preserve"> </w:t>
      </w:r>
      <w:r>
        <w:rPr>
          <w:rFonts w:hAnsi="宋体"/>
          <w:sz w:val="24"/>
          <w:highlight w:val="none"/>
          <w:u w:val="single"/>
        </w:rPr>
        <w:tab/>
      </w:r>
      <w:r>
        <w:rPr>
          <w:rFonts w:hint="eastAsia" w:hAnsi="宋体"/>
          <w:sz w:val="24"/>
          <w:highlight w:val="none"/>
          <w:u w:val="single"/>
        </w:rPr>
        <w:t xml:space="preserve"> </w:t>
      </w:r>
      <w:r>
        <w:rPr>
          <w:rFonts w:hAnsi="宋体"/>
          <w:sz w:val="24"/>
          <w:highlight w:val="none"/>
          <w:u w:val="single"/>
        </w:rPr>
        <w:tab/>
      </w:r>
      <w:r>
        <w:rPr>
          <w:rFonts w:hint="eastAsia" w:hAnsi="宋体"/>
          <w:sz w:val="24"/>
          <w:highlight w:val="none"/>
          <w:u w:val="single"/>
        </w:rPr>
        <w:t xml:space="preserve"> </w:t>
      </w:r>
    </w:p>
    <w:p>
      <w:pPr>
        <w:pStyle w:val="12"/>
        <w:tabs>
          <w:tab w:val="left" w:pos="5580"/>
        </w:tabs>
        <w:spacing w:line="560" w:lineRule="exact"/>
        <w:rPr>
          <w:rFonts w:hAnsi="宋体"/>
          <w:sz w:val="24"/>
          <w:highlight w:val="none"/>
        </w:rPr>
      </w:pPr>
      <w:r>
        <w:rPr>
          <w:rFonts w:hint="eastAsia" w:hAnsi="宋体"/>
          <w:sz w:val="24"/>
          <w:highlight w:val="none"/>
        </w:rPr>
        <w:t>法定代表人（</w:t>
      </w:r>
      <w:r>
        <w:rPr>
          <w:rFonts w:hint="eastAsia" w:hAnsi="宋体" w:cs="宋体"/>
          <w:sz w:val="24"/>
          <w:highlight w:val="none"/>
        </w:rPr>
        <w:t>非法人组织的负责人</w:t>
      </w:r>
      <w:r>
        <w:rPr>
          <w:rFonts w:hint="eastAsia" w:hAnsi="宋体"/>
          <w:sz w:val="24"/>
          <w:highlight w:val="none"/>
        </w:rPr>
        <w:t>）或其授权代表（签章）：</w:t>
      </w:r>
      <w:r>
        <w:rPr>
          <w:rFonts w:hAnsi="宋体"/>
          <w:sz w:val="24"/>
          <w:highlight w:val="none"/>
          <w:u w:val="single"/>
        </w:rPr>
        <w:tab/>
      </w:r>
      <w:r>
        <w:rPr>
          <w:rFonts w:hint="eastAsia" w:hAnsi="宋体"/>
          <w:sz w:val="24"/>
          <w:highlight w:val="none"/>
          <w:u w:val="single"/>
        </w:rPr>
        <w:t xml:space="preserve">    </w:t>
      </w:r>
    </w:p>
    <w:p>
      <w:pPr>
        <w:pStyle w:val="12"/>
        <w:tabs>
          <w:tab w:val="left" w:pos="5580"/>
        </w:tabs>
        <w:spacing w:line="560" w:lineRule="exact"/>
        <w:rPr>
          <w:rFonts w:hAnsi="宋体"/>
          <w:sz w:val="24"/>
          <w:highlight w:val="none"/>
        </w:rPr>
      </w:pPr>
      <w:r>
        <w:rPr>
          <w:rFonts w:hint="eastAsia" w:hAnsi="宋体"/>
          <w:sz w:val="24"/>
          <w:highlight w:val="none"/>
        </w:rPr>
        <w:t>日    期：      年   月   日</w:t>
      </w:r>
    </w:p>
    <w:p>
      <w:pPr>
        <w:tabs>
          <w:tab w:val="left" w:pos="567"/>
          <w:tab w:val="left" w:pos="1146"/>
          <w:tab w:val="left" w:pos="1719"/>
          <w:tab w:val="left" w:pos="2483"/>
        </w:tabs>
        <w:spacing w:before="120" w:line="560" w:lineRule="exact"/>
        <w:ind w:left="377" w:leftChars="46" w:hanging="280" w:hangingChars="117"/>
        <w:rPr>
          <w:rFonts w:ascii="宋体" w:hAnsi="宋体" w:cs="宋体"/>
          <w:sz w:val="24"/>
          <w:szCs w:val="21"/>
          <w:highlight w:val="none"/>
        </w:rPr>
      </w:pPr>
    </w:p>
    <w:p>
      <w:pPr>
        <w:tabs>
          <w:tab w:val="left" w:pos="567"/>
          <w:tab w:val="left" w:pos="1146"/>
          <w:tab w:val="left" w:pos="1719"/>
          <w:tab w:val="left" w:pos="2483"/>
        </w:tabs>
        <w:spacing w:before="120" w:line="560" w:lineRule="exact"/>
        <w:ind w:left="377" w:leftChars="46" w:hanging="280" w:hangingChars="117"/>
        <w:rPr>
          <w:rFonts w:ascii="宋体" w:hAnsi="宋体" w:cs="宋体"/>
          <w:sz w:val="24"/>
          <w:szCs w:val="21"/>
          <w:highlight w:val="none"/>
        </w:rPr>
      </w:pPr>
    </w:p>
    <w:p>
      <w:pPr>
        <w:spacing w:line="560" w:lineRule="exact"/>
        <w:rPr>
          <w:rFonts w:ascii="宋体" w:hAnsi="宋体" w:cs="宋体"/>
          <w:highlight w:val="none"/>
        </w:rPr>
      </w:pPr>
      <w:bookmarkStart w:id="376" w:name="_Toc46235130"/>
      <w:bookmarkStart w:id="377" w:name="_Toc45562505"/>
      <w:r>
        <w:rPr>
          <w:rFonts w:hint="eastAsia" w:ascii="宋体" w:hAnsi="宋体" w:cs="宋体"/>
          <w:highlight w:val="none"/>
        </w:rPr>
        <w:br w:type="page"/>
      </w:r>
    </w:p>
    <w:p>
      <w:pPr>
        <w:pStyle w:val="4"/>
        <w:spacing w:line="560" w:lineRule="exact"/>
        <w:ind w:left="774" w:hanging="774" w:hangingChars="257"/>
        <w:rPr>
          <w:rFonts w:ascii="宋体" w:hAnsi="宋体" w:eastAsia="宋体" w:cs="宋体"/>
          <w:sz w:val="24"/>
          <w:highlight w:val="none"/>
        </w:rPr>
      </w:pPr>
      <w:bookmarkStart w:id="378" w:name="_Toc19400"/>
      <w:bookmarkStart w:id="379" w:name="_Toc14620"/>
      <w:r>
        <w:rPr>
          <w:rFonts w:hint="eastAsia" w:ascii="宋体" w:hAnsi="宋体" w:eastAsia="宋体" w:cs="宋体"/>
          <w:highlight w:val="none"/>
        </w:rPr>
        <w:t>二、资格证明文件</w:t>
      </w:r>
      <w:bookmarkEnd w:id="376"/>
      <w:bookmarkEnd w:id="377"/>
      <w:bookmarkEnd w:id="378"/>
      <w:bookmarkEnd w:id="379"/>
    </w:p>
    <w:p>
      <w:pPr>
        <w:pStyle w:val="5"/>
        <w:spacing w:line="560" w:lineRule="exact"/>
        <w:rPr>
          <w:rFonts w:hAnsi="宋体" w:cs="宋体"/>
          <w:highlight w:val="none"/>
          <w:u w:val="none"/>
        </w:rPr>
      </w:pPr>
      <w:bookmarkStart w:id="380" w:name="_Toc11789"/>
      <w:bookmarkStart w:id="381" w:name="_Toc46235131"/>
      <w:bookmarkStart w:id="382" w:name="_Toc12829"/>
      <w:bookmarkStart w:id="383" w:name="_Toc518923109"/>
      <w:r>
        <w:rPr>
          <w:rFonts w:hint="eastAsia" w:hAnsi="宋体" w:cs="宋体"/>
          <w:highlight w:val="none"/>
          <w:u w:val="none"/>
        </w:rPr>
        <w:t>2.</w:t>
      </w:r>
      <w:bookmarkEnd w:id="380"/>
      <w:bookmarkEnd w:id="381"/>
      <w:bookmarkEnd w:id="382"/>
      <w:bookmarkEnd w:id="383"/>
      <w:r>
        <w:rPr>
          <w:rFonts w:hint="eastAsia" w:hAnsi="宋体" w:cs="宋体"/>
          <w:highlight w:val="none"/>
          <w:u w:val="none"/>
        </w:rPr>
        <w:t>各供应商须提供一下材料原件扫描件用于资格审查：</w:t>
      </w:r>
    </w:p>
    <w:p>
      <w:pPr>
        <w:tabs>
          <w:tab w:val="left" w:pos="5580"/>
        </w:tabs>
        <w:spacing w:line="560" w:lineRule="exact"/>
        <w:rPr>
          <w:rFonts w:ascii="宋体" w:hAnsi="宋体" w:cs="宋体"/>
          <w:b/>
          <w:sz w:val="24"/>
          <w:szCs w:val="20"/>
          <w:highlight w:val="none"/>
        </w:rPr>
      </w:pPr>
    </w:p>
    <w:p>
      <w:pPr>
        <w:spacing w:line="560" w:lineRule="exact"/>
        <w:rPr>
          <w:rFonts w:ascii="宋体" w:hAnsi="宋体" w:cs="宋体"/>
          <w:sz w:val="24"/>
          <w:highlight w:val="none"/>
        </w:rPr>
      </w:pPr>
      <w:r>
        <w:rPr>
          <w:rFonts w:hint="eastAsia" w:ascii="宋体" w:hAnsi="宋体" w:cs="宋体"/>
          <w:sz w:val="24"/>
          <w:highlight w:val="none"/>
        </w:rPr>
        <w:t>（1）加载有统一社会信用代码的《营业执照》或其他组织有效证件原件扫描件；</w:t>
      </w:r>
    </w:p>
    <w:p>
      <w:pPr>
        <w:spacing w:line="560" w:lineRule="exact"/>
        <w:rPr>
          <w:rFonts w:ascii="宋体" w:hAnsi="宋体" w:cs="宋体"/>
          <w:sz w:val="24"/>
          <w:highlight w:val="none"/>
        </w:rPr>
      </w:pPr>
      <w:r>
        <w:rPr>
          <w:rFonts w:hint="eastAsia" w:ascii="宋体" w:hAnsi="宋体" w:cs="宋体"/>
          <w:sz w:val="24"/>
          <w:highlight w:val="none"/>
        </w:rPr>
        <w:t>（2）法定代表人（非法人组织的负责人）身份证明书或法定代表人（非法人组织的负责人）授权书；</w:t>
      </w:r>
    </w:p>
    <w:p>
      <w:pPr>
        <w:spacing w:line="560" w:lineRule="exact"/>
        <w:rPr>
          <w:rFonts w:ascii="宋体" w:hAnsi="宋体" w:cs="宋体"/>
          <w:sz w:val="24"/>
          <w:highlight w:val="none"/>
        </w:rPr>
      </w:pPr>
      <w:r>
        <w:rPr>
          <w:rFonts w:hint="eastAsia" w:ascii="宋体" w:hAnsi="宋体" w:cs="宋体"/>
          <w:sz w:val="24"/>
          <w:highlight w:val="none"/>
        </w:rPr>
        <w:t>（3）法定代表人（非法人组织的负责人）或其授权代表的身份证扫描件；</w:t>
      </w:r>
    </w:p>
    <w:p>
      <w:pPr>
        <w:spacing w:line="560" w:lineRule="exact"/>
        <w:rPr>
          <w:rFonts w:ascii="宋体" w:hAnsi="宋体" w:cs="宋体"/>
          <w:sz w:val="24"/>
          <w:highlight w:val="none"/>
        </w:rPr>
      </w:pPr>
      <w:r>
        <w:rPr>
          <w:rFonts w:hint="eastAsia" w:ascii="宋体" w:hAnsi="宋体" w:cs="宋体"/>
          <w:sz w:val="24"/>
          <w:highlight w:val="none"/>
        </w:rPr>
        <w:t>（4）政府采购供应商信用承诺书；</w:t>
      </w:r>
    </w:p>
    <w:p>
      <w:pPr>
        <w:tabs>
          <w:tab w:val="left" w:pos="5580"/>
        </w:tabs>
        <w:spacing w:line="560" w:lineRule="exact"/>
        <w:ind w:left="1080" w:leftChars="257" w:hanging="540"/>
        <w:jc w:val="center"/>
        <w:rPr>
          <w:rFonts w:ascii="宋体" w:hAnsi="宋体" w:cs="宋体"/>
          <w:sz w:val="24"/>
          <w:szCs w:val="20"/>
          <w:highlight w:val="none"/>
        </w:rPr>
      </w:pPr>
      <w:r>
        <w:rPr>
          <w:rFonts w:hint="eastAsia" w:ascii="宋体" w:hAnsi="宋体" w:cs="宋体"/>
          <w:sz w:val="24"/>
          <w:szCs w:val="20"/>
          <w:highlight w:val="none"/>
        </w:rPr>
        <w:br w:type="page"/>
      </w:r>
    </w:p>
    <w:p>
      <w:pPr>
        <w:pStyle w:val="5"/>
        <w:spacing w:line="560" w:lineRule="exact"/>
        <w:rPr>
          <w:highlight w:val="none"/>
          <w:u w:val="none"/>
        </w:rPr>
      </w:pPr>
      <w:bookmarkStart w:id="384" w:name="_Toc62193455"/>
      <w:bookmarkStart w:id="385" w:name="_Toc2583670"/>
      <w:bookmarkStart w:id="386" w:name="_Toc16053"/>
      <w:bookmarkStart w:id="387" w:name="_Toc46235132"/>
      <w:bookmarkStart w:id="388" w:name="_Toc518923110"/>
      <w:r>
        <w:rPr>
          <w:rFonts w:hint="eastAsia"/>
          <w:highlight w:val="none"/>
          <w:u w:val="none"/>
        </w:rPr>
        <w:t>3.法定代表人</w:t>
      </w:r>
      <w:r>
        <w:rPr>
          <w:rFonts w:hint="eastAsia" w:hAnsi="宋体"/>
          <w:highlight w:val="none"/>
        </w:rPr>
        <w:t>（</w:t>
      </w:r>
      <w:r>
        <w:rPr>
          <w:rFonts w:hint="eastAsia" w:hAnsi="宋体" w:cs="宋体"/>
          <w:highlight w:val="none"/>
        </w:rPr>
        <w:t>非法人组织的负责人</w:t>
      </w:r>
      <w:r>
        <w:rPr>
          <w:rFonts w:hint="eastAsia" w:hAnsi="宋体"/>
          <w:highlight w:val="none"/>
        </w:rPr>
        <w:t>）</w:t>
      </w:r>
      <w:r>
        <w:rPr>
          <w:rFonts w:hint="eastAsia"/>
          <w:highlight w:val="none"/>
          <w:u w:val="none"/>
        </w:rPr>
        <w:t>身份证明书</w:t>
      </w:r>
      <w:bookmarkEnd w:id="384"/>
      <w:bookmarkEnd w:id="385"/>
      <w:bookmarkEnd w:id="386"/>
      <w:bookmarkEnd w:id="387"/>
    </w:p>
    <w:p>
      <w:pPr>
        <w:pStyle w:val="8"/>
        <w:spacing w:line="560" w:lineRule="exact"/>
        <w:rPr>
          <w:highlight w:val="none"/>
        </w:rPr>
      </w:pPr>
    </w:p>
    <w:p>
      <w:pPr>
        <w:pStyle w:val="8"/>
        <w:spacing w:line="560" w:lineRule="exact"/>
        <w:ind w:firstLine="0"/>
        <w:jc w:val="center"/>
        <w:rPr>
          <w:b/>
          <w:sz w:val="30"/>
          <w:szCs w:val="30"/>
          <w:highlight w:val="none"/>
        </w:rPr>
      </w:pPr>
      <w:bookmarkStart w:id="389" w:name="_Toc46235133"/>
      <w:r>
        <w:rPr>
          <w:rFonts w:hint="eastAsia"/>
          <w:b/>
          <w:sz w:val="30"/>
          <w:szCs w:val="30"/>
          <w:highlight w:val="none"/>
        </w:rPr>
        <w:t>法定代表人（非法人组织的负责人）身份证明书</w:t>
      </w:r>
    </w:p>
    <w:p>
      <w:pPr>
        <w:pStyle w:val="8"/>
        <w:spacing w:line="560" w:lineRule="exact"/>
        <w:ind w:firstLine="0"/>
        <w:jc w:val="center"/>
        <w:rPr>
          <w:bCs/>
          <w:szCs w:val="24"/>
          <w:highlight w:val="none"/>
        </w:rPr>
      </w:pPr>
      <w:r>
        <w:rPr>
          <w:rFonts w:hint="eastAsia"/>
          <w:bCs/>
          <w:szCs w:val="24"/>
          <w:highlight w:val="none"/>
        </w:rPr>
        <w:t>【注：自然人响应的无需提供】</w:t>
      </w:r>
    </w:p>
    <w:p>
      <w:pPr>
        <w:tabs>
          <w:tab w:val="left" w:pos="5580"/>
        </w:tabs>
        <w:spacing w:line="560" w:lineRule="exact"/>
        <w:ind w:left="1100" w:leftChars="-29" w:hanging="1161"/>
        <w:rPr>
          <w:rFonts w:ascii="宋体" w:hAnsi="宋体" w:cs="宋体"/>
          <w:sz w:val="24"/>
          <w:highlight w:val="none"/>
        </w:rPr>
      </w:pPr>
      <w:r>
        <w:rPr>
          <w:rFonts w:hint="eastAsia" w:ascii="宋体" w:hAnsi="宋体" w:cs="宋体"/>
          <w:sz w:val="24"/>
          <w:highlight w:val="none"/>
        </w:rPr>
        <w:t>致：</w:t>
      </w:r>
      <w:r>
        <w:rPr>
          <w:rFonts w:hint="eastAsia" w:ascii="宋体" w:hAnsi="宋体" w:cs="宋体"/>
          <w:sz w:val="24"/>
          <w:highlight w:val="none"/>
          <w:u w:val="single"/>
        </w:rPr>
        <w:t>（采购人单位名称） </w:t>
      </w:r>
    </w:p>
    <w:p>
      <w:pPr>
        <w:snapToGrid w:val="0"/>
        <w:spacing w:line="560" w:lineRule="exact"/>
        <w:ind w:firstLine="480" w:firstLineChars="200"/>
        <w:rPr>
          <w:rFonts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p>
    <w:p>
      <w:pPr>
        <w:snapToGrid w:val="0"/>
        <w:spacing w:line="560" w:lineRule="exact"/>
        <w:ind w:firstLine="480" w:firstLineChars="200"/>
        <w:rPr>
          <w:rFonts w:ascii="宋体" w:hAnsi="宋体" w:cs="宋体"/>
          <w:sz w:val="24"/>
          <w:highlight w:val="none"/>
        </w:rPr>
      </w:pPr>
      <w:r>
        <w:rPr>
          <w:rFonts w:hint="eastAsia" w:ascii="宋体" w:hAnsi="宋体" w:cs="宋体"/>
          <w:sz w:val="24"/>
          <w:highlight w:val="none"/>
        </w:rPr>
        <w:t>单位性质：</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pPr>
        <w:snapToGrid w:val="0"/>
        <w:spacing w:line="560" w:lineRule="exact"/>
        <w:ind w:firstLine="480" w:firstLineChars="200"/>
        <w:rPr>
          <w:rFonts w:ascii="宋体" w:hAnsi="宋体" w:cs="宋体"/>
          <w:sz w:val="24"/>
          <w:highlight w:val="none"/>
        </w:rPr>
      </w:pPr>
      <w:r>
        <w:rPr>
          <w:rFonts w:hint="eastAsia" w:ascii="宋体" w:hAnsi="宋体" w:cs="宋体"/>
          <w:sz w:val="24"/>
          <w:highlight w:val="none"/>
        </w:rPr>
        <w:t>地址：</w:t>
      </w:r>
      <w:r>
        <w:rPr>
          <w:rFonts w:hint="eastAsia" w:ascii="宋体" w:hAnsi="宋体" w:cs="宋体"/>
          <w:sz w:val="24"/>
          <w:highlight w:val="none"/>
          <w:u w:val="single"/>
        </w:rPr>
        <w:t xml:space="preserve">                                      </w:t>
      </w:r>
      <w:r>
        <w:rPr>
          <w:rFonts w:hint="eastAsia" w:ascii="宋体" w:hAnsi="宋体" w:cs="宋体"/>
          <w:sz w:val="24"/>
          <w:highlight w:val="none"/>
        </w:rPr>
        <w:t xml:space="preserve"> </w:t>
      </w:r>
    </w:p>
    <w:p>
      <w:pPr>
        <w:snapToGrid w:val="0"/>
        <w:spacing w:line="560" w:lineRule="exact"/>
        <w:ind w:firstLine="480" w:firstLineChars="200"/>
        <w:rPr>
          <w:rFonts w:ascii="宋体" w:hAnsi="宋体" w:cs="宋体"/>
          <w:sz w:val="24"/>
          <w:highlight w:val="none"/>
        </w:rPr>
      </w:pPr>
      <w:r>
        <w:rPr>
          <w:rFonts w:hint="eastAsia" w:ascii="宋体" w:hAnsi="宋体" w:cs="宋体"/>
          <w:sz w:val="24"/>
          <w:highlight w:val="none"/>
        </w:rPr>
        <w:t>成立时间：</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pPr>
        <w:snapToGrid w:val="0"/>
        <w:spacing w:line="560" w:lineRule="exact"/>
        <w:ind w:firstLine="480" w:firstLineChars="200"/>
        <w:rPr>
          <w:rFonts w:ascii="宋体" w:hAnsi="宋体" w:cs="宋体"/>
          <w:sz w:val="24"/>
          <w:highlight w:val="none"/>
        </w:rPr>
      </w:pPr>
      <w:r>
        <w:rPr>
          <w:rFonts w:hint="eastAsia" w:ascii="宋体" w:hAnsi="宋体" w:cs="宋体"/>
          <w:sz w:val="24"/>
          <w:highlight w:val="none"/>
        </w:rPr>
        <w:t>姓名：</w:t>
      </w:r>
      <w:r>
        <w:rPr>
          <w:rFonts w:hint="eastAsia" w:ascii="宋体" w:hAnsi="宋体" w:cs="宋体"/>
          <w:sz w:val="24"/>
          <w:highlight w:val="none"/>
          <w:u w:val="single"/>
        </w:rPr>
        <w:t xml:space="preserve">        </w:t>
      </w:r>
      <w:r>
        <w:rPr>
          <w:rFonts w:hint="eastAsia" w:ascii="宋体" w:hAnsi="宋体" w:cs="宋体"/>
          <w:sz w:val="24"/>
          <w:highlight w:val="none"/>
        </w:rPr>
        <w:t>性别：</w:t>
      </w:r>
      <w:r>
        <w:rPr>
          <w:rFonts w:hint="eastAsia" w:ascii="宋体" w:hAnsi="宋体" w:cs="宋体"/>
          <w:sz w:val="24"/>
          <w:highlight w:val="none"/>
          <w:u w:val="single"/>
        </w:rPr>
        <w:t xml:space="preserve">        </w:t>
      </w:r>
      <w:r>
        <w:rPr>
          <w:rFonts w:hint="eastAsia" w:ascii="宋体" w:hAnsi="宋体" w:cs="宋体"/>
          <w:sz w:val="24"/>
          <w:highlight w:val="none"/>
        </w:rPr>
        <w:t>年龄：</w:t>
      </w:r>
      <w:r>
        <w:rPr>
          <w:rFonts w:hint="eastAsia" w:ascii="宋体" w:hAnsi="宋体" w:cs="宋体"/>
          <w:sz w:val="24"/>
          <w:highlight w:val="none"/>
          <w:u w:val="single"/>
        </w:rPr>
        <w:t xml:space="preserve">       </w:t>
      </w:r>
      <w:r>
        <w:rPr>
          <w:rFonts w:hint="eastAsia" w:ascii="宋体" w:hAnsi="宋体" w:cs="宋体"/>
          <w:sz w:val="24"/>
          <w:highlight w:val="none"/>
        </w:rPr>
        <w:t>职务：</w:t>
      </w:r>
      <w:r>
        <w:rPr>
          <w:rFonts w:hint="eastAsia" w:ascii="宋体" w:hAnsi="宋体" w:cs="宋体"/>
          <w:sz w:val="24"/>
          <w:highlight w:val="none"/>
          <w:u w:val="single"/>
        </w:rPr>
        <w:t>（董事长、总经理等）</w:t>
      </w:r>
    </w:p>
    <w:p>
      <w:pPr>
        <w:snapToGrid w:val="0"/>
        <w:spacing w:line="560" w:lineRule="exact"/>
        <w:ind w:firstLine="480" w:firstLineChars="200"/>
        <w:rPr>
          <w:rFonts w:ascii="宋体" w:hAnsi="宋体" w:cs="宋体"/>
          <w:sz w:val="24"/>
          <w:highlight w:val="none"/>
        </w:rPr>
      </w:pPr>
      <w:r>
        <w:rPr>
          <w:rFonts w:hint="eastAsia" w:ascii="宋体" w:hAnsi="宋体" w:cs="宋体"/>
          <w:sz w:val="24"/>
          <w:highlight w:val="none"/>
        </w:rPr>
        <w:t>系</w:t>
      </w:r>
      <w:r>
        <w:rPr>
          <w:rFonts w:hint="eastAsia" w:ascii="宋体" w:hAnsi="宋体" w:cs="宋体"/>
          <w:sz w:val="24"/>
          <w:highlight w:val="none"/>
          <w:u w:val="single"/>
        </w:rPr>
        <w:t xml:space="preserve">                         </w:t>
      </w:r>
      <w:r>
        <w:rPr>
          <w:rFonts w:hint="eastAsia" w:ascii="宋体" w:hAnsi="宋体" w:cs="宋体"/>
          <w:sz w:val="24"/>
          <w:highlight w:val="none"/>
        </w:rPr>
        <w:t>（供应商名称）的法定代表人</w:t>
      </w:r>
      <w:r>
        <w:rPr>
          <w:rFonts w:hint="eastAsia" w:ascii="宋体" w:hAnsi="宋体"/>
          <w:sz w:val="24"/>
          <w:highlight w:val="none"/>
        </w:rPr>
        <w:t>（</w:t>
      </w:r>
      <w:r>
        <w:rPr>
          <w:rFonts w:hint="eastAsia" w:ascii="宋体" w:hAnsi="宋体" w:cs="宋体"/>
          <w:sz w:val="24"/>
          <w:highlight w:val="none"/>
        </w:rPr>
        <w:t>非法人组织的负责人</w:t>
      </w:r>
      <w:r>
        <w:rPr>
          <w:rFonts w:hint="eastAsia" w:ascii="宋体" w:hAnsi="宋体"/>
          <w:sz w:val="24"/>
          <w:highlight w:val="none"/>
        </w:rPr>
        <w:t>）</w:t>
      </w:r>
      <w:r>
        <w:rPr>
          <w:rFonts w:hint="eastAsia" w:ascii="宋体" w:hAnsi="宋体" w:cs="宋体"/>
          <w:sz w:val="24"/>
          <w:highlight w:val="none"/>
        </w:rPr>
        <w:t>。</w:t>
      </w:r>
    </w:p>
    <w:p>
      <w:pPr>
        <w:snapToGrid w:val="0"/>
        <w:spacing w:line="560" w:lineRule="exact"/>
        <w:ind w:firstLine="480" w:firstLineChars="200"/>
        <w:rPr>
          <w:rFonts w:ascii="宋体" w:hAnsi="宋体" w:cs="宋体"/>
          <w:sz w:val="24"/>
          <w:highlight w:val="none"/>
        </w:rPr>
      </w:pPr>
      <w:r>
        <w:rPr>
          <w:rFonts w:hint="eastAsia" w:ascii="宋体" w:hAnsi="宋体" w:cs="宋体"/>
          <w:sz w:val="24"/>
          <w:highlight w:val="none"/>
        </w:rPr>
        <w:t>特此证明。</w:t>
      </w:r>
    </w:p>
    <w:p>
      <w:pPr>
        <w:snapToGrid w:val="0"/>
        <w:spacing w:line="560" w:lineRule="exact"/>
        <w:ind w:firstLine="480" w:firstLineChars="200"/>
        <w:rPr>
          <w:rFonts w:ascii="宋体" w:hAnsi="宋体" w:cs="宋体"/>
          <w:sz w:val="24"/>
          <w:highlight w:val="none"/>
        </w:rPr>
      </w:pPr>
      <w:r>
        <w:rPr>
          <w:rFonts w:hint="eastAsia" w:ascii="宋体" w:hAnsi="宋体" w:cs="宋体"/>
          <w:sz w:val="24"/>
          <w:highlight w:val="none"/>
        </w:rPr>
        <w:t>附：法定代表人</w:t>
      </w:r>
      <w:r>
        <w:rPr>
          <w:rFonts w:hint="eastAsia" w:ascii="宋体" w:hAnsi="宋体"/>
          <w:sz w:val="24"/>
          <w:highlight w:val="none"/>
        </w:rPr>
        <w:t>（</w:t>
      </w:r>
      <w:r>
        <w:rPr>
          <w:rFonts w:hint="eastAsia" w:ascii="宋体" w:hAnsi="宋体" w:cs="宋体"/>
          <w:sz w:val="24"/>
          <w:highlight w:val="none"/>
        </w:rPr>
        <w:t>非法人组织的负责人</w:t>
      </w:r>
      <w:r>
        <w:rPr>
          <w:rFonts w:hint="eastAsia" w:ascii="宋体" w:hAnsi="宋体"/>
          <w:sz w:val="24"/>
          <w:highlight w:val="none"/>
        </w:rPr>
        <w:t>）</w:t>
      </w:r>
      <w:r>
        <w:rPr>
          <w:rFonts w:hint="eastAsia" w:ascii="宋体" w:hAnsi="宋体" w:cs="宋体"/>
          <w:sz w:val="24"/>
          <w:highlight w:val="none"/>
        </w:rPr>
        <w:t>身份证扫描件</w:t>
      </w:r>
    </w:p>
    <w:tbl>
      <w:tblPr>
        <w:tblStyle w:val="23"/>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9" w:hRule="atLeast"/>
          <w:jc w:val="center"/>
        </w:trPr>
        <w:tc>
          <w:tcPr>
            <w:tcW w:w="8787" w:type="dxa"/>
            <w:vAlign w:val="center"/>
          </w:tcPr>
          <w:p>
            <w:pPr>
              <w:pStyle w:val="21"/>
              <w:spacing w:line="560" w:lineRule="exact"/>
              <w:jc w:val="center"/>
              <w:rPr>
                <w:rFonts w:cs="宋体"/>
                <w:b/>
                <w:sz w:val="24"/>
                <w:highlight w:val="none"/>
              </w:rPr>
            </w:pPr>
            <w:r>
              <w:rPr>
                <w:rFonts w:hint="eastAsia" w:cs="宋体"/>
                <w:b/>
                <w:sz w:val="24"/>
                <w:highlight w:val="none"/>
              </w:rPr>
              <w:t>法定代表人（非法人组织的负责人）身份证扫描件</w:t>
            </w:r>
          </w:p>
          <w:p>
            <w:pPr>
              <w:pStyle w:val="21"/>
              <w:spacing w:line="560" w:lineRule="exact"/>
              <w:jc w:val="center"/>
              <w:rPr>
                <w:rFonts w:cs="宋体"/>
                <w:b/>
                <w:sz w:val="24"/>
                <w:highlight w:val="none"/>
              </w:rPr>
            </w:pPr>
            <w:r>
              <w:rPr>
                <w:rFonts w:hint="eastAsia" w:cs="宋体"/>
                <w:b/>
                <w:sz w:val="24"/>
                <w:highlight w:val="none"/>
              </w:rPr>
              <w:t>（正面、背面）</w:t>
            </w:r>
          </w:p>
        </w:tc>
      </w:tr>
    </w:tbl>
    <w:p>
      <w:pPr>
        <w:spacing w:line="560" w:lineRule="exact"/>
        <w:ind w:firstLine="2880" w:firstLineChars="1200"/>
        <w:rPr>
          <w:rFonts w:ascii="宋体" w:hAnsi="宋体" w:cs="宋体"/>
          <w:sz w:val="24"/>
          <w:highlight w:val="none"/>
        </w:rPr>
      </w:pPr>
      <w:r>
        <w:rPr>
          <w:rFonts w:hint="eastAsia" w:ascii="宋体" w:hAnsi="宋体" w:cs="宋体"/>
          <w:sz w:val="24"/>
          <w:highlight w:val="none"/>
        </w:rPr>
        <w:t>供应商：</w:t>
      </w:r>
      <w:r>
        <w:rPr>
          <w:rFonts w:hint="eastAsia" w:ascii="宋体" w:hAnsi="宋体" w:cs="宋体"/>
          <w:sz w:val="24"/>
          <w:highlight w:val="none"/>
          <w:u w:val="single"/>
        </w:rPr>
        <w:t xml:space="preserve">                  （公章） </w:t>
      </w:r>
    </w:p>
    <w:p>
      <w:pPr>
        <w:spacing w:line="560" w:lineRule="exact"/>
        <w:ind w:firstLine="2880" w:firstLineChars="1200"/>
        <w:rPr>
          <w:rFonts w:ascii="宋体" w:hAnsi="宋体" w:cs="宋体"/>
          <w:sz w:val="24"/>
          <w:highlight w:val="none"/>
        </w:rPr>
      </w:pPr>
      <w:r>
        <w:rPr>
          <w:rFonts w:hint="eastAsia" w:ascii="宋体" w:hAnsi="宋体" w:cs="宋体"/>
          <w:sz w:val="24"/>
          <w:highlight w:val="none"/>
        </w:rPr>
        <w:t>日   期：</w:t>
      </w:r>
      <w:r>
        <w:rPr>
          <w:rFonts w:hint="eastAsia" w:ascii="宋体" w:hAnsi="宋体" w:cs="宋体"/>
          <w:sz w:val="24"/>
          <w:highlight w:val="none"/>
          <w:u w:val="single"/>
        </w:rPr>
        <w:t xml:space="preserve">        </w:t>
      </w:r>
      <w:r>
        <w:rPr>
          <w:rFonts w:hint="eastAsia" w:ascii="宋体" w:hAnsi="宋体" w:cs="宋体"/>
          <w:sz w:val="24"/>
          <w:highlight w:val="none"/>
        </w:rPr>
        <w:t>年</w:t>
      </w:r>
      <w:r>
        <w:rPr>
          <w:rFonts w:hint="eastAsia" w:ascii="宋体" w:hAnsi="宋体" w:cs="宋体"/>
          <w:sz w:val="24"/>
          <w:highlight w:val="none"/>
          <w:u w:val="single"/>
        </w:rPr>
        <w:t xml:space="preserve">    </w:t>
      </w:r>
      <w:r>
        <w:rPr>
          <w:rFonts w:hint="eastAsia" w:ascii="宋体" w:hAnsi="宋体" w:cs="宋体"/>
          <w:sz w:val="24"/>
          <w:highlight w:val="none"/>
        </w:rPr>
        <w:t>月</w:t>
      </w:r>
      <w:r>
        <w:rPr>
          <w:rFonts w:hint="eastAsia" w:ascii="宋体" w:hAnsi="宋体" w:cs="宋体"/>
          <w:sz w:val="24"/>
          <w:highlight w:val="none"/>
          <w:u w:val="single"/>
        </w:rPr>
        <w:t xml:space="preserve">      </w:t>
      </w:r>
      <w:r>
        <w:rPr>
          <w:rFonts w:hint="eastAsia" w:ascii="宋体" w:hAnsi="宋体" w:cs="宋体"/>
          <w:sz w:val="24"/>
          <w:highlight w:val="none"/>
        </w:rPr>
        <w:t>日</w:t>
      </w:r>
    </w:p>
    <w:p>
      <w:pPr>
        <w:spacing w:line="560" w:lineRule="exact"/>
        <w:ind w:firstLine="2880" w:firstLineChars="1200"/>
        <w:rPr>
          <w:rFonts w:ascii="宋体" w:hAnsi="宋体" w:cs="宋体"/>
          <w:sz w:val="24"/>
          <w:highlight w:val="none"/>
        </w:rPr>
      </w:pPr>
    </w:p>
    <w:p>
      <w:pPr>
        <w:spacing w:line="560" w:lineRule="exact"/>
        <w:ind w:firstLine="2880" w:firstLineChars="1200"/>
        <w:rPr>
          <w:rFonts w:ascii="宋体" w:hAnsi="宋体" w:cs="宋体"/>
          <w:sz w:val="24"/>
          <w:highlight w:val="none"/>
        </w:rPr>
      </w:pPr>
    </w:p>
    <w:bookmarkEnd w:id="388"/>
    <w:bookmarkEnd w:id="389"/>
    <w:p>
      <w:pPr>
        <w:pStyle w:val="5"/>
        <w:spacing w:line="560" w:lineRule="exact"/>
        <w:rPr>
          <w:highlight w:val="none"/>
          <w:u w:val="none"/>
        </w:rPr>
      </w:pPr>
      <w:bookmarkStart w:id="390" w:name="_Toc51257744"/>
      <w:bookmarkStart w:id="391" w:name="_Toc22665"/>
      <w:r>
        <w:rPr>
          <w:rFonts w:hint="eastAsia"/>
          <w:highlight w:val="none"/>
          <w:u w:val="none"/>
        </w:rPr>
        <w:t>4.法定代表人（非法人组织的负责人）授权书（参考，推荐供应商使用此格式）</w:t>
      </w:r>
      <w:bookmarkEnd w:id="390"/>
      <w:bookmarkEnd w:id="391"/>
    </w:p>
    <w:p>
      <w:pPr>
        <w:pStyle w:val="8"/>
        <w:spacing w:line="560" w:lineRule="exact"/>
        <w:ind w:firstLine="0"/>
        <w:jc w:val="center"/>
        <w:rPr>
          <w:rFonts w:hAnsi="宋体" w:cs="宋体"/>
          <w:b/>
          <w:sz w:val="30"/>
          <w:szCs w:val="30"/>
          <w:highlight w:val="none"/>
        </w:rPr>
      </w:pPr>
      <w:r>
        <w:rPr>
          <w:rFonts w:hint="eastAsia" w:hAnsi="宋体" w:cs="宋体"/>
          <w:b/>
          <w:sz w:val="30"/>
          <w:szCs w:val="30"/>
          <w:highlight w:val="none"/>
        </w:rPr>
        <w:t>法定代表人（非法人组织的负责人）授权书</w:t>
      </w:r>
    </w:p>
    <w:p>
      <w:pPr>
        <w:pStyle w:val="8"/>
        <w:spacing w:line="560" w:lineRule="exact"/>
        <w:ind w:firstLine="0"/>
        <w:jc w:val="center"/>
        <w:rPr>
          <w:rFonts w:hAnsi="宋体" w:cs="宋体"/>
          <w:bCs/>
          <w:szCs w:val="24"/>
          <w:highlight w:val="none"/>
        </w:rPr>
      </w:pPr>
      <w:r>
        <w:rPr>
          <w:rFonts w:hint="eastAsia" w:hAnsi="宋体" w:cs="宋体"/>
          <w:bCs/>
          <w:szCs w:val="24"/>
          <w:highlight w:val="none"/>
        </w:rPr>
        <w:t>【注：自然人响应的无需提供】</w:t>
      </w:r>
    </w:p>
    <w:p>
      <w:pPr>
        <w:pStyle w:val="21"/>
        <w:spacing w:line="560" w:lineRule="exact"/>
        <w:rPr>
          <w:rFonts w:cs="宋体"/>
          <w:sz w:val="24"/>
          <w:highlight w:val="none"/>
        </w:rPr>
      </w:pPr>
      <w:r>
        <w:rPr>
          <w:rFonts w:hint="eastAsia" w:cs="宋体"/>
          <w:sz w:val="24"/>
          <w:highlight w:val="none"/>
          <w:u w:val="single"/>
        </w:rPr>
        <w:t> （采购人单位名称） </w:t>
      </w:r>
      <w:r>
        <w:rPr>
          <w:rFonts w:hint="eastAsia" w:cs="宋体"/>
          <w:sz w:val="24"/>
          <w:highlight w:val="none"/>
        </w:rPr>
        <w:t>：</w:t>
      </w:r>
    </w:p>
    <w:p>
      <w:pPr>
        <w:tabs>
          <w:tab w:val="left" w:pos="5580"/>
        </w:tabs>
        <w:spacing w:line="560" w:lineRule="exact"/>
        <w:ind w:firstLine="480"/>
        <w:rPr>
          <w:rFonts w:ascii="宋体" w:hAnsi="宋体" w:cs="宋体"/>
          <w:sz w:val="24"/>
          <w:highlight w:val="none"/>
        </w:rPr>
      </w:pPr>
      <w:r>
        <w:rPr>
          <w:rFonts w:hint="eastAsia" w:ascii="宋体" w:hAnsi="宋体" w:cs="宋体"/>
          <w:sz w:val="24"/>
          <w:szCs w:val="20"/>
          <w:highlight w:val="none"/>
        </w:rPr>
        <w:t>本授权书声明：注册于</w:t>
      </w:r>
      <w:r>
        <w:rPr>
          <w:rFonts w:hint="eastAsia" w:ascii="宋体" w:hAnsi="宋体" w:cs="宋体"/>
          <w:sz w:val="24"/>
          <w:szCs w:val="20"/>
          <w:highlight w:val="none"/>
          <w:u w:val="single"/>
        </w:rPr>
        <w:t>（国家或地区的名称）</w:t>
      </w:r>
      <w:r>
        <w:rPr>
          <w:rFonts w:hint="eastAsia" w:ascii="宋体" w:hAnsi="宋体" w:cs="宋体"/>
          <w:sz w:val="24"/>
          <w:szCs w:val="20"/>
          <w:highlight w:val="none"/>
        </w:rPr>
        <w:t>的（</w:t>
      </w:r>
      <w:r>
        <w:rPr>
          <w:rFonts w:hint="eastAsia" w:ascii="宋体" w:hAnsi="宋体" w:cs="宋体"/>
          <w:i/>
          <w:sz w:val="24"/>
          <w:szCs w:val="20"/>
          <w:highlight w:val="none"/>
          <w:u w:val="single"/>
        </w:rPr>
        <w:t>供应商名称</w:t>
      </w:r>
      <w:r>
        <w:rPr>
          <w:rFonts w:hint="eastAsia" w:ascii="宋体" w:hAnsi="宋体" w:cs="宋体"/>
          <w:sz w:val="24"/>
          <w:szCs w:val="20"/>
          <w:highlight w:val="none"/>
        </w:rPr>
        <w:t>）的在下面签字的（</w:t>
      </w:r>
      <w:r>
        <w:rPr>
          <w:rFonts w:hint="eastAsia" w:ascii="宋体" w:hAnsi="宋体" w:cs="宋体"/>
          <w:i/>
          <w:sz w:val="24"/>
          <w:szCs w:val="20"/>
          <w:highlight w:val="none"/>
          <w:u w:val="single"/>
        </w:rPr>
        <w:t>法定代表人（非法人组织的负责人）姓名、职务</w:t>
      </w:r>
      <w:r>
        <w:rPr>
          <w:rFonts w:hint="eastAsia" w:ascii="宋体" w:hAnsi="宋体" w:cs="宋体"/>
          <w:sz w:val="24"/>
          <w:szCs w:val="20"/>
          <w:highlight w:val="none"/>
        </w:rPr>
        <w:t>）代表我单位授权（</w:t>
      </w:r>
      <w:r>
        <w:rPr>
          <w:rFonts w:hint="eastAsia" w:ascii="宋体" w:hAnsi="宋体" w:cs="宋体"/>
          <w:i/>
          <w:sz w:val="24"/>
          <w:szCs w:val="20"/>
          <w:highlight w:val="none"/>
          <w:u w:val="single"/>
        </w:rPr>
        <w:t>供应商名称</w:t>
      </w:r>
      <w:r>
        <w:rPr>
          <w:rFonts w:hint="eastAsia" w:ascii="宋体" w:hAnsi="宋体" w:cs="宋体"/>
          <w:sz w:val="24"/>
          <w:szCs w:val="20"/>
          <w:highlight w:val="none"/>
        </w:rPr>
        <w:t>）的在下面签字的（</w:t>
      </w:r>
      <w:r>
        <w:rPr>
          <w:rFonts w:hint="eastAsia" w:ascii="宋体" w:hAnsi="宋体" w:cs="宋体"/>
          <w:i/>
          <w:sz w:val="24"/>
          <w:szCs w:val="20"/>
          <w:highlight w:val="none"/>
          <w:u w:val="single"/>
        </w:rPr>
        <w:t>被授权人的姓名、职务</w:t>
      </w:r>
      <w:r>
        <w:rPr>
          <w:rFonts w:hint="eastAsia" w:ascii="宋体" w:hAnsi="宋体" w:cs="宋体"/>
          <w:sz w:val="24"/>
          <w:szCs w:val="20"/>
          <w:highlight w:val="none"/>
        </w:rPr>
        <w:t>）为我单位的合法代理人，就（</w:t>
      </w:r>
      <w:r>
        <w:rPr>
          <w:rFonts w:hint="eastAsia" w:ascii="宋体" w:hAnsi="宋体" w:cs="宋体"/>
          <w:i/>
          <w:sz w:val="24"/>
          <w:szCs w:val="20"/>
          <w:highlight w:val="none"/>
          <w:u w:val="single"/>
        </w:rPr>
        <w:t>项目名称、项目编号</w:t>
      </w:r>
      <w:r>
        <w:rPr>
          <w:rFonts w:hint="eastAsia" w:ascii="宋体" w:hAnsi="宋体" w:cs="宋体"/>
          <w:sz w:val="24"/>
          <w:szCs w:val="20"/>
          <w:highlight w:val="none"/>
        </w:rPr>
        <w:t>）的（</w:t>
      </w:r>
      <w:r>
        <w:rPr>
          <w:rFonts w:hint="eastAsia" w:ascii="宋体" w:hAnsi="宋体" w:cs="宋体"/>
          <w:i/>
          <w:sz w:val="24"/>
          <w:szCs w:val="20"/>
          <w:highlight w:val="none"/>
          <w:u w:val="single"/>
        </w:rPr>
        <w:t>合同名称/(项目名称、标段**)</w:t>
      </w:r>
      <w:r>
        <w:rPr>
          <w:rFonts w:hint="eastAsia" w:ascii="宋体" w:hAnsi="宋体" w:cs="宋体"/>
          <w:sz w:val="24"/>
          <w:szCs w:val="20"/>
          <w:highlight w:val="none"/>
        </w:rPr>
        <w:t>）响应，以我单位名义处理一切与之有关的事务。</w:t>
      </w:r>
      <w:r>
        <w:rPr>
          <w:rFonts w:hint="eastAsia" w:ascii="宋体" w:hAnsi="宋体" w:cs="宋体"/>
          <w:sz w:val="24"/>
          <w:szCs w:val="20"/>
          <w:highlight w:val="none"/>
        </w:rPr>
        <w:cr/>
      </w:r>
      <w:r>
        <w:rPr>
          <w:rFonts w:hint="eastAsia" w:ascii="宋体" w:hAnsi="宋体" w:cs="宋体"/>
          <w:sz w:val="24"/>
          <w:szCs w:val="20"/>
          <w:highlight w:val="none"/>
        </w:rPr>
        <w:t>　　</w:t>
      </w:r>
      <w:r>
        <w:rPr>
          <w:rFonts w:hint="eastAsia" w:ascii="宋体" w:hAnsi="宋体"/>
          <w:sz w:val="24"/>
          <w:szCs w:val="20"/>
          <w:highlight w:val="none"/>
        </w:rPr>
        <w:t>本授权书于</w:t>
      </w:r>
      <w:r>
        <w:rPr>
          <w:rFonts w:hint="eastAsia" w:ascii="宋体" w:hAnsi="宋体"/>
          <w:sz w:val="24"/>
          <w:szCs w:val="20"/>
          <w:highlight w:val="none"/>
          <w:u w:val="single"/>
        </w:rPr>
        <w:t xml:space="preserve">           </w:t>
      </w:r>
      <w:r>
        <w:rPr>
          <w:rFonts w:hint="eastAsia" w:ascii="宋体" w:hAnsi="宋体"/>
          <w:sz w:val="24"/>
          <w:szCs w:val="20"/>
          <w:highlight w:val="none"/>
        </w:rPr>
        <w:t>年</w:t>
      </w:r>
      <w:r>
        <w:rPr>
          <w:rFonts w:hint="eastAsia" w:ascii="宋体" w:hAnsi="宋体"/>
          <w:sz w:val="24"/>
          <w:szCs w:val="20"/>
          <w:highlight w:val="none"/>
          <w:u w:val="single"/>
        </w:rPr>
        <w:t xml:space="preserve">     </w:t>
      </w:r>
      <w:r>
        <w:rPr>
          <w:rFonts w:hint="eastAsia" w:ascii="宋体" w:hAnsi="宋体"/>
          <w:sz w:val="24"/>
          <w:szCs w:val="20"/>
          <w:highlight w:val="none"/>
        </w:rPr>
        <w:t>月</w:t>
      </w:r>
      <w:r>
        <w:rPr>
          <w:rFonts w:hint="eastAsia" w:ascii="宋体" w:hAnsi="宋体"/>
          <w:sz w:val="24"/>
          <w:szCs w:val="20"/>
          <w:highlight w:val="none"/>
          <w:u w:val="single"/>
        </w:rPr>
        <w:t xml:space="preserve">     </w:t>
      </w:r>
      <w:r>
        <w:rPr>
          <w:rFonts w:hint="eastAsia" w:ascii="宋体" w:hAnsi="宋体"/>
          <w:sz w:val="24"/>
          <w:szCs w:val="20"/>
          <w:highlight w:val="none"/>
        </w:rPr>
        <w:t>日签字生效,特此声明。</w:t>
      </w:r>
    </w:p>
    <w:tbl>
      <w:tblPr>
        <w:tblStyle w:val="23"/>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4" w:hRule="atLeast"/>
          <w:jc w:val="center"/>
        </w:trPr>
        <w:tc>
          <w:tcPr>
            <w:tcW w:w="8787" w:type="dxa"/>
            <w:vAlign w:val="center"/>
          </w:tcPr>
          <w:p>
            <w:pPr>
              <w:pStyle w:val="21"/>
              <w:spacing w:line="560" w:lineRule="exact"/>
              <w:jc w:val="center"/>
              <w:rPr>
                <w:rFonts w:cs="宋体"/>
                <w:b/>
                <w:sz w:val="24"/>
                <w:highlight w:val="none"/>
              </w:rPr>
            </w:pPr>
            <w:r>
              <w:rPr>
                <w:rFonts w:hint="eastAsia" w:cs="宋体"/>
                <w:b/>
                <w:sz w:val="24"/>
                <w:highlight w:val="none"/>
              </w:rPr>
              <w:t>被授权代表人身份证扫描件或复印件，可另外单页提供</w:t>
            </w:r>
          </w:p>
          <w:p>
            <w:pPr>
              <w:pStyle w:val="21"/>
              <w:spacing w:line="560" w:lineRule="exact"/>
              <w:jc w:val="center"/>
              <w:rPr>
                <w:rFonts w:cs="宋体"/>
                <w:b/>
                <w:sz w:val="24"/>
                <w:highlight w:val="none"/>
              </w:rPr>
            </w:pPr>
            <w:r>
              <w:rPr>
                <w:rFonts w:hint="eastAsia" w:cs="宋体"/>
                <w:b/>
                <w:sz w:val="24"/>
                <w:highlight w:val="none"/>
              </w:rPr>
              <w:t>（正面、背面）</w:t>
            </w:r>
          </w:p>
        </w:tc>
      </w:tr>
    </w:tbl>
    <w:p>
      <w:pPr>
        <w:pStyle w:val="21"/>
        <w:spacing w:line="560" w:lineRule="exact"/>
        <w:rPr>
          <w:rFonts w:ascii="宋体" w:hAnsi="宋体"/>
          <w:sz w:val="24"/>
          <w:szCs w:val="20"/>
          <w:highlight w:val="none"/>
          <w:u w:val="single"/>
        </w:rPr>
      </w:pPr>
      <w:r>
        <w:rPr>
          <w:rFonts w:hint="eastAsia" w:cs="宋体"/>
          <w:sz w:val="24"/>
          <w:highlight w:val="none"/>
        </w:rPr>
        <w:t>附：</w:t>
      </w:r>
      <w:r>
        <w:rPr>
          <w:rFonts w:hint="eastAsia" w:ascii="宋体" w:hAnsi="宋体"/>
          <w:sz w:val="24"/>
          <w:szCs w:val="20"/>
          <w:highlight w:val="none"/>
        </w:rPr>
        <w:t>供应商（公章</w:t>
      </w:r>
      <w:r>
        <w:rPr>
          <w:rFonts w:ascii="宋体" w:hAnsi="宋体"/>
          <w:sz w:val="24"/>
          <w:szCs w:val="20"/>
          <w:highlight w:val="none"/>
        </w:rPr>
        <w:t>）：</w:t>
      </w:r>
      <w:r>
        <w:rPr>
          <w:rFonts w:ascii="宋体" w:hAnsi="宋体"/>
          <w:sz w:val="24"/>
          <w:szCs w:val="20"/>
          <w:highlight w:val="none"/>
          <w:u w:val="single"/>
        </w:rPr>
        <w:t xml:space="preserve">                                        </w:t>
      </w:r>
    </w:p>
    <w:p>
      <w:pPr>
        <w:tabs>
          <w:tab w:val="left" w:pos="5580"/>
        </w:tabs>
        <w:spacing w:line="560" w:lineRule="exact"/>
        <w:ind w:left="-540" w:leftChars="-257" w:firstLine="900" w:firstLineChars="375"/>
        <w:rPr>
          <w:rFonts w:ascii="宋体" w:hAnsi="宋体"/>
          <w:sz w:val="24"/>
          <w:szCs w:val="20"/>
          <w:highlight w:val="none"/>
          <w:u w:val="single"/>
        </w:rPr>
      </w:pPr>
      <w:r>
        <w:rPr>
          <w:rFonts w:hint="eastAsia" w:ascii="宋体" w:hAnsi="宋体"/>
          <w:sz w:val="24"/>
          <w:szCs w:val="20"/>
          <w:highlight w:val="none"/>
        </w:rPr>
        <w:t>法定代表人</w:t>
      </w:r>
      <w:r>
        <w:rPr>
          <w:rFonts w:hint="eastAsia" w:ascii="宋体" w:hAnsi="宋体"/>
          <w:sz w:val="24"/>
          <w:highlight w:val="none"/>
        </w:rPr>
        <w:t>（</w:t>
      </w:r>
      <w:r>
        <w:rPr>
          <w:rFonts w:hint="eastAsia" w:ascii="宋体" w:hAnsi="宋体" w:cs="宋体"/>
          <w:sz w:val="24"/>
          <w:highlight w:val="none"/>
        </w:rPr>
        <w:t>非法人组织的负责人</w:t>
      </w:r>
      <w:r>
        <w:rPr>
          <w:rFonts w:hint="eastAsia" w:ascii="宋体" w:hAnsi="宋体"/>
          <w:sz w:val="24"/>
          <w:highlight w:val="none"/>
        </w:rPr>
        <w:t>）</w:t>
      </w:r>
      <w:r>
        <w:rPr>
          <w:rFonts w:hint="eastAsia" w:ascii="宋体" w:hAnsi="宋体"/>
          <w:sz w:val="24"/>
          <w:szCs w:val="20"/>
          <w:highlight w:val="none"/>
        </w:rPr>
        <w:t>(签章)</w:t>
      </w:r>
      <w:r>
        <w:rPr>
          <w:rFonts w:ascii="宋体" w:hAnsi="宋体"/>
          <w:sz w:val="24"/>
          <w:szCs w:val="20"/>
          <w:highlight w:val="none"/>
        </w:rPr>
        <w:t>：</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r>
        <w:rPr>
          <w:rFonts w:hint="eastAsia" w:ascii="宋体" w:hAnsi="宋体"/>
          <w:sz w:val="24"/>
          <w:szCs w:val="20"/>
          <w:highlight w:val="none"/>
          <w:u w:val="single"/>
        </w:rPr>
        <w:t xml:space="preserve">  </w:t>
      </w:r>
    </w:p>
    <w:p>
      <w:pPr>
        <w:tabs>
          <w:tab w:val="left" w:pos="5580"/>
        </w:tabs>
        <w:spacing w:line="560" w:lineRule="exact"/>
        <w:ind w:left="-540" w:leftChars="-257" w:firstLine="900" w:firstLineChars="375"/>
        <w:rPr>
          <w:rFonts w:ascii="宋体" w:hAnsi="宋体"/>
          <w:sz w:val="24"/>
          <w:szCs w:val="20"/>
          <w:highlight w:val="none"/>
          <w:u w:val="single"/>
        </w:rPr>
      </w:pPr>
      <w:r>
        <w:rPr>
          <w:rFonts w:ascii="宋体" w:hAnsi="宋体"/>
          <w:sz w:val="24"/>
          <w:szCs w:val="20"/>
          <w:highlight w:val="none"/>
        </w:rPr>
        <w:t>法定代表人</w:t>
      </w:r>
      <w:r>
        <w:rPr>
          <w:rFonts w:hint="eastAsia" w:ascii="宋体" w:hAnsi="宋体"/>
          <w:sz w:val="24"/>
          <w:highlight w:val="none"/>
        </w:rPr>
        <w:t>（</w:t>
      </w:r>
      <w:r>
        <w:rPr>
          <w:rFonts w:hint="eastAsia" w:ascii="宋体" w:hAnsi="宋体" w:cs="宋体"/>
          <w:sz w:val="24"/>
          <w:highlight w:val="none"/>
        </w:rPr>
        <w:t>非法人组织的负责人</w:t>
      </w:r>
      <w:r>
        <w:rPr>
          <w:rFonts w:hint="eastAsia" w:ascii="宋体" w:hAnsi="宋体"/>
          <w:sz w:val="24"/>
          <w:highlight w:val="none"/>
        </w:rPr>
        <w:t>）</w:t>
      </w:r>
      <w:r>
        <w:rPr>
          <w:rFonts w:hint="eastAsia" w:ascii="宋体" w:hAnsi="宋体"/>
          <w:sz w:val="24"/>
          <w:szCs w:val="20"/>
          <w:highlight w:val="none"/>
        </w:rPr>
        <w:t>身份证</w:t>
      </w:r>
      <w:r>
        <w:rPr>
          <w:rFonts w:ascii="宋体" w:hAnsi="宋体"/>
          <w:sz w:val="24"/>
          <w:szCs w:val="20"/>
          <w:highlight w:val="none"/>
        </w:rPr>
        <w:t>号码</w:t>
      </w:r>
      <w:r>
        <w:rPr>
          <w:rFonts w:hint="eastAsia" w:ascii="宋体" w:hAnsi="宋体"/>
          <w:sz w:val="24"/>
          <w:szCs w:val="20"/>
          <w:highlight w:val="none"/>
        </w:rPr>
        <w:t>：</w:t>
      </w:r>
      <w:r>
        <w:rPr>
          <w:rFonts w:hint="eastAsia" w:ascii="宋体" w:hAnsi="宋体"/>
          <w:sz w:val="24"/>
          <w:szCs w:val="20"/>
          <w:highlight w:val="none"/>
          <w:u w:val="single"/>
        </w:rPr>
        <w:t xml:space="preserve">  </w:t>
      </w:r>
      <w:r>
        <w:rPr>
          <w:rFonts w:ascii="宋体" w:hAnsi="宋体"/>
          <w:sz w:val="24"/>
          <w:szCs w:val="20"/>
          <w:highlight w:val="none"/>
          <w:u w:val="single"/>
        </w:rPr>
        <w:t xml:space="preserve">                                  </w:t>
      </w:r>
    </w:p>
    <w:p>
      <w:pPr>
        <w:pStyle w:val="12"/>
        <w:tabs>
          <w:tab w:val="left" w:pos="5580"/>
        </w:tabs>
        <w:spacing w:line="560" w:lineRule="exact"/>
        <w:ind w:firstLine="360" w:firstLineChars="150"/>
        <w:rPr>
          <w:rFonts w:hAnsi="宋体"/>
          <w:sz w:val="24"/>
          <w:highlight w:val="none"/>
        </w:rPr>
      </w:pPr>
      <w:r>
        <w:rPr>
          <w:rFonts w:hint="eastAsia" w:hAnsi="宋体"/>
          <w:sz w:val="24"/>
          <w:highlight w:val="none"/>
        </w:rPr>
        <w:t>授权代表：</w:t>
      </w:r>
      <w:r>
        <w:rPr>
          <w:rFonts w:hint="eastAsia" w:hAnsi="宋体"/>
          <w:sz w:val="24"/>
          <w:highlight w:val="none"/>
          <w:u w:val="single"/>
        </w:rPr>
        <w:t xml:space="preserve"> （姓名）                      </w:t>
      </w:r>
      <w:r>
        <w:rPr>
          <w:rFonts w:hint="eastAsia" w:hAnsi="宋体"/>
          <w:sz w:val="24"/>
          <w:highlight w:val="none"/>
        </w:rPr>
        <w:t xml:space="preserve"> </w:t>
      </w:r>
    </w:p>
    <w:p>
      <w:pPr>
        <w:pStyle w:val="12"/>
        <w:tabs>
          <w:tab w:val="left" w:pos="5580"/>
        </w:tabs>
        <w:spacing w:line="560" w:lineRule="exact"/>
        <w:ind w:firstLine="360" w:firstLineChars="150"/>
        <w:rPr>
          <w:rFonts w:hAnsi="宋体"/>
          <w:sz w:val="24"/>
          <w:highlight w:val="none"/>
          <w:u w:val="single"/>
        </w:rPr>
      </w:pPr>
      <w:r>
        <w:rPr>
          <w:rFonts w:hint="eastAsia" w:hAnsi="宋体"/>
          <w:sz w:val="24"/>
          <w:highlight w:val="none"/>
        </w:rPr>
        <w:t>授权代表身份证</w:t>
      </w:r>
      <w:r>
        <w:rPr>
          <w:rFonts w:hAnsi="宋体"/>
          <w:sz w:val="24"/>
          <w:highlight w:val="none"/>
        </w:rPr>
        <w:t>号码</w:t>
      </w:r>
      <w:r>
        <w:rPr>
          <w:rFonts w:hint="eastAsia" w:hAnsi="宋体"/>
          <w:sz w:val="24"/>
          <w:highlight w:val="none"/>
        </w:rPr>
        <w:t>：</w:t>
      </w:r>
      <w:r>
        <w:rPr>
          <w:rFonts w:hint="eastAsia" w:hAnsi="宋体"/>
          <w:sz w:val="24"/>
          <w:highlight w:val="none"/>
          <w:u w:val="single"/>
        </w:rPr>
        <w:t xml:space="preserve">                                    </w:t>
      </w:r>
      <w:r>
        <w:rPr>
          <w:rFonts w:hint="eastAsia" w:hAnsi="宋体"/>
          <w:sz w:val="24"/>
          <w:highlight w:val="none"/>
        </w:rPr>
        <w:t xml:space="preserve">               </w:t>
      </w:r>
    </w:p>
    <w:p>
      <w:pPr>
        <w:pStyle w:val="12"/>
        <w:tabs>
          <w:tab w:val="left" w:pos="5580"/>
        </w:tabs>
        <w:spacing w:line="560" w:lineRule="exact"/>
        <w:ind w:firstLine="360" w:firstLineChars="150"/>
        <w:rPr>
          <w:rFonts w:hAnsi="宋体"/>
          <w:sz w:val="24"/>
          <w:highlight w:val="none"/>
        </w:rPr>
      </w:pPr>
      <w:r>
        <w:rPr>
          <w:rFonts w:hint="eastAsia" w:hAnsi="宋体"/>
          <w:sz w:val="24"/>
          <w:highlight w:val="none"/>
        </w:rPr>
        <w:t>详细通讯地址：</w:t>
      </w:r>
      <w:r>
        <w:rPr>
          <w:rFonts w:hint="eastAsia" w:hAnsi="宋体"/>
          <w:sz w:val="24"/>
          <w:highlight w:val="none"/>
          <w:u w:val="single"/>
        </w:rPr>
        <w:t xml:space="preserve">                                </w:t>
      </w:r>
    </w:p>
    <w:p>
      <w:pPr>
        <w:pStyle w:val="12"/>
        <w:tabs>
          <w:tab w:val="left" w:pos="5580"/>
        </w:tabs>
        <w:spacing w:line="560" w:lineRule="exact"/>
        <w:ind w:firstLine="360" w:firstLineChars="150"/>
        <w:rPr>
          <w:rFonts w:hAnsi="宋体"/>
          <w:sz w:val="24"/>
          <w:highlight w:val="none"/>
        </w:rPr>
      </w:pPr>
      <w:r>
        <w:rPr>
          <w:rFonts w:hint="eastAsia" w:hAnsi="宋体"/>
          <w:sz w:val="24"/>
          <w:highlight w:val="none"/>
        </w:rPr>
        <w:t>邮 政 编 码 ：</w:t>
      </w:r>
      <w:r>
        <w:rPr>
          <w:rFonts w:hint="eastAsia" w:hAnsi="宋体"/>
          <w:sz w:val="24"/>
          <w:highlight w:val="none"/>
          <w:u w:val="single"/>
        </w:rPr>
        <w:t xml:space="preserve">                                </w:t>
      </w:r>
    </w:p>
    <w:p>
      <w:pPr>
        <w:pStyle w:val="12"/>
        <w:tabs>
          <w:tab w:val="left" w:pos="5580"/>
        </w:tabs>
        <w:spacing w:line="560" w:lineRule="exact"/>
        <w:ind w:firstLine="360" w:firstLineChars="150"/>
        <w:rPr>
          <w:rFonts w:hAnsi="宋体"/>
          <w:sz w:val="24"/>
          <w:highlight w:val="none"/>
          <w:u w:val="single"/>
        </w:rPr>
      </w:pPr>
      <w:r>
        <w:rPr>
          <w:rFonts w:hint="eastAsia" w:hAnsi="宋体"/>
          <w:sz w:val="24"/>
          <w:highlight w:val="none"/>
        </w:rPr>
        <w:t>传　　　　真：</w:t>
      </w:r>
      <w:r>
        <w:rPr>
          <w:rFonts w:hint="eastAsia" w:hAnsi="宋体"/>
          <w:sz w:val="24"/>
          <w:highlight w:val="none"/>
          <w:u w:val="single"/>
        </w:rPr>
        <w:t xml:space="preserve">                                </w:t>
      </w:r>
    </w:p>
    <w:p>
      <w:pPr>
        <w:spacing w:line="560" w:lineRule="exact"/>
        <w:ind w:left="120" w:leftChars="57" w:right="-20" w:firstLine="240" w:firstLineChars="100"/>
        <w:jc w:val="left"/>
        <w:rPr>
          <w:rFonts w:ascii="宋体" w:hAnsi="宋体" w:cs="宋体"/>
          <w:kern w:val="0"/>
          <w:sz w:val="24"/>
          <w:highlight w:val="none"/>
        </w:rPr>
      </w:pPr>
      <w:r>
        <w:rPr>
          <w:rFonts w:hint="eastAsia" w:hAnsi="宋体"/>
          <w:sz w:val="24"/>
          <w:highlight w:val="none"/>
        </w:rPr>
        <w:t>电　　　　话：</w:t>
      </w:r>
      <w:r>
        <w:rPr>
          <w:rFonts w:hint="eastAsia" w:hAnsi="宋体"/>
          <w:sz w:val="24"/>
          <w:highlight w:val="none"/>
          <w:u w:val="single"/>
        </w:rPr>
        <w:t xml:space="preserve">                                </w:t>
      </w:r>
      <w:r>
        <w:rPr>
          <w:rFonts w:hint="eastAsia" w:hAnsi="宋体"/>
          <w:sz w:val="24"/>
          <w:highlight w:val="none"/>
        </w:rPr>
        <w:t xml:space="preserve">          </w:t>
      </w:r>
    </w:p>
    <w:p>
      <w:pPr>
        <w:tabs>
          <w:tab w:val="left" w:pos="5580"/>
        </w:tabs>
        <w:spacing w:line="560" w:lineRule="exact"/>
        <w:ind w:firstLine="361" w:firstLineChars="150"/>
        <w:rPr>
          <w:rFonts w:ascii="宋体" w:hAnsi="宋体" w:cs="宋体"/>
          <w:b/>
          <w:kern w:val="0"/>
          <w:sz w:val="24"/>
          <w:szCs w:val="20"/>
          <w:highlight w:val="none"/>
        </w:rPr>
      </w:pPr>
      <w:r>
        <w:rPr>
          <w:rFonts w:hint="eastAsia" w:ascii="宋体" w:hAnsi="宋体" w:cs="宋体"/>
          <w:b/>
          <w:kern w:val="0"/>
          <w:sz w:val="24"/>
          <w:szCs w:val="20"/>
          <w:highlight w:val="none"/>
        </w:rPr>
        <w:br w:type="page"/>
      </w:r>
    </w:p>
    <w:p>
      <w:pPr>
        <w:pStyle w:val="5"/>
        <w:spacing w:line="560" w:lineRule="exact"/>
        <w:rPr>
          <w:rFonts w:hAnsi="宋体" w:cs="宋体"/>
          <w:highlight w:val="none"/>
          <w:u w:val="none"/>
        </w:rPr>
      </w:pPr>
      <w:bookmarkStart w:id="392" w:name="_Toc46235135"/>
      <w:bookmarkStart w:id="393" w:name="_Toc4378"/>
      <w:bookmarkStart w:id="394" w:name="_Toc518923111"/>
      <w:r>
        <w:rPr>
          <w:rFonts w:hint="eastAsia" w:hAnsi="宋体" w:cs="宋体"/>
          <w:highlight w:val="none"/>
          <w:u w:val="none"/>
        </w:rPr>
        <w:t>5.</w:t>
      </w:r>
      <w:bookmarkEnd w:id="392"/>
      <w:bookmarkEnd w:id="393"/>
      <w:r>
        <w:rPr>
          <w:rFonts w:hint="eastAsia" w:hAnsi="宋体" w:cs="宋体"/>
          <w:highlight w:val="none"/>
          <w:u w:val="none"/>
        </w:rPr>
        <w:t>政府采购供应商信用承诺书</w:t>
      </w:r>
    </w:p>
    <w:p>
      <w:pPr>
        <w:tabs>
          <w:tab w:val="left" w:pos="5580"/>
        </w:tabs>
        <w:spacing w:line="560" w:lineRule="exact"/>
        <w:ind w:left="1080" w:leftChars="257" w:hanging="540"/>
        <w:jc w:val="center"/>
        <w:rPr>
          <w:rFonts w:ascii="宋体" w:hAnsi="宋体" w:cs="宋体"/>
          <w:b/>
          <w:sz w:val="24"/>
          <w:szCs w:val="20"/>
          <w:highlight w:val="none"/>
        </w:rPr>
      </w:pPr>
    </w:p>
    <w:p>
      <w:pPr>
        <w:tabs>
          <w:tab w:val="left" w:pos="5580"/>
        </w:tabs>
        <w:spacing w:line="560" w:lineRule="exact"/>
        <w:ind w:left="2100"/>
        <w:rPr>
          <w:rFonts w:ascii="宋体" w:hAnsi="宋体" w:cs="宋体"/>
          <w:b/>
          <w:sz w:val="24"/>
          <w:szCs w:val="20"/>
          <w:highlight w:val="none"/>
        </w:rPr>
      </w:pPr>
    </w:p>
    <w:p>
      <w:pPr>
        <w:pStyle w:val="8"/>
        <w:spacing w:line="560" w:lineRule="exact"/>
        <w:ind w:firstLine="0"/>
        <w:jc w:val="center"/>
        <w:rPr>
          <w:rFonts w:hAnsi="宋体" w:cs="宋体"/>
          <w:b/>
          <w:sz w:val="30"/>
          <w:szCs w:val="30"/>
          <w:highlight w:val="none"/>
        </w:rPr>
      </w:pPr>
      <w:r>
        <w:rPr>
          <w:rFonts w:hint="eastAsia" w:hAnsi="宋体" w:cs="宋体"/>
          <w:b/>
          <w:sz w:val="30"/>
          <w:szCs w:val="30"/>
          <w:highlight w:val="none"/>
        </w:rPr>
        <w:t>政府采购供应商信用承诺书</w:t>
      </w:r>
    </w:p>
    <w:p>
      <w:pPr>
        <w:pStyle w:val="8"/>
        <w:spacing w:line="560" w:lineRule="exact"/>
        <w:ind w:firstLine="0"/>
        <w:jc w:val="center"/>
        <w:rPr>
          <w:rFonts w:hAnsi="宋体"/>
          <w:highlight w:val="none"/>
        </w:rPr>
      </w:pPr>
    </w:p>
    <w:p>
      <w:pPr>
        <w:tabs>
          <w:tab w:val="left" w:pos="5580"/>
        </w:tabs>
        <w:spacing w:line="560" w:lineRule="exact"/>
        <w:ind w:firstLine="480"/>
        <w:rPr>
          <w:rFonts w:ascii="宋体" w:hAnsi="宋体" w:cs="宋体"/>
          <w:sz w:val="24"/>
          <w:szCs w:val="20"/>
          <w:highlight w:val="none"/>
        </w:rPr>
      </w:pPr>
      <w:r>
        <w:rPr>
          <w:rFonts w:hint="eastAsia" w:ascii="宋体" w:hAnsi="宋体" w:cs="宋体"/>
          <w:sz w:val="24"/>
          <w:szCs w:val="20"/>
          <w:highlight w:val="none"/>
        </w:rPr>
        <w:t>本公司（联合体）郑重声明：</w:t>
      </w:r>
    </w:p>
    <w:p>
      <w:pPr>
        <w:tabs>
          <w:tab w:val="left" w:pos="5580"/>
        </w:tabs>
        <w:spacing w:line="560" w:lineRule="exact"/>
        <w:ind w:firstLine="480"/>
        <w:rPr>
          <w:rFonts w:ascii="宋体" w:hAnsi="宋体" w:cs="宋体"/>
          <w:sz w:val="24"/>
          <w:szCs w:val="20"/>
          <w:highlight w:val="none"/>
        </w:rPr>
      </w:pPr>
      <w:r>
        <w:rPr>
          <w:rFonts w:hint="eastAsia" w:ascii="宋体" w:hAnsi="宋体" w:cs="宋体"/>
          <w:sz w:val="24"/>
          <w:szCs w:val="20"/>
          <w:highlight w:val="none"/>
        </w:rPr>
        <w:t>1、承诺具有良好的商业信誉和健全的财务会计制度；</w:t>
      </w:r>
    </w:p>
    <w:p>
      <w:pPr>
        <w:tabs>
          <w:tab w:val="left" w:pos="5580"/>
        </w:tabs>
        <w:spacing w:line="560" w:lineRule="exact"/>
        <w:ind w:firstLine="480" w:firstLineChars="200"/>
        <w:rPr>
          <w:rFonts w:ascii="宋体" w:hAnsi="宋体" w:cs="宋体"/>
          <w:sz w:val="24"/>
          <w:szCs w:val="20"/>
          <w:highlight w:val="none"/>
        </w:rPr>
      </w:pPr>
      <w:r>
        <w:rPr>
          <w:rFonts w:hint="eastAsia" w:ascii="宋体" w:hAnsi="宋体" w:cs="宋体"/>
          <w:sz w:val="24"/>
          <w:szCs w:val="20"/>
          <w:highlight w:val="none"/>
        </w:rPr>
        <w:t>2、承诺依法缴纳税收和社会保障资金；</w:t>
      </w:r>
    </w:p>
    <w:p>
      <w:pPr>
        <w:tabs>
          <w:tab w:val="left" w:pos="5580"/>
        </w:tabs>
        <w:spacing w:line="560" w:lineRule="exact"/>
        <w:ind w:firstLine="480" w:firstLineChars="200"/>
        <w:rPr>
          <w:rFonts w:ascii="宋体" w:hAnsi="宋体" w:cs="宋体"/>
          <w:sz w:val="24"/>
          <w:szCs w:val="20"/>
          <w:highlight w:val="none"/>
        </w:rPr>
      </w:pPr>
      <w:r>
        <w:rPr>
          <w:rFonts w:hint="eastAsia" w:ascii="宋体" w:hAnsi="宋体" w:cs="宋体"/>
          <w:sz w:val="24"/>
          <w:szCs w:val="20"/>
          <w:highlight w:val="none"/>
        </w:rPr>
        <w:t>3、承诺参加政府采购活动前三年内，在经营活动中没有重大违法记录及无行贿犯罪记录。</w:t>
      </w:r>
    </w:p>
    <w:p>
      <w:pPr>
        <w:tabs>
          <w:tab w:val="left" w:pos="5580"/>
        </w:tabs>
        <w:spacing w:line="560" w:lineRule="exact"/>
        <w:ind w:firstLine="480"/>
        <w:rPr>
          <w:rFonts w:ascii="宋体" w:hAnsi="宋体" w:cs="宋体"/>
          <w:sz w:val="24"/>
          <w:szCs w:val="20"/>
          <w:highlight w:val="none"/>
        </w:rPr>
      </w:pPr>
      <w:r>
        <w:rPr>
          <w:rFonts w:hint="eastAsia" w:ascii="宋体" w:hAnsi="宋体" w:cs="宋体"/>
          <w:sz w:val="24"/>
          <w:szCs w:val="20"/>
          <w:highlight w:val="none"/>
        </w:rPr>
        <w:t>供应商应当遵循诚实信用原则，不得作出虚假承诺，若承诺不实的，属于提供虚假材料谋取中标、成交，依法承担相应的法律责任。</w:t>
      </w:r>
    </w:p>
    <w:p>
      <w:pPr>
        <w:pStyle w:val="5"/>
        <w:rPr>
          <w:rFonts w:hAnsi="宋体" w:cs="宋体"/>
          <w:highlight w:val="none"/>
        </w:rPr>
      </w:pPr>
    </w:p>
    <w:p>
      <w:pPr>
        <w:rPr>
          <w:highlight w:val="none"/>
        </w:rPr>
      </w:pPr>
    </w:p>
    <w:p>
      <w:pPr>
        <w:spacing w:line="560" w:lineRule="exact"/>
        <w:jc w:val="right"/>
        <w:rPr>
          <w:rFonts w:eastAsia="Calibri" w:cs="Calibri"/>
          <w:sz w:val="24"/>
          <w:highlight w:val="none"/>
        </w:rPr>
      </w:pPr>
      <w:r>
        <w:rPr>
          <w:rFonts w:hint="eastAsia" w:ascii="宋体" w:hAnsi="宋体" w:cs="宋体"/>
          <w:sz w:val="24"/>
          <w:highlight w:val="none"/>
        </w:rPr>
        <w:t>承诺单位</w:t>
      </w:r>
      <w:r>
        <w:rPr>
          <w:rFonts w:ascii="宋体" w:hAnsi="宋体" w:cs="宋体"/>
          <w:sz w:val="24"/>
          <w:highlight w:val="none"/>
        </w:rPr>
        <w:t>（</w:t>
      </w:r>
      <w:r>
        <w:rPr>
          <w:rFonts w:hint="eastAsia" w:ascii="宋体" w:hAnsi="宋体" w:cs="宋体"/>
          <w:sz w:val="24"/>
          <w:highlight w:val="none"/>
        </w:rPr>
        <w:t>签</w:t>
      </w:r>
      <w:r>
        <w:rPr>
          <w:rFonts w:ascii="宋体" w:hAnsi="宋体" w:cs="宋体"/>
          <w:sz w:val="24"/>
          <w:highlight w:val="none"/>
        </w:rPr>
        <w:t>章）：</w:t>
      </w:r>
      <w:r>
        <w:rPr>
          <w:rFonts w:ascii="宋体" w:hAnsi="宋体" w:cs="宋体"/>
          <w:sz w:val="24"/>
          <w:highlight w:val="none"/>
          <w:u w:val="single"/>
        </w:rPr>
        <w:tab/>
      </w:r>
      <w:r>
        <w:rPr>
          <w:rFonts w:ascii="宋体" w:hAnsi="宋体" w:cs="宋体"/>
          <w:sz w:val="24"/>
          <w:highlight w:val="none"/>
          <w:u w:val="single"/>
        </w:rPr>
        <w:tab/>
      </w:r>
      <w:r>
        <w:rPr>
          <w:rFonts w:ascii="宋体" w:hAnsi="宋体" w:cs="宋体"/>
          <w:sz w:val="24"/>
          <w:highlight w:val="none"/>
          <w:u w:val="single"/>
        </w:rPr>
        <w:tab/>
      </w:r>
      <w:r>
        <w:rPr>
          <w:rFonts w:ascii="宋体" w:hAnsi="宋体" w:cs="宋体"/>
          <w:sz w:val="24"/>
          <w:highlight w:val="none"/>
          <w:u w:val="single"/>
        </w:rPr>
        <w:tab/>
      </w:r>
      <w:r>
        <w:rPr>
          <w:rFonts w:ascii="宋体" w:hAnsi="宋体" w:cs="宋体"/>
          <w:sz w:val="24"/>
          <w:highlight w:val="none"/>
          <w:u w:val="single"/>
        </w:rPr>
        <w:tab/>
      </w:r>
      <w:r>
        <w:rPr>
          <w:rFonts w:ascii="宋体" w:hAnsi="宋体" w:cs="宋体"/>
          <w:sz w:val="24"/>
          <w:highlight w:val="none"/>
          <w:u w:val="single"/>
        </w:rPr>
        <w:tab/>
      </w:r>
      <w:r>
        <w:rPr>
          <w:rFonts w:ascii="宋体" w:hAnsi="宋体" w:cs="宋体"/>
          <w:sz w:val="24"/>
          <w:highlight w:val="none"/>
          <w:u w:val="single"/>
        </w:rPr>
        <w:tab/>
      </w:r>
    </w:p>
    <w:p>
      <w:pPr>
        <w:spacing w:line="560" w:lineRule="exact"/>
        <w:jc w:val="right"/>
        <w:rPr>
          <w:rFonts w:eastAsia="Calibri" w:cs="Calibri"/>
          <w:sz w:val="24"/>
          <w:highlight w:val="none"/>
        </w:rPr>
      </w:pPr>
      <w:r>
        <w:rPr>
          <w:rFonts w:ascii="宋体" w:hAnsi="宋体" w:cs="宋体"/>
          <w:sz w:val="24"/>
          <w:highlight w:val="none"/>
        </w:rPr>
        <w:t>法定代表人或其授权代表（签章）：</w:t>
      </w:r>
      <w:r>
        <w:rPr>
          <w:rFonts w:ascii="宋体" w:hAnsi="宋体" w:cs="宋体"/>
          <w:sz w:val="24"/>
          <w:highlight w:val="none"/>
          <w:u w:val="single"/>
        </w:rPr>
        <w:tab/>
      </w:r>
      <w:r>
        <w:rPr>
          <w:rFonts w:ascii="宋体" w:hAnsi="宋体" w:cs="宋体"/>
          <w:sz w:val="24"/>
          <w:highlight w:val="none"/>
          <w:u w:val="single"/>
        </w:rPr>
        <w:tab/>
      </w:r>
    </w:p>
    <w:p>
      <w:pPr>
        <w:spacing w:line="560" w:lineRule="exact"/>
        <w:jc w:val="right"/>
        <w:rPr>
          <w:rFonts w:ascii="宋体" w:hAnsi="宋体" w:cs="宋体"/>
          <w:sz w:val="24"/>
          <w:highlight w:val="none"/>
        </w:rPr>
      </w:pPr>
      <w:r>
        <w:rPr>
          <w:rFonts w:ascii="宋体" w:hAnsi="宋体" w:cs="宋体"/>
          <w:sz w:val="24"/>
          <w:highlight w:val="none"/>
        </w:rPr>
        <w:t>日    期：      年   月   日</w:t>
      </w:r>
    </w:p>
    <w:p>
      <w:pPr>
        <w:spacing w:line="560" w:lineRule="exact"/>
        <w:ind w:left="482"/>
        <w:rPr>
          <w:rFonts w:ascii="宋体" w:hAnsi="宋体" w:cs="宋体"/>
          <w:sz w:val="24"/>
          <w:highlight w:val="none"/>
        </w:rPr>
      </w:pPr>
    </w:p>
    <w:p>
      <w:pPr>
        <w:spacing w:line="560" w:lineRule="exact"/>
        <w:ind w:left="482"/>
        <w:rPr>
          <w:rFonts w:ascii="宋体" w:hAnsi="宋体" w:cs="宋体"/>
          <w:sz w:val="24"/>
          <w:highlight w:val="none"/>
        </w:rPr>
      </w:pPr>
    </w:p>
    <w:p>
      <w:pPr>
        <w:tabs>
          <w:tab w:val="left" w:pos="5580"/>
        </w:tabs>
        <w:spacing w:line="560" w:lineRule="exact"/>
        <w:rPr>
          <w:rFonts w:ascii="宋体" w:hAnsi="宋体" w:cs="宋体"/>
          <w:sz w:val="24"/>
          <w:highlight w:val="none"/>
        </w:rPr>
      </w:pPr>
    </w:p>
    <w:p>
      <w:pPr>
        <w:spacing w:line="560" w:lineRule="exact"/>
        <w:rPr>
          <w:rFonts w:hAnsi="宋体" w:cs="宋体"/>
          <w:highlight w:val="none"/>
        </w:rPr>
      </w:pPr>
      <w:bookmarkStart w:id="395" w:name="_Toc46235136"/>
      <w:bookmarkStart w:id="396" w:name="_Toc518923112"/>
      <w:r>
        <w:rPr>
          <w:rFonts w:hint="eastAsia" w:hAnsi="宋体" w:cs="宋体"/>
          <w:highlight w:val="none"/>
        </w:rPr>
        <w:br w:type="page"/>
      </w:r>
    </w:p>
    <w:bookmarkEnd w:id="394"/>
    <w:bookmarkEnd w:id="395"/>
    <w:bookmarkEnd w:id="396"/>
    <w:p>
      <w:pPr>
        <w:pStyle w:val="4"/>
        <w:spacing w:line="560" w:lineRule="exact"/>
        <w:ind w:left="774" w:hanging="774" w:hangingChars="257"/>
        <w:rPr>
          <w:rFonts w:ascii="宋体" w:hAnsi="宋体" w:eastAsia="宋体" w:cs="宋体"/>
          <w:highlight w:val="none"/>
        </w:rPr>
      </w:pPr>
      <w:bookmarkStart w:id="397" w:name="_Toc46235139"/>
      <w:bookmarkStart w:id="398" w:name="_Toc518923115"/>
      <w:bookmarkStart w:id="399" w:name="_Toc16923"/>
      <w:r>
        <w:rPr>
          <w:rFonts w:hint="eastAsia" w:ascii="宋体" w:hAnsi="宋体" w:eastAsia="宋体" w:cs="宋体"/>
          <w:highlight w:val="none"/>
        </w:rPr>
        <w:t>三、商务及技术文件</w:t>
      </w:r>
      <w:bookmarkEnd w:id="397"/>
      <w:bookmarkEnd w:id="398"/>
      <w:bookmarkEnd w:id="399"/>
    </w:p>
    <w:p>
      <w:pPr>
        <w:spacing w:line="560" w:lineRule="exact"/>
        <w:ind w:left="1080" w:leftChars="257" w:hanging="540"/>
        <w:rPr>
          <w:rFonts w:ascii="宋体" w:hAnsi="宋体" w:cs="宋体"/>
          <w:sz w:val="24"/>
          <w:szCs w:val="20"/>
          <w:highlight w:val="none"/>
        </w:rPr>
      </w:pPr>
    </w:p>
    <w:p>
      <w:pPr>
        <w:pStyle w:val="5"/>
        <w:spacing w:line="560" w:lineRule="exact"/>
        <w:rPr>
          <w:rFonts w:hAnsi="宋体" w:cs="宋体"/>
          <w:highlight w:val="none"/>
          <w:u w:val="none"/>
        </w:rPr>
      </w:pPr>
      <w:bookmarkStart w:id="400" w:name="_Hlt520355504"/>
      <w:bookmarkEnd w:id="400"/>
      <w:bookmarkStart w:id="401" w:name="_Toc46235140"/>
      <w:bookmarkStart w:id="402" w:name="_Toc9012"/>
      <w:bookmarkStart w:id="403" w:name="_Toc518923116"/>
      <w:r>
        <w:rPr>
          <w:rFonts w:hint="eastAsia" w:hAnsi="宋体" w:cs="宋体"/>
          <w:highlight w:val="none"/>
          <w:u w:val="none"/>
        </w:rPr>
        <w:t>6.响应文件</w:t>
      </w:r>
      <w:bookmarkEnd w:id="372"/>
      <w:bookmarkEnd w:id="373"/>
      <w:r>
        <w:rPr>
          <w:rFonts w:hint="eastAsia" w:hAnsi="宋体" w:cs="宋体"/>
          <w:highlight w:val="none"/>
          <w:u w:val="none"/>
        </w:rPr>
        <w:t>书</w:t>
      </w:r>
      <w:bookmarkEnd w:id="374"/>
      <w:bookmarkEnd w:id="375"/>
      <w:bookmarkEnd w:id="401"/>
      <w:bookmarkEnd w:id="402"/>
      <w:bookmarkEnd w:id="403"/>
    </w:p>
    <w:p>
      <w:pPr>
        <w:tabs>
          <w:tab w:val="left" w:pos="5580"/>
        </w:tabs>
        <w:spacing w:line="560" w:lineRule="exact"/>
        <w:ind w:left="1080" w:leftChars="257" w:hanging="540"/>
        <w:rPr>
          <w:rFonts w:ascii="宋体" w:hAnsi="宋体" w:cs="宋体"/>
          <w:sz w:val="24"/>
          <w:highlight w:val="none"/>
        </w:rPr>
      </w:pPr>
    </w:p>
    <w:p>
      <w:pPr>
        <w:tabs>
          <w:tab w:val="left" w:pos="5580"/>
        </w:tabs>
        <w:spacing w:line="560" w:lineRule="exact"/>
        <w:ind w:left="1080" w:hanging="1080"/>
        <w:rPr>
          <w:rFonts w:ascii="宋体" w:hAnsi="宋体" w:cs="宋体"/>
          <w:sz w:val="24"/>
          <w:highlight w:val="none"/>
        </w:rPr>
      </w:pPr>
      <w:r>
        <w:rPr>
          <w:rFonts w:hint="eastAsia" w:ascii="宋体" w:hAnsi="宋体" w:cs="宋体"/>
          <w:sz w:val="24"/>
          <w:highlight w:val="none"/>
        </w:rPr>
        <w:t>致：</w:t>
      </w:r>
      <w:r>
        <w:rPr>
          <w:rFonts w:hint="eastAsia" w:ascii="宋体" w:hAnsi="宋体" w:cs="宋体"/>
          <w:sz w:val="24"/>
          <w:szCs w:val="20"/>
          <w:highlight w:val="none"/>
          <w:u w:val="single"/>
        </w:rPr>
        <w:t xml:space="preserve">                     </w:t>
      </w:r>
      <w:r>
        <w:rPr>
          <w:rFonts w:hint="eastAsia" w:ascii="宋体" w:hAnsi="宋体" w:cs="宋体"/>
          <w:sz w:val="24"/>
          <w:szCs w:val="20"/>
          <w:highlight w:val="none"/>
        </w:rPr>
        <w:t>（采购人）</w:t>
      </w:r>
    </w:p>
    <w:p>
      <w:pPr>
        <w:tabs>
          <w:tab w:val="left" w:pos="5580"/>
        </w:tabs>
        <w:spacing w:line="560" w:lineRule="exact"/>
        <w:ind w:left="1080" w:leftChars="257" w:hanging="540"/>
        <w:rPr>
          <w:rFonts w:ascii="宋体" w:hAnsi="宋体" w:cs="宋体"/>
          <w:sz w:val="24"/>
          <w:szCs w:val="20"/>
          <w:highlight w:val="none"/>
        </w:rPr>
      </w:pPr>
    </w:p>
    <w:p>
      <w:pPr>
        <w:pStyle w:val="12"/>
        <w:tabs>
          <w:tab w:val="left" w:pos="5580"/>
        </w:tabs>
        <w:spacing w:line="560" w:lineRule="exact"/>
        <w:ind w:left="2" w:leftChars="1" w:firstLine="480" w:firstLineChars="200"/>
        <w:rPr>
          <w:rFonts w:hAnsi="宋体"/>
          <w:b/>
          <w:sz w:val="24"/>
          <w:highlight w:val="none"/>
        </w:rPr>
      </w:pPr>
      <w:bookmarkStart w:id="404" w:name="_Toc45562518"/>
      <w:bookmarkStart w:id="405" w:name="_Toc46235141"/>
      <w:bookmarkStart w:id="406" w:name="_Toc216582818"/>
      <w:bookmarkStart w:id="407" w:name="_Toc518923119"/>
      <w:bookmarkStart w:id="408" w:name="_Toc216582815"/>
      <w:r>
        <w:rPr>
          <w:rFonts w:hint="eastAsia" w:hAnsi="宋体"/>
          <w:sz w:val="24"/>
          <w:highlight w:val="none"/>
          <w:u w:val="single"/>
        </w:rPr>
        <w:t> （供应商全称）</w:t>
      </w:r>
      <w:r>
        <w:rPr>
          <w:rFonts w:hint="eastAsia" w:hAnsi="宋体"/>
          <w:sz w:val="24"/>
          <w:highlight w:val="none"/>
        </w:rPr>
        <w:t>法定代表人</w:t>
      </w:r>
      <w:r>
        <w:rPr>
          <w:rFonts w:hint="eastAsia" w:hAnsi="宋体"/>
          <w:sz w:val="24"/>
          <w:highlight w:val="none"/>
          <w:u w:val="single"/>
        </w:rPr>
        <w:t xml:space="preserve">       </w:t>
      </w:r>
      <w:r>
        <w:rPr>
          <w:rFonts w:hint="eastAsia" w:hAnsi="宋体"/>
          <w:sz w:val="24"/>
          <w:highlight w:val="none"/>
        </w:rPr>
        <w:t>授权</w:t>
      </w:r>
      <w:r>
        <w:rPr>
          <w:rFonts w:hint="eastAsia" w:hAnsi="宋体"/>
          <w:sz w:val="24"/>
          <w:highlight w:val="none"/>
          <w:u w:val="single"/>
        </w:rPr>
        <w:t xml:space="preserve">       </w:t>
      </w:r>
      <w:r>
        <w:rPr>
          <w:rFonts w:hint="eastAsia" w:hAnsi="宋体"/>
          <w:sz w:val="24"/>
          <w:highlight w:val="none"/>
        </w:rPr>
        <w:t>（被授权代表人姓名）全权参加贵方组织的</w:t>
      </w:r>
      <w:r>
        <w:rPr>
          <w:rFonts w:hint="eastAsia" w:hAnsi="宋体"/>
          <w:sz w:val="24"/>
          <w:highlight w:val="none"/>
          <w:u w:val="single"/>
        </w:rPr>
        <w:t xml:space="preserve">             </w:t>
      </w:r>
      <w:r>
        <w:rPr>
          <w:rFonts w:hint="eastAsia" w:hAnsi="宋体"/>
          <w:sz w:val="24"/>
          <w:highlight w:val="none"/>
        </w:rPr>
        <w:t>（项目编号、项目名称）采购的有关活动，并对</w:t>
      </w:r>
      <w:r>
        <w:rPr>
          <w:rFonts w:hint="eastAsia" w:hAnsi="宋体"/>
          <w:sz w:val="24"/>
          <w:highlight w:val="none"/>
          <w:u w:val="single"/>
        </w:rPr>
        <w:t>       </w:t>
      </w:r>
      <w:r>
        <w:rPr>
          <w:rFonts w:hint="eastAsia" w:hAnsi="宋体"/>
          <w:sz w:val="24"/>
          <w:highlight w:val="none"/>
        </w:rPr>
        <w:t xml:space="preserve"> （项目名称）进行响应，提交加密电子响应文件</w:t>
      </w:r>
      <w:r>
        <w:rPr>
          <w:rFonts w:hAnsi="宋体"/>
          <w:sz w:val="24"/>
          <w:highlight w:val="none"/>
          <w:u w:val="single"/>
        </w:rPr>
        <w:t xml:space="preserve"> </w:t>
      </w:r>
      <w:r>
        <w:rPr>
          <w:rFonts w:hint="eastAsia" w:hAnsi="宋体"/>
          <w:sz w:val="24"/>
          <w:highlight w:val="none"/>
          <w:u w:val="single"/>
        </w:rPr>
        <w:t xml:space="preserve"> </w:t>
      </w:r>
      <w:r>
        <w:rPr>
          <w:rFonts w:hAnsi="宋体"/>
          <w:sz w:val="24"/>
          <w:highlight w:val="none"/>
          <w:u w:val="single"/>
        </w:rPr>
        <w:t xml:space="preserve"> </w:t>
      </w:r>
      <w:r>
        <w:rPr>
          <w:rFonts w:hint="eastAsia" w:hAnsi="宋体"/>
          <w:sz w:val="24"/>
          <w:highlight w:val="none"/>
        </w:rPr>
        <w:t>份。</w:t>
      </w:r>
    </w:p>
    <w:p>
      <w:pPr>
        <w:tabs>
          <w:tab w:val="left" w:pos="5580"/>
        </w:tabs>
        <w:spacing w:line="560" w:lineRule="exact"/>
        <w:ind w:left="1080" w:leftChars="257" w:hanging="540"/>
        <w:rPr>
          <w:rFonts w:ascii="宋体" w:hAnsi="宋体"/>
          <w:sz w:val="24"/>
          <w:szCs w:val="20"/>
          <w:highlight w:val="none"/>
        </w:rPr>
      </w:pPr>
      <w:r>
        <w:rPr>
          <w:rFonts w:hint="eastAsia" w:ascii="宋体" w:hAnsi="宋体"/>
          <w:sz w:val="24"/>
          <w:szCs w:val="20"/>
          <w:highlight w:val="none"/>
        </w:rPr>
        <w:t>据此，签字代表宣布同意如下：</w:t>
      </w:r>
    </w:p>
    <w:p>
      <w:pPr>
        <w:pStyle w:val="12"/>
        <w:tabs>
          <w:tab w:val="left" w:pos="720"/>
          <w:tab w:val="left" w:pos="900"/>
        </w:tabs>
        <w:spacing w:line="560" w:lineRule="exact"/>
        <w:ind w:left="769" w:leftChars="257" w:hanging="229"/>
        <w:rPr>
          <w:rFonts w:hAnsi="宋体"/>
          <w:sz w:val="24"/>
          <w:highlight w:val="none"/>
          <w:u w:val="single"/>
        </w:rPr>
      </w:pPr>
      <w:r>
        <w:rPr>
          <w:rFonts w:hint="eastAsia" w:hAnsi="宋体"/>
          <w:sz w:val="24"/>
          <w:highlight w:val="none"/>
        </w:rPr>
        <w:t>（1）响应总价详见开标</w:t>
      </w:r>
      <w:r>
        <w:rPr>
          <w:rFonts w:hAnsi="宋体"/>
          <w:sz w:val="24"/>
          <w:highlight w:val="none"/>
        </w:rPr>
        <w:t>一览表，</w:t>
      </w:r>
      <w:r>
        <w:rPr>
          <w:rFonts w:hint="eastAsia" w:hAnsi="宋体"/>
          <w:sz w:val="24"/>
          <w:highlight w:val="none"/>
          <w:u w:val="single"/>
        </w:rPr>
        <w:t>其中由</w:t>
      </w:r>
      <w:r>
        <w:rPr>
          <w:rFonts w:hAnsi="宋体"/>
          <w:sz w:val="24"/>
          <w:highlight w:val="none"/>
          <w:u w:val="single"/>
        </w:rPr>
        <w:t>小型和</w:t>
      </w:r>
      <w:r>
        <w:rPr>
          <w:rFonts w:hAnsi="宋体"/>
          <w:sz w:val="24"/>
          <w:highlight w:val="none"/>
        </w:rPr>
        <w:t>微型企业</w:t>
      </w:r>
      <w:r>
        <w:rPr>
          <w:rFonts w:hint="eastAsia" w:hAnsi="宋体"/>
          <w:sz w:val="24"/>
          <w:highlight w:val="none"/>
        </w:rPr>
        <w:t>制造</w:t>
      </w:r>
      <w:r>
        <w:rPr>
          <w:rFonts w:hAnsi="宋体"/>
          <w:sz w:val="24"/>
          <w:highlight w:val="none"/>
        </w:rPr>
        <w:t>产品的价格</w:t>
      </w:r>
      <w:r>
        <w:rPr>
          <w:rFonts w:hint="eastAsia" w:hAnsi="宋体"/>
          <w:sz w:val="24"/>
          <w:highlight w:val="none"/>
        </w:rPr>
        <w:t>为</w:t>
      </w:r>
      <w:r>
        <w:rPr>
          <w:rFonts w:hint="eastAsia" w:hAnsi="宋体"/>
          <w:sz w:val="24"/>
          <w:highlight w:val="none"/>
          <w:u w:val="single"/>
        </w:rPr>
        <w:t>　　  （用文字和数字表示），占响应总价   %</w:t>
      </w:r>
      <w:r>
        <w:rPr>
          <w:rFonts w:hint="eastAsia" w:hAnsi="宋体"/>
          <w:sz w:val="24"/>
          <w:highlight w:val="none"/>
        </w:rPr>
        <w:t>。</w:t>
      </w:r>
    </w:p>
    <w:p>
      <w:pPr>
        <w:tabs>
          <w:tab w:val="left" w:pos="5580"/>
        </w:tabs>
        <w:spacing w:line="560" w:lineRule="exact"/>
        <w:ind w:firstLine="480" w:firstLineChars="200"/>
        <w:rPr>
          <w:rFonts w:ascii="宋体" w:hAnsi="宋体"/>
          <w:sz w:val="24"/>
          <w:szCs w:val="20"/>
          <w:highlight w:val="none"/>
        </w:rPr>
      </w:pPr>
      <w:r>
        <w:rPr>
          <w:rFonts w:hint="eastAsia" w:ascii="宋体" w:hAnsi="宋体"/>
          <w:sz w:val="24"/>
          <w:szCs w:val="20"/>
          <w:highlight w:val="none"/>
        </w:rPr>
        <w:t>（2）本响应有效期为提交响应文件截止之日起</w:t>
      </w:r>
      <w:r>
        <w:rPr>
          <w:rFonts w:hint="eastAsia" w:ascii="宋体" w:hAnsi="宋体"/>
          <w:sz w:val="24"/>
          <w:szCs w:val="20"/>
          <w:highlight w:val="none"/>
          <w:u w:val="single"/>
        </w:rPr>
        <w:t xml:space="preserve">    </w:t>
      </w:r>
      <w:r>
        <w:rPr>
          <w:rFonts w:hint="eastAsia" w:ascii="宋体" w:hAnsi="宋体"/>
          <w:sz w:val="24"/>
          <w:szCs w:val="20"/>
          <w:highlight w:val="none"/>
        </w:rPr>
        <w:t>个日历日。</w:t>
      </w:r>
    </w:p>
    <w:p>
      <w:pPr>
        <w:tabs>
          <w:tab w:val="left" w:pos="5580"/>
        </w:tabs>
        <w:spacing w:line="560" w:lineRule="exact"/>
        <w:ind w:left="1080" w:leftChars="257" w:hanging="540"/>
        <w:rPr>
          <w:rFonts w:ascii="宋体" w:hAnsi="宋体"/>
          <w:sz w:val="24"/>
          <w:szCs w:val="20"/>
          <w:highlight w:val="none"/>
        </w:rPr>
      </w:pPr>
      <w:r>
        <w:rPr>
          <w:rFonts w:hint="eastAsia" w:ascii="宋体" w:hAnsi="宋体"/>
          <w:sz w:val="24"/>
          <w:szCs w:val="20"/>
          <w:highlight w:val="none"/>
        </w:rPr>
        <w:t>（3）已详细审查全部竞争性谈判文件，包括所有补充通知（如果有的话），完全理解并同意放弃对这方面有不明、误解和质疑的权力。</w:t>
      </w:r>
    </w:p>
    <w:p>
      <w:pPr>
        <w:tabs>
          <w:tab w:val="left" w:pos="5580"/>
        </w:tabs>
        <w:spacing w:line="560" w:lineRule="exact"/>
        <w:ind w:left="1080" w:leftChars="257" w:hanging="540"/>
        <w:rPr>
          <w:rFonts w:ascii="宋体" w:hAnsi="宋体"/>
          <w:sz w:val="24"/>
          <w:szCs w:val="20"/>
          <w:highlight w:val="none"/>
          <w:u w:val="single"/>
        </w:rPr>
      </w:pPr>
      <w:r>
        <w:rPr>
          <w:rFonts w:hint="eastAsia" w:ascii="宋体" w:hAnsi="宋体"/>
          <w:sz w:val="24"/>
          <w:szCs w:val="20"/>
          <w:highlight w:val="none"/>
        </w:rPr>
        <w:t>（4）</w:t>
      </w:r>
      <w:r>
        <w:rPr>
          <w:rFonts w:ascii="宋体" w:hAnsi="宋体"/>
          <w:sz w:val="24"/>
          <w:szCs w:val="20"/>
          <w:highlight w:val="none"/>
        </w:rPr>
        <w:t>联合体</w:t>
      </w:r>
      <w:r>
        <w:rPr>
          <w:rFonts w:hint="eastAsia" w:ascii="宋体" w:hAnsi="宋体"/>
          <w:sz w:val="24"/>
          <w:szCs w:val="20"/>
          <w:highlight w:val="none"/>
        </w:rPr>
        <w:t>中</w:t>
      </w:r>
      <w:r>
        <w:rPr>
          <w:rFonts w:ascii="宋体" w:hAnsi="宋体"/>
          <w:sz w:val="24"/>
          <w:szCs w:val="20"/>
          <w:highlight w:val="none"/>
        </w:rPr>
        <w:t>的大中型企业和其他自然人、法人或者</w:t>
      </w:r>
      <w:r>
        <w:rPr>
          <w:rFonts w:hint="eastAsia" w:ascii="宋体" w:hAnsi="宋体"/>
          <w:sz w:val="24"/>
          <w:szCs w:val="20"/>
          <w:highlight w:val="none"/>
        </w:rPr>
        <w:t>其他组织</w:t>
      </w:r>
      <w:r>
        <w:rPr>
          <w:rFonts w:ascii="宋体" w:hAnsi="宋体"/>
          <w:sz w:val="24"/>
          <w:szCs w:val="20"/>
          <w:highlight w:val="none"/>
        </w:rPr>
        <w:t>，与</w:t>
      </w:r>
      <w:r>
        <w:rPr>
          <w:rFonts w:hint="eastAsia" w:ascii="宋体" w:hAnsi="宋体"/>
          <w:sz w:val="24"/>
          <w:szCs w:val="20"/>
          <w:highlight w:val="none"/>
        </w:rPr>
        <w:t>联合体中的</w:t>
      </w:r>
      <w:r>
        <w:rPr>
          <w:rFonts w:ascii="宋体" w:hAnsi="宋体"/>
          <w:sz w:val="24"/>
          <w:szCs w:val="20"/>
          <w:highlight w:val="none"/>
        </w:rPr>
        <w:t>小型、微型企业之间</w:t>
      </w:r>
      <w:r>
        <w:rPr>
          <w:rFonts w:hint="eastAsia" w:ascii="宋体" w:hAnsi="宋体"/>
          <w:sz w:val="24"/>
          <w:szCs w:val="20"/>
          <w:highlight w:val="none"/>
          <w:u w:val="single"/>
        </w:rPr>
        <w:t xml:space="preserve">     （</w:t>
      </w:r>
      <w:r>
        <w:rPr>
          <w:rFonts w:ascii="宋体" w:hAnsi="宋体"/>
          <w:sz w:val="24"/>
          <w:szCs w:val="20"/>
          <w:highlight w:val="none"/>
        </w:rPr>
        <w:t>存在</w:t>
      </w:r>
      <w:r>
        <w:rPr>
          <w:rFonts w:hint="eastAsia" w:ascii="宋体" w:hAnsi="宋体"/>
          <w:sz w:val="24"/>
          <w:szCs w:val="20"/>
          <w:highlight w:val="none"/>
        </w:rPr>
        <w:t>、不存在）</w:t>
      </w:r>
      <w:r>
        <w:rPr>
          <w:rFonts w:ascii="宋体" w:hAnsi="宋体"/>
          <w:sz w:val="24"/>
          <w:szCs w:val="20"/>
          <w:highlight w:val="none"/>
        </w:rPr>
        <w:t>投资关系</w:t>
      </w:r>
      <w:r>
        <w:rPr>
          <w:rFonts w:hint="eastAsia" w:ascii="宋体" w:hAnsi="宋体"/>
          <w:sz w:val="24"/>
          <w:szCs w:val="20"/>
          <w:highlight w:val="none"/>
        </w:rPr>
        <w:t>（如有）。</w:t>
      </w:r>
    </w:p>
    <w:p>
      <w:pPr>
        <w:tabs>
          <w:tab w:val="left" w:pos="5580"/>
        </w:tabs>
        <w:spacing w:line="560" w:lineRule="exact"/>
        <w:ind w:left="1080" w:leftChars="257" w:hanging="540"/>
        <w:rPr>
          <w:rFonts w:ascii="宋体" w:hAnsi="宋体"/>
          <w:sz w:val="24"/>
          <w:szCs w:val="20"/>
          <w:highlight w:val="none"/>
        </w:rPr>
      </w:pPr>
      <w:r>
        <w:rPr>
          <w:rFonts w:hint="eastAsia" w:ascii="宋体" w:hAnsi="宋体"/>
          <w:sz w:val="24"/>
          <w:szCs w:val="20"/>
          <w:highlight w:val="none"/>
        </w:rPr>
        <w:t>（5）我方不是</w:t>
      </w:r>
      <w:r>
        <w:rPr>
          <w:rFonts w:ascii="宋体" w:hAnsi="宋体"/>
          <w:sz w:val="24"/>
          <w:szCs w:val="20"/>
          <w:highlight w:val="none"/>
        </w:rPr>
        <w:t>为</w:t>
      </w:r>
      <w:r>
        <w:rPr>
          <w:rFonts w:hint="eastAsia" w:ascii="宋体" w:hAnsi="宋体"/>
          <w:sz w:val="24"/>
          <w:szCs w:val="20"/>
          <w:highlight w:val="none"/>
        </w:rPr>
        <w:t>本</w:t>
      </w:r>
      <w:r>
        <w:rPr>
          <w:rFonts w:ascii="宋体" w:hAnsi="宋体"/>
          <w:sz w:val="24"/>
          <w:szCs w:val="20"/>
          <w:highlight w:val="none"/>
        </w:rPr>
        <w:t>项目提供整体</w:t>
      </w:r>
      <w:r>
        <w:rPr>
          <w:rFonts w:hint="eastAsia" w:ascii="宋体" w:hAnsi="宋体"/>
          <w:sz w:val="24"/>
          <w:szCs w:val="20"/>
          <w:highlight w:val="none"/>
        </w:rPr>
        <w:t>设计</w:t>
      </w:r>
      <w:r>
        <w:rPr>
          <w:rFonts w:ascii="宋体" w:hAnsi="宋体"/>
          <w:sz w:val="24"/>
          <w:szCs w:val="20"/>
          <w:highlight w:val="none"/>
        </w:rPr>
        <w:t>、规范编制或者项目管理、监理、检测等服务的</w:t>
      </w:r>
      <w:r>
        <w:rPr>
          <w:rFonts w:hint="eastAsia" w:ascii="宋体" w:hAnsi="宋体"/>
          <w:sz w:val="24"/>
          <w:szCs w:val="20"/>
          <w:highlight w:val="none"/>
        </w:rPr>
        <w:t>供应商，我方不是采购代理机构的附属机构。</w:t>
      </w:r>
    </w:p>
    <w:p>
      <w:pPr>
        <w:tabs>
          <w:tab w:val="left" w:pos="5580"/>
        </w:tabs>
        <w:spacing w:line="560" w:lineRule="exact"/>
        <w:ind w:left="1080" w:leftChars="257" w:hanging="540"/>
        <w:rPr>
          <w:rFonts w:ascii="宋体" w:hAnsi="宋体"/>
          <w:sz w:val="24"/>
          <w:szCs w:val="20"/>
          <w:highlight w:val="none"/>
        </w:rPr>
      </w:pPr>
      <w:r>
        <w:rPr>
          <w:rFonts w:hint="eastAsia" w:ascii="宋体" w:hAnsi="宋体"/>
          <w:sz w:val="24"/>
          <w:szCs w:val="20"/>
          <w:highlight w:val="none"/>
        </w:rPr>
        <w:t>（6）按照贵方可能要求，提供与其响应有关的一切数据或资料。</w:t>
      </w:r>
    </w:p>
    <w:p>
      <w:pPr>
        <w:tabs>
          <w:tab w:val="left" w:pos="5580"/>
        </w:tabs>
        <w:spacing w:line="560" w:lineRule="exact"/>
        <w:ind w:left="1080" w:leftChars="257" w:hanging="540"/>
        <w:rPr>
          <w:rFonts w:ascii="宋体" w:hAnsi="宋体"/>
          <w:sz w:val="24"/>
          <w:szCs w:val="20"/>
          <w:highlight w:val="none"/>
        </w:rPr>
      </w:pPr>
      <w:r>
        <w:rPr>
          <w:rFonts w:hint="eastAsia" w:ascii="宋体" w:hAnsi="宋体"/>
          <w:sz w:val="24"/>
          <w:szCs w:val="20"/>
          <w:highlight w:val="none"/>
        </w:rPr>
        <w:t>（7）我方保证所报货物均为原厂正品，否则，由此产生的一切法律责任由我方承担。</w:t>
      </w:r>
    </w:p>
    <w:p>
      <w:pPr>
        <w:pStyle w:val="38"/>
        <w:spacing w:line="560" w:lineRule="exact"/>
        <w:ind w:firstLine="480"/>
        <w:rPr>
          <w:rFonts w:ascii="宋体" w:hAnsi="宋体"/>
          <w:kern w:val="2"/>
          <w:szCs w:val="20"/>
          <w:highlight w:val="none"/>
        </w:rPr>
      </w:pPr>
      <w:r>
        <w:rPr>
          <w:rFonts w:hint="eastAsia" w:ascii="宋体" w:hAnsi="宋体"/>
          <w:highlight w:val="none"/>
        </w:rPr>
        <w:t>（8）</w:t>
      </w:r>
      <w:r>
        <w:rPr>
          <w:rFonts w:hint="eastAsia" w:ascii="宋体" w:hAnsi="宋体"/>
          <w:kern w:val="2"/>
          <w:szCs w:val="20"/>
          <w:highlight w:val="none"/>
        </w:rPr>
        <w:t>在领成交通知书的</w:t>
      </w:r>
      <w:r>
        <w:rPr>
          <w:rFonts w:ascii="宋体" w:hAnsi="宋体"/>
          <w:kern w:val="2"/>
          <w:szCs w:val="20"/>
          <w:highlight w:val="none"/>
        </w:rPr>
        <w:t>同</w:t>
      </w:r>
      <w:r>
        <w:rPr>
          <w:rFonts w:hint="eastAsia" w:ascii="宋体" w:hAnsi="宋体"/>
          <w:kern w:val="2"/>
          <w:szCs w:val="20"/>
          <w:highlight w:val="none"/>
        </w:rPr>
        <w:t>时按</w:t>
      </w:r>
      <w:r>
        <w:rPr>
          <w:rFonts w:hint="eastAsia" w:hAnsi="宋体" w:cs="宋体"/>
          <w:highlight w:val="none"/>
        </w:rPr>
        <w:t>竞争性谈判文件</w:t>
      </w:r>
      <w:r>
        <w:rPr>
          <w:rFonts w:hint="eastAsia" w:ascii="宋体" w:hAnsi="宋体"/>
          <w:kern w:val="2"/>
          <w:szCs w:val="20"/>
          <w:highlight w:val="none"/>
        </w:rPr>
        <w:t>规定的</w:t>
      </w:r>
      <w:r>
        <w:rPr>
          <w:rFonts w:ascii="宋体" w:hAnsi="宋体"/>
          <w:kern w:val="2"/>
          <w:szCs w:val="20"/>
          <w:highlight w:val="none"/>
        </w:rPr>
        <w:t>形式</w:t>
      </w:r>
      <w:r>
        <w:rPr>
          <w:rFonts w:hint="eastAsia" w:ascii="宋体" w:hAnsi="宋体"/>
          <w:kern w:val="2"/>
          <w:szCs w:val="20"/>
          <w:highlight w:val="none"/>
        </w:rPr>
        <w:t>，向采购代理机构一次性支付成交服务费。</w:t>
      </w:r>
    </w:p>
    <w:p>
      <w:pPr>
        <w:tabs>
          <w:tab w:val="left" w:pos="5580"/>
        </w:tabs>
        <w:spacing w:line="560" w:lineRule="exact"/>
        <w:ind w:left="1080" w:leftChars="257" w:hanging="540"/>
        <w:rPr>
          <w:rFonts w:ascii="宋体" w:hAnsi="宋体"/>
          <w:sz w:val="24"/>
          <w:szCs w:val="20"/>
          <w:highlight w:val="none"/>
        </w:rPr>
      </w:pPr>
      <w:r>
        <w:rPr>
          <w:rFonts w:hint="eastAsia" w:ascii="宋体" w:hAnsi="宋体"/>
          <w:sz w:val="24"/>
          <w:szCs w:val="20"/>
          <w:highlight w:val="none"/>
        </w:rPr>
        <w:t>（9）按照</w:t>
      </w:r>
      <w:r>
        <w:rPr>
          <w:rFonts w:hint="eastAsia" w:hAnsi="宋体" w:cs="宋体"/>
          <w:sz w:val="24"/>
          <w:highlight w:val="none"/>
        </w:rPr>
        <w:t>竞争性谈判文件</w:t>
      </w:r>
      <w:r>
        <w:rPr>
          <w:rFonts w:hint="eastAsia" w:ascii="宋体" w:hAnsi="宋体"/>
          <w:sz w:val="24"/>
          <w:szCs w:val="20"/>
          <w:highlight w:val="none"/>
        </w:rPr>
        <w:t>的规定履行合同责任和义务。</w:t>
      </w:r>
    </w:p>
    <w:p>
      <w:pPr>
        <w:tabs>
          <w:tab w:val="left" w:pos="5580"/>
        </w:tabs>
        <w:spacing w:line="560" w:lineRule="exact"/>
        <w:ind w:left="359" w:leftChars="68" w:hanging="216" w:hangingChars="90"/>
        <w:rPr>
          <w:rFonts w:ascii="宋体" w:hAnsi="宋体"/>
          <w:sz w:val="24"/>
          <w:szCs w:val="20"/>
          <w:highlight w:val="none"/>
        </w:rPr>
      </w:pPr>
      <w:r>
        <w:rPr>
          <w:rFonts w:hint="eastAsia" w:ascii="宋体" w:hAnsi="宋体"/>
          <w:sz w:val="24"/>
          <w:szCs w:val="20"/>
          <w:highlight w:val="none"/>
        </w:rPr>
        <w:t xml:space="preserve">  与本响应有关的一切正式往来信函请寄：</w:t>
      </w:r>
    </w:p>
    <w:p>
      <w:pPr>
        <w:tabs>
          <w:tab w:val="left" w:pos="5580"/>
        </w:tabs>
        <w:spacing w:line="560" w:lineRule="exact"/>
        <w:ind w:left="1080" w:leftChars="257" w:hanging="540"/>
        <w:rPr>
          <w:rFonts w:ascii="宋体" w:hAnsi="宋体"/>
          <w:sz w:val="24"/>
          <w:szCs w:val="20"/>
          <w:highlight w:val="none"/>
        </w:rPr>
      </w:pPr>
      <w:r>
        <w:rPr>
          <w:rFonts w:hint="eastAsia" w:ascii="宋体" w:hAnsi="宋体"/>
          <w:sz w:val="24"/>
          <w:szCs w:val="20"/>
          <w:highlight w:val="none"/>
        </w:rPr>
        <w:t>地址：</w:t>
      </w:r>
      <w:r>
        <w:rPr>
          <w:rFonts w:hint="eastAsia" w:ascii="宋体" w:hAnsi="宋体"/>
          <w:sz w:val="24"/>
          <w:szCs w:val="20"/>
          <w:highlight w:val="none"/>
          <w:u w:val="single"/>
        </w:rPr>
        <w:t xml:space="preserve">                         </w:t>
      </w:r>
      <w:r>
        <w:rPr>
          <w:rFonts w:hint="eastAsia" w:ascii="宋体" w:hAnsi="宋体"/>
          <w:sz w:val="24"/>
          <w:szCs w:val="20"/>
          <w:highlight w:val="none"/>
        </w:rPr>
        <w:t xml:space="preserve">     传真：</w:t>
      </w:r>
      <w:r>
        <w:rPr>
          <w:rFonts w:hint="eastAsia" w:ascii="宋体" w:hAnsi="宋体"/>
          <w:sz w:val="24"/>
          <w:szCs w:val="20"/>
          <w:highlight w:val="none"/>
          <w:u w:val="single"/>
        </w:rPr>
        <w:t xml:space="preserve">                             </w:t>
      </w:r>
    </w:p>
    <w:p>
      <w:pPr>
        <w:tabs>
          <w:tab w:val="left" w:pos="5580"/>
        </w:tabs>
        <w:spacing w:line="560" w:lineRule="exact"/>
        <w:ind w:left="1080" w:leftChars="257" w:hanging="540"/>
        <w:rPr>
          <w:rFonts w:ascii="宋体" w:hAnsi="宋体"/>
          <w:b/>
          <w:sz w:val="24"/>
          <w:szCs w:val="20"/>
          <w:highlight w:val="none"/>
        </w:rPr>
      </w:pPr>
      <w:r>
        <w:rPr>
          <w:rFonts w:hint="eastAsia" w:ascii="宋体" w:hAnsi="宋体"/>
          <w:sz w:val="24"/>
          <w:szCs w:val="20"/>
          <w:highlight w:val="none"/>
        </w:rPr>
        <w:t>电话：</w:t>
      </w:r>
      <w:r>
        <w:rPr>
          <w:rFonts w:hint="eastAsia" w:ascii="宋体" w:hAnsi="宋体"/>
          <w:sz w:val="24"/>
          <w:szCs w:val="20"/>
          <w:highlight w:val="none"/>
          <w:u w:val="single"/>
        </w:rPr>
        <w:t xml:space="preserve">                         </w:t>
      </w:r>
      <w:r>
        <w:rPr>
          <w:rFonts w:hint="eastAsia" w:ascii="宋体" w:hAnsi="宋体"/>
          <w:sz w:val="24"/>
          <w:szCs w:val="20"/>
          <w:highlight w:val="none"/>
        </w:rPr>
        <w:t xml:space="preserve">     电子函件：</w:t>
      </w:r>
      <w:r>
        <w:rPr>
          <w:rFonts w:hint="eastAsia" w:ascii="宋体" w:hAnsi="宋体"/>
          <w:sz w:val="24"/>
          <w:szCs w:val="20"/>
          <w:highlight w:val="none"/>
          <w:u w:val="single"/>
        </w:rPr>
        <w:t xml:space="preserve">                         </w:t>
      </w:r>
    </w:p>
    <w:p>
      <w:pPr>
        <w:tabs>
          <w:tab w:val="left" w:pos="5580"/>
        </w:tabs>
        <w:spacing w:line="560" w:lineRule="exact"/>
        <w:ind w:left="1080" w:leftChars="257" w:hanging="540"/>
        <w:rPr>
          <w:rFonts w:ascii="宋体" w:hAnsi="宋体"/>
          <w:sz w:val="24"/>
          <w:szCs w:val="20"/>
          <w:highlight w:val="none"/>
        </w:rPr>
      </w:pPr>
    </w:p>
    <w:p>
      <w:pPr>
        <w:pStyle w:val="12"/>
        <w:autoSpaceDE w:val="0"/>
        <w:spacing w:line="560" w:lineRule="exact"/>
        <w:rPr>
          <w:rFonts w:hAnsi="宋体" w:cs="MingLiU_HKSCS"/>
          <w:sz w:val="24"/>
          <w:szCs w:val="24"/>
          <w:highlight w:val="none"/>
        </w:rPr>
      </w:pPr>
      <w:r>
        <w:rPr>
          <w:rFonts w:hint="eastAsia" w:hAnsi="宋体"/>
          <w:sz w:val="24"/>
          <w:szCs w:val="24"/>
          <w:highlight w:val="none"/>
        </w:rPr>
        <w:t>供应商名称(公章)：______________</w:t>
      </w:r>
    </w:p>
    <w:p>
      <w:pPr>
        <w:pStyle w:val="12"/>
        <w:autoSpaceDE w:val="0"/>
        <w:spacing w:line="560" w:lineRule="exact"/>
        <w:rPr>
          <w:rFonts w:hAnsi="宋体" w:cs="MingLiU_HKSCS"/>
          <w:sz w:val="24"/>
          <w:szCs w:val="24"/>
          <w:highlight w:val="none"/>
        </w:rPr>
      </w:pPr>
      <w:r>
        <w:rPr>
          <w:rFonts w:hint="eastAsia" w:hAnsi="宋体"/>
          <w:sz w:val="24"/>
          <w:szCs w:val="24"/>
          <w:highlight w:val="none"/>
        </w:rPr>
        <w:t>法定代表人（非法人组织的负责人）或其授权代表(签章)：_______</w:t>
      </w:r>
    </w:p>
    <w:p>
      <w:pPr>
        <w:pStyle w:val="12"/>
        <w:autoSpaceDE w:val="0"/>
        <w:spacing w:line="560" w:lineRule="exact"/>
        <w:rPr>
          <w:rFonts w:hAnsi="宋体" w:cs="宋体"/>
          <w:sz w:val="24"/>
          <w:szCs w:val="24"/>
          <w:highlight w:val="none"/>
        </w:rPr>
      </w:pPr>
      <w:r>
        <w:rPr>
          <w:rFonts w:hint="eastAsia" w:hAnsi="宋体"/>
          <w:sz w:val="24"/>
          <w:szCs w:val="24"/>
          <w:highlight w:val="none"/>
        </w:rPr>
        <w:t xml:space="preserve">日期：______年____月____日 </w:t>
      </w:r>
    </w:p>
    <w:p>
      <w:pPr>
        <w:pStyle w:val="5"/>
        <w:spacing w:line="560" w:lineRule="exact"/>
        <w:rPr>
          <w:rFonts w:hAnsi="宋体" w:cs="宋体"/>
          <w:highlight w:val="none"/>
          <w:u w:val="none"/>
        </w:rPr>
      </w:pPr>
    </w:p>
    <w:p>
      <w:pPr>
        <w:pStyle w:val="5"/>
        <w:spacing w:line="560" w:lineRule="exact"/>
        <w:rPr>
          <w:rFonts w:hAnsi="宋体" w:cs="宋体"/>
          <w:highlight w:val="none"/>
          <w:u w:val="none"/>
        </w:rPr>
      </w:pPr>
    </w:p>
    <w:p>
      <w:pPr>
        <w:pStyle w:val="5"/>
        <w:spacing w:line="560" w:lineRule="exact"/>
        <w:rPr>
          <w:rFonts w:hAnsi="宋体" w:cs="宋体"/>
          <w:highlight w:val="none"/>
          <w:u w:val="none"/>
        </w:rPr>
      </w:pPr>
    </w:p>
    <w:p>
      <w:pPr>
        <w:pStyle w:val="5"/>
        <w:spacing w:line="560" w:lineRule="exact"/>
        <w:rPr>
          <w:rFonts w:hAnsi="宋体" w:cs="宋体"/>
          <w:highlight w:val="none"/>
          <w:u w:val="none"/>
        </w:rPr>
      </w:pPr>
    </w:p>
    <w:p>
      <w:pPr>
        <w:spacing w:line="560" w:lineRule="exact"/>
        <w:rPr>
          <w:rFonts w:hAnsi="宋体" w:cs="宋体"/>
          <w:highlight w:val="none"/>
        </w:rPr>
      </w:pPr>
    </w:p>
    <w:p>
      <w:pPr>
        <w:pStyle w:val="5"/>
        <w:spacing w:line="560" w:lineRule="exact"/>
        <w:rPr>
          <w:rFonts w:hAnsi="宋体" w:cs="宋体"/>
          <w:highlight w:val="none"/>
          <w:u w:val="none"/>
        </w:rPr>
      </w:pPr>
    </w:p>
    <w:p>
      <w:pPr>
        <w:spacing w:line="560" w:lineRule="exact"/>
        <w:rPr>
          <w:rFonts w:hAnsi="宋体" w:cs="宋体"/>
          <w:highlight w:val="none"/>
        </w:rPr>
      </w:pPr>
    </w:p>
    <w:p>
      <w:pPr>
        <w:pStyle w:val="5"/>
        <w:spacing w:line="560" w:lineRule="exact"/>
        <w:rPr>
          <w:rFonts w:hAnsi="宋体" w:cs="宋体"/>
          <w:highlight w:val="none"/>
          <w:u w:val="none"/>
        </w:rPr>
      </w:pPr>
    </w:p>
    <w:p>
      <w:pPr>
        <w:spacing w:line="560" w:lineRule="exact"/>
        <w:rPr>
          <w:rFonts w:hAnsi="宋体" w:cs="宋体"/>
          <w:highlight w:val="none"/>
        </w:rPr>
      </w:pPr>
    </w:p>
    <w:p>
      <w:pPr>
        <w:pStyle w:val="5"/>
        <w:spacing w:line="560" w:lineRule="exact"/>
        <w:rPr>
          <w:rFonts w:hAnsi="宋体" w:cs="宋体"/>
          <w:highlight w:val="none"/>
          <w:u w:val="none"/>
        </w:rPr>
      </w:pPr>
      <w:bookmarkStart w:id="409" w:name="_Toc4863"/>
      <w:r>
        <w:rPr>
          <w:rFonts w:hint="eastAsia" w:hAnsi="宋体" w:cs="宋体"/>
          <w:highlight w:val="none"/>
          <w:u w:val="none"/>
        </w:rPr>
        <w:t>7.报价明细表</w:t>
      </w:r>
    </w:p>
    <w:p>
      <w:pPr>
        <w:pStyle w:val="5"/>
        <w:spacing w:line="560" w:lineRule="exact"/>
        <w:jc w:val="center"/>
        <w:rPr>
          <w:rFonts w:hAnsi="宋体" w:cs="宋体"/>
          <w:highlight w:val="none"/>
          <w:u w:val="none"/>
        </w:rPr>
      </w:pPr>
      <w:r>
        <w:rPr>
          <w:rFonts w:hint="eastAsia" w:hAnsi="宋体" w:cs="宋体"/>
          <w:highlight w:val="none"/>
          <w:u w:val="none"/>
        </w:rPr>
        <w:t>报价明细表</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8"/>
        <w:gridCol w:w="1018"/>
        <w:gridCol w:w="1018"/>
        <w:gridCol w:w="1018"/>
        <w:gridCol w:w="1018"/>
        <w:gridCol w:w="1019"/>
        <w:gridCol w:w="1019"/>
        <w:gridCol w:w="1019"/>
        <w:gridCol w:w="10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tcPr>
          <w:p>
            <w:pPr>
              <w:pStyle w:val="5"/>
              <w:spacing w:line="560" w:lineRule="exact"/>
              <w:jc w:val="center"/>
              <w:outlineLvl w:val="2"/>
              <w:rPr>
                <w:rFonts w:hAnsi="宋体" w:cs="宋体"/>
                <w:sz w:val="21"/>
                <w:szCs w:val="21"/>
                <w:highlight w:val="none"/>
                <w:u w:val="none"/>
              </w:rPr>
            </w:pPr>
            <w:r>
              <w:rPr>
                <w:rFonts w:hint="eastAsia" w:hAnsi="宋体" w:cs="宋体"/>
                <w:sz w:val="21"/>
                <w:szCs w:val="21"/>
                <w:highlight w:val="none"/>
                <w:u w:val="none"/>
              </w:rPr>
              <w:t>序号</w:t>
            </w:r>
          </w:p>
        </w:tc>
        <w:tc>
          <w:tcPr>
            <w:tcW w:w="1018" w:type="dxa"/>
          </w:tcPr>
          <w:p>
            <w:pPr>
              <w:pStyle w:val="5"/>
              <w:spacing w:line="560" w:lineRule="exact"/>
              <w:jc w:val="both"/>
              <w:outlineLvl w:val="2"/>
              <w:rPr>
                <w:rFonts w:hint="eastAsia" w:hAnsi="宋体" w:eastAsia="宋体" w:cs="宋体"/>
                <w:sz w:val="21"/>
                <w:szCs w:val="21"/>
                <w:highlight w:val="none"/>
                <w:u w:val="none"/>
                <w:lang w:eastAsia="zh-CN"/>
              </w:rPr>
            </w:pPr>
            <w:r>
              <w:rPr>
                <w:rFonts w:hint="eastAsia" w:hAnsi="宋体" w:cs="宋体"/>
                <w:sz w:val="21"/>
                <w:szCs w:val="21"/>
                <w:highlight w:val="none"/>
                <w:u w:val="none"/>
                <w:lang w:eastAsia="zh-CN"/>
              </w:rPr>
              <w:t>名称</w:t>
            </w:r>
          </w:p>
        </w:tc>
        <w:tc>
          <w:tcPr>
            <w:tcW w:w="1018" w:type="dxa"/>
          </w:tcPr>
          <w:p>
            <w:pPr>
              <w:pStyle w:val="5"/>
              <w:spacing w:line="560" w:lineRule="exact"/>
              <w:jc w:val="center"/>
              <w:outlineLvl w:val="2"/>
              <w:rPr>
                <w:rFonts w:hAnsi="宋体" w:cs="宋体"/>
                <w:sz w:val="21"/>
                <w:szCs w:val="21"/>
                <w:highlight w:val="none"/>
                <w:u w:val="none"/>
              </w:rPr>
            </w:pPr>
            <w:r>
              <w:rPr>
                <w:rFonts w:hint="eastAsia" w:hAnsi="宋体" w:cs="宋体"/>
                <w:sz w:val="21"/>
                <w:szCs w:val="21"/>
                <w:highlight w:val="none"/>
                <w:u w:val="none"/>
              </w:rPr>
              <w:t>数量</w:t>
            </w:r>
          </w:p>
        </w:tc>
        <w:tc>
          <w:tcPr>
            <w:tcW w:w="1018" w:type="dxa"/>
          </w:tcPr>
          <w:p>
            <w:pPr>
              <w:pStyle w:val="5"/>
              <w:spacing w:line="560" w:lineRule="exact"/>
              <w:jc w:val="center"/>
              <w:outlineLvl w:val="2"/>
              <w:rPr>
                <w:rFonts w:hAnsi="宋体" w:cs="宋体"/>
                <w:sz w:val="21"/>
                <w:szCs w:val="21"/>
                <w:highlight w:val="none"/>
                <w:u w:val="none"/>
              </w:rPr>
            </w:pPr>
            <w:r>
              <w:rPr>
                <w:rFonts w:hint="eastAsia" w:hAnsi="宋体" w:cs="宋体"/>
                <w:sz w:val="21"/>
                <w:szCs w:val="21"/>
                <w:highlight w:val="none"/>
                <w:u w:val="none"/>
              </w:rPr>
              <w:t>综合单价</w:t>
            </w:r>
          </w:p>
        </w:tc>
        <w:tc>
          <w:tcPr>
            <w:tcW w:w="1018" w:type="dxa"/>
          </w:tcPr>
          <w:p>
            <w:pPr>
              <w:pStyle w:val="5"/>
              <w:spacing w:line="560" w:lineRule="exact"/>
              <w:jc w:val="center"/>
              <w:outlineLvl w:val="2"/>
              <w:rPr>
                <w:rFonts w:hAnsi="宋体" w:cs="宋体"/>
                <w:sz w:val="21"/>
                <w:szCs w:val="21"/>
                <w:highlight w:val="none"/>
                <w:u w:val="none"/>
              </w:rPr>
            </w:pPr>
            <w:r>
              <w:rPr>
                <w:rFonts w:hint="eastAsia" w:hAnsi="宋体" w:cs="宋体"/>
                <w:sz w:val="21"/>
                <w:szCs w:val="21"/>
                <w:highlight w:val="none"/>
                <w:u w:val="none"/>
              </w:rPr>
              <w:t>小计</w:t>
            </w:r>
          </w:p>
        </w:tc>
        <w:tc>
          <w:tcPr>
            <w:tcW w:w="1019" w:type="dxa"/>
          </w:tcPr>
          <w:p>
            <w:pPr>
              <w:pStyle w:val="5"/>
              <w:spacing w:line="560" w:lineRule="exact"/>
              <w:jc w:val="center"/>
              <w:outlineLvl w:val="2"/>
              <w:rPr>
                <w:rFonts w:hAnsi="宋体" w:cs="宋体"/>
                <w:sz w:val="21"/>
                <w:szCs w:val="21"/>
                <w:highlight w:val="none"/>
                <w:u w:val="none"/>
              </w:rPr>
            </w:pPr>
            <w:r>
              <w:rPr>
                <w:rFonts w:hint="eastAsia" w:hAnsi="宋体" w:cs="宋体"/>
                <w:sz w:val="21"/>
                <w:szCs w:val="21"/>
                <w:highlight w:val="none"/>
                <w:u w:val="none"/>
              </w:rPr>
              <w:t>品牌</w:t>
            </w:r>
          </w:p>
        </w:tc>
        <w:tc>
          <w:tcPr>
            <w:tcW w:w="1019" w:type="dxa"/>
          </w:tcPr>
          <w:p>
            <w:pPr>
              <w:pStyle w:val="5"/>
              <w:spacing w:line="560" w:lineRule="exact"/>
              <w:jc w:val="center"/>
              <w:outlineLvl w:val="2"/>
              <w:rPr>
                <w:rFonts w:hAnsi="宋体" w:cs="宋体"/>
                <w:sz w:val="21"/>
                <w:szCs w:val="21"/>
                <w:highlight w:val="none"/>
                <w:u w:val="none"/>
              </w:rPr>
            </w:pPr>
            <w:r>
              <w:rPr>
                <w:rFonts w:hint="eastAsia" w:hAnsi="宋体" w:cs="宋体"/>
                <w:sz w:val="21"/>
                <w:szCs w:val="21"/>
                <w:highlight w:val="none"/>
                <w:u w:val="none"/>
              </w:rPr>
              <w:t>型号</w:t>
            </w:r>
          </w:p>
        </w:tc>
        <w:tc>
          <w:tcPr>
            <w:tcW w:w="1019" w:type="dxa"/>
          </w:tcPr>
          <w:p>
            <w:pPr>
              <w:pStyle w:val="5"/>
              <w:spacing w:line="560" w:lineRule="exact"/>
              <w:jc w:val="center"/>
              <w:outlineLvl w:val="2"/>
              <w:rPr>
                <w:rFonts w:hAnsi="宋体" w:cs="宋体"/>
                <w:sz w:val="21"/>
                <w:szCs w:val="21"/>
                <w:highlight w:val="none"/>
                <w:u w:val="none"/>
              </w:rPr>
            </w:pPr>
            <w:r>
              <w:rPr>
                <w:rFonts w:hint="eastAsia" w:hAnsi="宋体" w:cs="宋体"/>
                <w:sz w:val="21"/>
                <w:szCs w:val="21"/>
                <w:highlight w:val="none"/>
                <w:u w:val="none"/>
              </w:rPr>
              <w:t>产地</w:t>
            </w:r>
          </w:p>
        </w:tc>
        <w:tc>
          <w:tcPr>
            <w:tcW w:w="1019" w:type="dxa"/>
          </w:tcPr>
          <w:p>
            <w:pPr>
              <w:pStyle w:val="5"/>
              <w:spacing w:line="560" w:lineRule="exact"/>
              <w:jc w:val="center"/>
              <w:outlineLvl w:val="2"/>
              <w:rPr>
                <w:rFonts w:hAnsi="宋体" w:cs="宋体"/>
                <w:sz w:val="21"/>
                <w:szCs w:val="21"/>
                <w:highlight w:val="none"/>
                <w:u w:val="none"/>
              </w:rPr>
            </w:pPr>
            <w:r>
              <w:rPr>
                <w:rFonts w:hint="eastAsia" w:hAnsi="宋体" w:cs="宋体"/>
                <w:sz w:val="21"/>
                <w:szCs w:val="21"/>
                <w:highlight w:val="none"/>
                <w:u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1018" w:type="dxa"/>
          </w:tcPr>
          <w:p>
            <w:pPr>
              <w:pStyle w:val="5"/>
              <w:spacing w:line="560" w:lineRule="exact"/>
              <w:jc w:val="center"/>
              <w:outlineLvl w:val="2"/>
              <w:rPr>
                <w:rFonts w:hAnsi="宋体" w:cs="宋体"/>
                <w:highlight w:val="none"/>
                <w:u w:val="none"/>
              </w:rPr>
            </w:pPr>
            <w:r>
              <w:rPr>
                <w:rFonts w:hint="eastAsia" w:hAnsi="宋体" w:cs="宋体"/>
                <w:highlight w:val="none"/>
                <w:u w:val="none"/>
              </w:rPr>
              <w:t>1</w:t>
            </w:r>
          </w:p>
        </w:tc>
        <w:tc>
          <w:tcPr>
            <w:tcW w:w="1018" w:type="dxa"/>
          </w:tcPr>
          <w:p>
            <w:pPr>
              <w:pStyle w:val="5"/>
              <w:spacing w:line="560" w:lineRule="exact"/>
              <w:jc w:val="center"/>
              <w:outlineLvl w:val="2"/>
              <w:rPr>
                <w:rFonts w:hAnsi="宋体" w:cs="宋体"/>
                <w:highlight w:val="none"/>
                <w:u w:val="none"/>
              </w:rPr>
            </w:pPr>
          </w:p>
        </w:tc>
        <w:tc>
          <w:tcPr>
            <w:tcW w:w="1018" w:type="dxa"/>
          </w:tcPr>
          <w:p>
            <w:pPr>
              <w:pStyle w:val="5"/>
              <w:spacing w:line="560" w:lineRule="exact"/>
              <w:jc w:val="center"/>
              <w:outlineLvl w:val="2"/>
              <w:rPr>
                <w:rFonts w:hAnsi="宋体" w:cs="宋体"/>
                <w:highlight w:val="none"/>
                <w:u w:val="none"/>
              </w:rPr>
            </w:pPr>
          </w:p>
        </w:tc>
        <w:tc>
          <w:tcPr>
            <w:tcW w:w="1018" w:type="dxa"/>
          </w:tcPr>
          <w:p>
            <w:pPr>
              <w:pStyle w:val="5"/>
              <w:spacing w:line="560" w:lineRule="exact"/>
              <w:jc w:val="center"/>
              <w:outlineLvl w:val="2"/>
              <w:rPr>
                <w:rFonts w:hAnsi="宋体" w:cs="宋体"/>
                <w:highlight w:val="none"/>
                <w:u w:val="none"/>
              </w:rPr>
            </w:pPr>
          </w:p>
        </w:tc>
        <w:tc>
          <w:tcPr>
            <w:tcW w:w="1018"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18" w:type="dxa"/>
          </w:tcPr>
          <w:p>
            <w:pPr>
              <w:pStyle w:val="5"/>
              <w:spacing w:line="560" w:lineRule="exact"/>
              <w:jc w:val="center"/>
              <w:outlineLvl w:val="2"/>
              <w:rPr>
                <w:rFonts w:hAnsi="宋体" w:cs="宋体"/>
                <w:highlight w:val="none"/>
                <w:u w:val="none"/>
              </w:rPr>
            </w:pPr>
            <w:r>
              <w:rPr>
                <w:rFonts w:hint="eastAsia" w:hAnsi="宋体" w:cs="宋体"/>
                <w:highlight w:val="none"/>
                <w:u w:val="none"/>
              </w:rPr>
              <w:t>2</w:t>
            </w:r>
          </w:p>
        </w:tc>
        <w:tc>
          <w:tcPr>
            <w:tcW w:w="1018" w:type="dxa"/>
          </w:tcPr>
          <w:p>
            <w:pPr>
              <w:pStyle w:val="5"/>
              <w:spacing w:line="560" w:lineRule="exact"/>
              <w:jc w:val="center"/>
              <w:outlineLvl w:val="2"/>
              <w:rPr>
                <w:rFonts w:hAnsi="宋体" w:cs="宋体"/>
                <w:highlight w:val="none"/>
                <w:u w:val="none"/>
              </w:rPr>
            </w:pPr>
          </w:p>
        </w:tc>
        <w:tc>
          <w:tcPr>
            <w:tcW w:w="1018" w:type="dxa"/>
          </w:tcPr>
          <w:p>
            <w:pPr>
              <w:pStyle w:val="5"/>
              <w:spacing w:line="560" w:lineRule="exact"/>
              <w:jc w:val="center"/>
              <w:outlineLvl w:val="2"/>
              <w:rPr>
                <w:rFonts w:hAnsi="宋体" w:cs="宋体"/>
                <w:highlight w:val="none"/>
                <w:u w:val="none"/>
              </w:rPr>
            </w:pPr>
          </w:p>
        </w:tc>
        <w:tc>
          <w:tcPr>
            <w:tcW w:w="1018" w:type="dxa"/>
          </w:tcPr>
          <w:p>
            <w:pPr>
              <w:pStyle w:val="5"/>
              <w:spacing w:line="560" w:lineRule="exact"/>
              <w:jc w:val="center"/>
              <w:outlineLvl w:val="2"/>
              <w:rPr>
                <w:rFonts w:hAnsi="宋体" w:cs="宋体"/>
                <w:highlight w:val="none"/>
                <w:u w:val="none"/>
              </w:rPr>
            </w:pPr>
          </w:p>
        </w:tc>
        <w:tc>
          <w:tcPr>
            <w:tcW w:w="1018"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tcPr>
          <w:p>
            <w:pPr>
              <w:pStyle w:val="5"/>
              <w:spacing w:line="560" w:lineRule="exact"/>
              <w:jc w:val="center"/>
              <w:outlineLvl w:val="2"/>
              <w:rPr>
                <w:rFonts w:hAnsi="宋体" w:cs="宋体"/>
                <w:highlight w:val="none"/>
                <w:u w:val="none"/>
              </w:rPr>
            </w:pPr>
            <w:r>
              <w:rPr>
                <w:rFonts w:hint="eastAsia" w:hAnsi="宋体" w:cs="宋体"/>
                <w:highlight w:val="none"/>
                <w:u w:val="none"/>
              </w:rPr>
              <w:t>3</w:t>
            </w:r>
          </w:p>
        </w:tc>
        <w:tc>
          <w:tcPr>
            <w:tcW w:w="1018" w:type="dxa"/>
          </w:tcPr>
          <w:p>
            <w:pPr>
              <w:pStyle w:val="5"/>
              <w:spacing w:line="560" w:lineRule="exact"/>
              <w:jc w:val="center"/>
              <w:outlineLvl w:val="2"/>
              <w:rPr>
                <w:rFonts w:hAnsi="宋体" w:cs="宋体"/>
                <w:highlight w:val="none"/>
                <w:u w:val="none"/>
              </w:rPr>
            </w:pPr>
          </w:p>
        </w:tc>
        <w:tc>
          <w:tcPr>
            <w:tcW w:w="1018" w:type="dxa"/>
          </w:tcPr>
          <w:p>
            <w:pPr>
              <w:pStyle w:val="5"/>
              <w:spacing w:line="560" w:lineRule="exact"/>
              <w:jc w:val="center"/>
              <w:outlineLvl w:val="2"/>
              <w:rPr>
                <w:rFonts w:hAnsi="宋体" w:cs="宋体"/>
                <w:highlight w:val="none"/>
                <w:u w:val="none"/>
              </w:rPr>
            </w:pPr>
          </w:p>
        </w:tc>
        <w:tc>
          <w:tcPr>
            <w:tcW w:w="1018" w:type="dxa"/>
          </w:tcPr>
          <w:p>
            <w:pPr>
              <w:pStyle w:val="5"/>
              <w:spacing w:line="560" w:lineRule="exact"/>
              <w:jc w:val="center"/>
              <w:outlineLvl w:val="2"/>
              <w:rPr>
                <w:rFonts w:hAnsi="宋体" w:cs="宋体"/>
                <w:highlight w:val="none"/>
                <w:u w:val="none"/>
              </w:rPr>
            </w:pPr>
          </w:p>
        </w:tc>
        <w:tc>
          <w:tcPr>
            <w:tcW w:w="1018"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tcPr>
          <w:p>
            <w:pPr>
              <w:pStyle w:val="5"/>
              <w:spacing w:line="560" w:lineRule="exact"/>
              <w:jc w:val="center"/>
              <w:outlineLvl w:val="2"/>
              <w:rPr>
                <w:rFonts w:hAnsi="宋体" w:cs="宋体"/>
                <w:highlight w:val="none"/>
                <w:u w:val="none"/>
              </w:rPr>
            </w:pPr>
            <w:r>
              <w:rPr>
                <w:rFonts w:hint="eastAsia" w:hAnsi="宋体" w:cs="宋体"/>
                <w:highlight w:val="none"/>
                <w:u w:val="none"/>
              </w:rPr>
              <w:t>...</w:t>
            </w:r>
          </w:p>
        </w:tc>
        <w:tc>
          <w:tcPr>
            <w:tcW w:w="1018" w:type="dxa"/>
          </w:tcPr>
          <w:p>
            <w:pPr>
              <w:pStyle w:val="5"/>
              <w:spacing w:line="560" w:lineRule="exact"/>
              <w:jc w:val="center"/>
              <w:outlineLvl w:val="2"/>
              <w:rPr>
                <w:rFonts w:hAnsi="宋体" w:cs="宋体"/>
                <w:highlight w:val="none"/>
                <w:u w:val="none"/>
              </w:rPr>
            </w:pPr>
          </w:p>
        </w:tc>
        <w:tc>
          <w:tcPr>
            <w:tcW w:w="1018" w:type="dxa"/>
          </w:tcPr>
          <w:p>
            <w:pPr>
              <w:pStyle w:val="5"/>
              <w:spacing w:line="560" w:lineRule="exact"/>
              <w:jc w:val="center"/>
              <w:outlineLvl w:val="2"/>
              <w:rPr>
                <w:rFonts w:hAnsi="宋体" w:cs="宋体"/>
                <w:highlight w:val="none"/>
                <w:u w:val="none"/>
              </w:rPr>
            </w:pPr>
          </w:p>
        </w:tc>
        <w:tc>
          <w:tcPr>
            <w:tcW w:w="1018" w:type="dxa"/>
          </w:tcPr>
          <w:p>
            <w:pPr>
              <w:pStyle w:val="5"/>
              <w:spacing w:line="560" w:lineRule="exact"/>
              <w:jc w:val="center"/>
              <w:outlineLvl w:val="2"/>
              <w:rPr>
                <w:rFonts w:hAnsi="宋体" w:cs="宋体"/>
                <w:highlight w:val="none"/>
                <w:u w:val="none"/>
              </w:rPr>
            </w:pPr>
          </w:p>
        </w:tc>
        <w:tc>
          <w:tcPr>
            <w:tcW w:w="1018"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8" w:type="dxa"/>
          </w:tcPr>
          <w:p>
            <w:pPr>
              <w:pStyle w:val="5"/>
              <w:spacing w:line="560" w:lineRule="exact"/>
              <w:jc w:val="center"/>
              <w:outlineLvl w:val="2"/>
              <w:rPr>
                <w:rFonts w:hAnsi="宋体" w:cs="宋体"/>
                <w:highlight w:val="none"/>
                <w:u w:val="none"/>
              </w:rPr>
            </w:pPr>
            <w:r>
              <w:rPr>
                <w:rFonts w:hint="eastAsia" w:hAnsi="宋体" w:cs="宋体"/>
                <w:highlight w:val="none"/>
                <w:u w:val="none"/>
              </w:rPr>
              <w:t>合计：</w:t>
            </w:r>
          </w:p>
        </w:tc>
        <w:tc>
          <w:tcPr>
            <w:tcW w:w="1018" w:type="dxa"/>
          </w:tcPr>
          <w:p>
            <w:pPr>
              <w:pStyle w:val="5"/>
              <w:spacing w:line="560" w:lineRule="exact"/>
              <w:jc w:val="center"/>
              <w:outlineLvl w:val="2"/>
              <w:rPr>
                <w:rFonts w:hAnsi="宋体" w:cs="宋体"/>
                <w:highlight w:val="none"/>
                <w:u w:val="none"/>
              </w:rPr>
            </w:pPr>
          </w:p>
        </w:tc>
        <w:tc>
          <w:tcPr>
            <w:tcW w:w="1018" w:type="dxa"/>
          </w:tcPr>
          <w:p>
            <w:pPr>
              <w:pStyle w:val="5"/>
              <w:spacing w:line="560" w:lineRule="exact"/>
              <w:jc w:val="center"/>
              <w:outlineLvl w:val="2"/>
              <w:rPr>
                <w:rFonts w:hAnsi="宋体" w:cs="宋体"/>
                <w:highlight w:val="none"/>
                <w:u w:val="none"/>
              </w:rPr>
            </w:pPr>
          </w:p>
        </w:tc>
        <w:tc>
          <w:tcPr>
            <w:tcW w:w="1018" w:type="dxa"/>
          </w:tcPr>
          <w:p>
            <w:pPr>
              <w:pStyle w:val="5"/>
              <w:spacing w:line="560" w:lineRule="exact"/>
              <w:jc w:val="center"/>
              <w:outlineLvl w:val="2"/>
              <w:rPr>
                <w:rFonts w:hAnsi="宋体" w:cs="宋体"/>
                <w:highlight w:val="none"/>
                <w:u w:val="none"/>
              </w:rPr>
            </w:pPr>
          </w:p>
        </w:tc>
        <w:tc>
          <w:tcPr>
            <w:tcW w:w="1018"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c>
          <w:tcPr>
            <w:tcW w:w="1019" w:type="dxa"/>
          </w:tcPr>
          <w:p>
            <w:pPr>
              <w:pStyle w:val="5"/>
              <w:spacing w:line="560" w:lineRule="exact"/>
              <w:jc w:val="center"/>
              <w:outlineLvl w:val="2"/>
              <w:rPr>
                <w:rFonts w:hAnsi="宋体" w:cs="宋体"/>
                <w:highlight w:val="none"/>
                <w:u w:val="none"/>
              </w:rPr>
            </w:pPr>
          </w:p>
        </w:tc>
      </w:tr>
    </w:tbl>
    <w:p>
      <w:pPr>
        <w:widowControl/>
        <w:spacing w:before="100" w:beforeAutospacing="1" w:after="100" w:afterAutospacing="1" w:line="560" w:lineRule="exact"/>
        <w:ind w:firstLine="480"/>
        <w:jc w:val="left"/>
        <w:rPr>
          <w:rFonts w:ascii="宋体" w:hAnsi="宋体" w:cs="宋体"/>
          <w:kern w:val="0"/>
          <w:sz w:val="24"/>
          <w:highlight w:val="none"/>
        </w:rPr>
      </w:pPr>
      <w:r>
        <w:rPr>
          <w:rFonts w:hint="eastAsia" w:ascii="宋体" w:hAnsi="宋体" w:cs="宋体"/>
          <w:kern w:val="0"/>
          <w:sz w:val="24"/>
          <w:highlight w:val="none"/>
        </w:rPr>
        <w:t>供应商（公章）：</w:t>
      </w:r>
    </w:p>
    <w:p>
      <w:pPr>
        <w:widowControl/>
        <w:spacing w:before="100" w:beforeAutospacing="1" w:after="100" w:afterAutospacing="1" w:line="560" w:lineRule="exact"/>
        <w:ind w:firstLine="480"/>
        <w:jc w:val="left"/>
        <w:rPr>
          <w:rFonts w:ascii="宋体" w:hAnsi="宋体" w:cs="宋体"/>
          <w:kern w:val="0"/>
          <w:sz w:val="24"/>
          <w:highlight w:val="none"/>
        </w:rPr>
      </w:pPr>
      <w:r>
        <w:rPr>
          <w:rFonts w:hint="eastAsia" w:ascii="宋体" w:hAnsi="宋体"/>
          <w:sz w:val="24"/>
          <w:highlight w:val="none"/>
        </w:rPr>
        <w:t>法定代表人（</w:t>
      </w:r>
      <w:r>
        <w:rPr>
          <w:rFonts w:hint="eastAsia" w:ascii="宋体" w:hAnsi="宋体" w:cs="宋体"/>
          <w:sz w:val="24"/>
          <w:highlight w:val="none"/>
        </w:rPr>
        <w:t>非法人组织的负责人</w:t>
      </w:r>
      <w:r>
        <w:rPr>
          <w:rFonts w:hint="eastAsia" w:ascii="宋体" w:hAnsi="宋体"/>
          <w:sz w:val="24"/>
          <w:highlight w:val="none"/>
        </w:rPr>
        <w:t>）或其授权代表（签章）</w:t>
      </w:r>
      <w:r>
        <w:rPr>
          <w:rFonts w:hint="eastAsia" w:ascii="宋体" w:hAnsi="宋体" w:cs="宋体"/>
          <w:kern w:val="0"/>
          <w:sz w:val="24"/>
          <w:highlight w:val="none"/>
        </w:rPr>
        <w:t>：</w:t>
      </w:r>
    </w:p>
    <w:p>
      <w:pPr>
        <w:spacing w:line="560" w:lineRule="exact"/>
        <w:ind w:left="1080" w:leftChars="257" w:hanging="540"/>
        <w:rPr>
          <w:rFonts w:ascii="宋体" w:hAnsi="宋体"/>
          <w:kern w:val="0"/>
          <w:sz w:val="24"/>
          <w:szCs w:val="20"/>
          <w:highlight w:val="none"/>
        </w:rPr>
      </w:pPr>
      <w:r>
        <w:rPr>
          <w:rFonts w:hint="eastAsia" w:ascii="宋体" w:hAnsi="宋体" w:cs="宋体"/>
          <w:kern w:val="0"/>
          <w:sz w:val="24"/>
          <w:highlight w:val="none"/>
        </w:rPr>
        <w:t>日    期：      年   月   日</w:t>
      </w:r>
    </w:p>
    <w:p>
      <w:pPr>
        <w:pStyle w:val="5"/>
        <w:spacing w:line="560" w:lineRule="exact"/>
        <w:rPr>
          <w:rFonts w:hAnsi="宋体" w:cs="宋体"/>
          <w:highlight w:val="none"/>
          <w:u w:val="none"/>
        </w:rPr>
      </w:pPr>
    </w:p>
    <w:p>
      <w:pPr>
        <w:rPr>
          <w:highlight w:val="none"/>
        </w:rPr>
      </w:pPr>
    </w:p>
    <w:p>
      <w:pPr>
        <w:pStyle w:val="5"/>
        <w:spacing w:line="560" w:lineRule="exact"/>
        <w:rPr>
          <w:rFonts w:hAnsi="宋体" w:cs="宋体"/>
          <w:highlight w:val="none"/>
        </w:rPr>
      </w:pPr>
      <w:r>
        <w:rPr>
          <w:rFonts w:hint="eastAsia" w:hAnsi="宋体" w:cs="宋体"/>
          <w:highlight w:val="none"/>
          <w:u w:val="none"/>
        </w:rPr>
        <w:t>8.符合价格扣除条件的供应商需提供的资料</w:t>
      </w:r>
      <w:bookmarkEnd w:id="404"/>
      <w:bookmarkEnd w:id="405"/>
      <w:bookmarkEnd w:id="409"/>
    </w:p>
    <w:bookmarkEnd w:id="406"/>
    <w:bookmarkEnd w:id="407"/>
    <w:p>
      <w:pPr>
        <w:spacing w:line="560" w:lineRule="exact"/>
        <w:jc w:val="center"/>
        <w:rPr>
          <w:rFonts w:ascii="宋体" w:hAnsi="宋体" w:cs="宋体"/>
          <w:b/>
          <w:kern w:val="0"/>
          <w:sz w:val="24"/>
          <w:szCs w:val="20"/>
          <w:highlight w:val="none"/>
        </w:rPr>
      </w:pPr>
      <w:bookmarkStart w:id="410" w:name="_Toc518923120"/>
      <w:r>
        <w:rPr>
          <w:rFonts w:hint="eastAsia" w:ascii="宋体" w:hAnsi="宋体" w:cs="宋体"/>
          <w:b/>
          <w:kern w:val="0"/>
          <w:sz w:val="24"/>
          <w:szCs w:val="20"/>
          <w:highlight w:val="none"/>
        </w:rPr>
        <w:t>8.1</w:t>
      </w:r>
      <w:bookmarkEnd w:id="410"/>
      <w:r>
        <w:rPr>
          <w:rFonts w:hint="eastAsia" w:ascii="宋体" w:hAnsi="宋体" w:cs="宋体"/>
          <w:b/>
          <w:kern w:val="0"/>
          <w:sz w:val="24"/>
          <w:szCs w:val="20"/>
          <w:highlight w:val="none"/>
        </w:rPr>
        <w:t>中小企业声明函</w:t>
      </w:r>
    </w:p>
    <w:p>
      <w:pPr>
        <w:spacing w:line="560" w:lineRule="exact"/>
        <w:ind w:left="1080" w:leftChars="257" w:hanging="540"/>
        <w:jc w:val="center"/>
        <w:rPr>
          <w:rFonts w:ascii="宋体" w:hAnsi="宋体" w:cs="宋体"/>
          <w:b/>
          <w:kern w:val="0"/>
          <w:sz w:val="24"/>
          <w:szCs w:val="20"/>
          <w:highlight w:val="none"/>
        </w:rPr>
      </w:pPr>
    </w:p>
    <w:p>
      <w:pPr>
        <w:pStyle w:val="9"/>
        <w:spacing w:before="55" w:line="560" w:lineRule="exact"/>
        <w:ind w:right="415" w:firstLine="640"/>
        <w:rPr>
          <w:rFonts w:asciiTheme="minorEastAsia" w:hAnsiTheme="minorEastAsia" w:eastAsiaTheme="minorEastAsia" w:cstheme="minorEastAsia"/>
          <w:spacing w:val="-2"/>
          <w:highlight w:val="none"/>
        </w:rPr>
      </w:pPr>
      <w:r>
        <w:rPr>
          <w:rFonts w:hint="eastAsia" w:asciiTheme="minorEastAsia" w:hAnsiTheme="minorEastAsia" w:eastAsiaTheme="minorEastAsia" w:cstheme="minorEastAsia"/>
          <w:spacing w:val="-2"/>
          <w:highlight w:val="none"/>
        </w:rPr>
        <w:t>本公司</w:t>
      </w:r>
      <w:r>
        <w:rPr>
          <w:rFonts w:hint="eastAsia" w:asciiTheme="minorEastAsia" w:hAnsiTheme="minorEastAsia" w:eastAsiaTheme="minorEastAsia" w:cstheme="minorEastAsia"/>
          <w:highlight w:val="none"/>
        </w:rPr>
        <w:t>（联合体</w:t>
      </w:r>
      <w:r>
        <w:rPr>
          <w:rFonts w:hint="eastAsia" w:asciiTheme="minorEastAsia" w:hAnsiTheme="minorEastAsia" w:eastAsiaTheme="minorEastAsia" w:cstheme="minorEastAsia"/>
          <w:spacing w:val="-5"/>
          <w:highlight w:val="none"/>
        </w:rPr>
        <w:t>）</w:t>
      </w:r>
      <w:r>
        <w:rPr>
          <w:rFonts w:hint="eastAsia" w:asciiTheme="minorEastAsia" w:hAnsiTheme="minorEastAsia" w:eastAsiaTheme="minorEastAsia" w:cstheme="minorEastAsia"/>
          <w:spacing w:val="-2"/>
          <w:highlight w:val="none"/>
        </w:rPr>
        <w:t>郑重声明，根据《政府采购促进中小</w:t>
      </w:r>
      <w:r>
        <w:rPr>
          <w:rFonts w:hint="eastAsia" w:asciiTheme="minorEastAsia" w:hAnsiTheme="minorEastAsia" w:eastAsiaTheme="minorEastAsia" w:cstheme="minorEastAsia"/>
          <w:spacing w:val="-18"/>
          <w:highlight w:val="none"/>
        </w:rPr>
        <w:t>企业发展管理办法》</w:t>
      </w:r>
      <w:r>
        <w:rPr>
          <w:rFonts w:hint="eastAsia" w:asciiTheme="minorEastAsia" w:hAnsiTheme="minorEastAsia" w:eastAsiaTheme="minorEastAsia" w:cstheme="minorEastAsia"/>
          <w:highlight w:val="none"/>
        </w:rPr>
        <w:t>（</w:t>
      </w:r>
      <w:r>
        <w:rPr>
          <w:rFonts w:hint="eastAsia" w:asciiTheme="minorEastAsia" w:hAnsiTheme="minorEastAsia" w:eastAsiaTheme="minorEastAsia" w:cstheme="minorEastAsia"/>
          <w:spacing w:val="5"/>
          <w:highlight w:val="none"/>
        </w:rPr>
        <w:t>财库</w:t>
      </w:r>
      <w:r>
        <w:rPr>
          <w:rFonts w:hint="eastAsia" w:asciiTheme="minorEastAsia" w:hAnsiTheme="minorEastAsia" w:eastAsiaTheme="minorEastAsia" w:cstheme="minorEastAsia"/>
          <w:highlight w:val="none"/>
        </w:rPr>
        <w:t>﹝2020﹞46</w:t>
      </w:r>
      <w:r>
        <w:rPr>
          <w:rFonts w:hint="eastAsia" w:asciiTheme="minorEastAsia" w:hAnsiTheme="minorEastAsia" w:eastAsiaTheme="minorEastAsia" w:cstheme="minorEastAsia"/>
          <w:spacing w:val="-38"/>
          <w:highlight w:val="none"/>
        </w:rPr>
        <w:t xml:space="preserve"> 号</w:t>
      </w:r>
      <w:r>
        <w:rPr>
          <w:rFonts w:hint="eastAsia" w:asciiTheme="minorEastAsia" w:hAnsiTheme="minorEastAsia" w:eastAsiaTheme="minorEastAsia" w:cstheme="minorEastAsia"/>
          <w:spacing w:val="5"/>
          <w:highlight w:val="none"/>
        </w:rPr>
        <w:t>）</w:t>
      </w:r>
      <w:r>
        <w:rPr>
          <w:rFonts w:hint="eastAsia" w:asciiTheme="minorEastAsia" w:hAnsiTheme="minorEastAsia" w:eastAsiaTheme="minorEastAsia" w:cstheme="minorEastAsia"/>
          <w:highlight w:val="none"/>
        </w:rPr>
        <w:t>的规定，本公司（联合体）</w:t>
      </w:r>
      <w:r>
        <w:rPr>
          <w:rFonts w:hint="eastAsia" w:asciiTheme="minorEastAsia" w:hAnsiTheme="minorEastAsia" w:eastAsiaTheme="minorEastAsia" w:cstheme="minorEastAsia"/>
          <w:spacing w:val="-8"/>
          <w:highlight w:val="none"/>
        </w:rPr>
        <w:t>参加</w:t>
      </w:r>
      <w:r>
        <w:rPr>
          <w:rFonts w:hint="eastAsia" w:asciiTheme="minorEastAsia" w:hAnsiTheme="minorEastAsia" w:eastAsiaTheme="minorEastAsia" w:cstheme="minorEastAsia"/>
          <w:spacing w:val="-8"/>
          <w:highlight w:val="none"/>
          <w:u w:val="single"/>
        </w:rPr>
        <w:t>（单位名称）</w:t>
      </w:r>
      <w:r>
        <w:rPr>
          <w:rFonts w:hint="eastAsia" w:asciiTheme="minorEastAsia" w:hAnsiTheme="minorEastAsia" w:eastAsiaTheme="minorEastAsia" w:cstheme="minorEastAsia"/>
          <w:spacing w:val="-8"/>
          <w:highlight w:val="none"/>
        </w:rPr>
        <w:t>的</w:t>
      </w:r>
      <w:r>
        <w:rPr>
          <w:rFonts w:hint="eastAsia" w:asciiTheme="minorEastAsia" w:hAnsiTheme="minorEastAsia" w:eastAsiaTheme="minorEastAsia" w:cstheme="minorEastAsia"/>
          <w:spacing w:val="-8"/>
          <w:highlight w:val="none"/>
          <w:u w:val="single"/>
        </w:rPr>
        <w:t>（项目名称）</w:t>
      </w:r>
      <w:r>
        <w:rPr>
          <w:rFonts w:hint="eastAsia" w:asciiTheme="minorEastAsia" w:hAnsiTheme="minorEastAsia" w:eastAsiaTheme="minorEastAsia" w:cstheme="minorEastAsia"/>
          <w:spacing w:val="-8"/>
          <w:highlight w:val="none"/>
        </w:rPr>
        <w:t>采</w:t>
      </w:r>
      <w:r>
        <w:rPr>
          <w:rFonts w:hint="eastAsia" w:asciiTheme="minorEastAsia" w:hAnsiTheme="minorEastAsia" w:eastAsiaTheme="minorEastAsia" w:cstheme="minorEastAsia"/>
          <w:spacing w:val="-1"/>
          <w:highlight w:val="none"/>
        </w:rPr>
        <w:t>购</w:t>
      </w:r>
      <w:r>
        <w:rPr>
          <w:rFonts w:hint="eastAsia" w:asciiTheme="minorEastAsia" w:hAnsiTheme="minorEastAsia" w:eastAsiaTheme="minorEastAsia" w:cstheme="minorEastAsia"/>
          <w:spacing w:val="-2"/>
          <w:highlight w:val="none"/>
        </w:rPr>
        <w:t>活动，提供的货物全部由符合政策要求的中小企业制造。相关企业（含联合体中的中小企业、签订分包意向协议的中小企业） 的具体情况如下：</w:t>
      </w:r>
    </w:p>
    <w:p>
      <w:pPr>
        <w:pStyle w:val="36"/>
        <w:numPr>
          <w:ilvl w:val="0"/>
          <w:numId w:val="3"/>
        </w:numPr>
        <w:tabs>
          <w:tab w:val="left" w:pos="1183"/>
          <w:tab w:val="left" w:pos="1484"/>
          <w:tab w:val="left" w:pos="4662"/>
          <w:tab w:val="left" w:pos="6903"/>
        </w:tabs>
        <w:spacing w:line="560" w:lineRule="exact"/>
        <w:ind w:right="169" w:firstLine="480"/>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u w:val="single"/>
          <w:lang w:val="zh-CN" w:bidi="zh-CN"/>
        </w:rPr>
        <w:t xml:space="preserve"> （标的名称）</w:t>
      </w:r>
      <w:r>
        <w:rPr>
          <w:rFonts w:hint="eastAsia" w:asciiTheme="minorEastAsia" w:hAnsiTheme="minorEastAsia" w:eastAsiaTheme="minorEastAsia" w:cstheme="minorEastAsia"/>
          <w:spacing w:val="-38"/>
          <w:w w:val="95"/>
          <w:highlight w:val="none"/>
        </w:rPr>
        <w:t xml:space="preserve"> </w:t>
      </w:r>
      <w:r>
        <w:rPr>
          <w:rFonts w:hint="eastAsia" w:asciiTheme="minorEastAsia" w:hAnsiTheme="minorEastAsia" w:eastAsiaTheme="minorEastAsia" w:cstheme="minorEastAsia"/>
          <w:spacing w:val="-43"/>
          <w:w w:val="95"/>
          <w:highlight w:val="none"/>
        </w:rPr>
        <w:t>，</w:t>
      </w:r>
      <w:r>
        <w:rPr>
          <w:rFonts w:hint="eastAsia" w:asciiTheme="minorEastAsia" w:hAnsiTheme="minorEastAsia" w:eastAsiaTheme="minorEastAsia" w:cstheme="minorEastAsia"/>
          <w:spacing w:val="-2"/>
          <w:kern w:val="2"/>
          <w:highlight w:val="none"/>
        </w:rPr>
        <w:t>属于</w:t>
      </w:r>
      <w:r>
        <w:rPr>
          <w:rFonts w:hint="eastAsia" w:asciiTheme="minorEastAsia" w:hAnsiTheme="minorEastAsia" w:eastAsiaTheme="minorEastAsia" w:cstheme="minorEastAsia"/>
          <w:highlight w:val="none"/>
          <w:u w:val="single"/>
          <w:lang w:val="zh-CN" w:bidi="zh-CN"/>
        </w:rPr>
        <w:t>（</w:t>
      </w:r>
      <w:r>
        <w:rPr>
          <w:rFonts w:hint="eastAsia" w:asciiTheme="minorEastAsia" w:hAnsiTheme="minorEastAsia" w:eastAsiaTheme="minorEastAsia" w:cstheme="minorEastAsia"/>
          <w:highlight w:val="none"/>
          <w:u w:val="single"/>
          <w:lang w:bidi="zh-CN"/>
        </w:rPr>
        <w:t>竞争性谈判</w:t>
      </w:r>
      <w:r>
        <w:rPr>
          <w:rFonts w:hint="eastAsia" w:asciiTheme="minorEastAsia" w:hAnsiTheme="minorEastAsia" w:eastAsiaTheme="minorEastAsia" w:cstheme="minorEastAsia"/>
          <w:highlight w:val="none"/>
          <w:u w:val="single"/>
          <w:lang w:val="zh-CN" w:bidi="zh-CN"/>
        </w:rPr>
        <w:t>文件中明确的所属行业）</w:t>
      </w:r>
      <w:r>
        <w:rPr>
          <w:rFonts w:hint="eastAsia" w:asciiTheme="minorEastAsia" w:hAnsiTheme="minorEastAsia" w:eastAsiaTheme="minorEastAsia" w:cstheme="minorEastAsia"/>
          <w:spacing w:val="7"/>
          <w:w w:val="95"/>
          <w:highlight w:val="none"/>
        </w:rPr>
        <w:t>；</w:t>
      </w:r>
      <w:r>
        <w:rPr>
          <w:rFonts w:hint="eastAsia" w:asciiTheme="minorEastAsia" w:hAnsiTheme="minorEastAsia" w:eastAsiaTheme="minorEastAsia" w:cstheme="minorEastAsia"/>
          <w:spacing w:val="-2"/>
          <w:kern w:val="2"/>
          <w:highlight w:val="none"/>
        </w:rPr>
        <w:t>制造商为</w:t>
      </w:r>
      <w:r>
        <w:rPr>
          <w:rFonts w:hint="eastAsia" w:asciiTheme="minorEastAsia" w:hAnsiTheme="minorEastAsia" w:eastAsiaTheme="minorEastAsia" w:cstheme="minorEastAsia"/>
          <w:highlight w:val="none"/>
          <w:u w:val="single"/>
          <w:lang w:val="zh-CN" w:bidi="zh-CN"/>
        </w:rPr>
        <w:t>（企业名称）</w:t>
      </w:r>
      <w:r>
        <w:rPr>
          <w:rFonts w:hint="eastAsia" w:asciiTheme="minorEastAsia" w:hAnsiTheme="minorEastAsia" w:eastAsiaTheme="minorEastAsia" w:cstheme="minorEastAsia"/>
          <w:spacing w:val="11"/>
          <w:w w:val="95"/>
          <w:highlight w:val="none"/>
          <w:u w:val="single"/>
          <w:lang w:val="zh-CN" w:bidi="zh-CN"/>
        </w:rPr>
        <w:t>，</w:t>
      </w:r>
      <w:r>
        <w:rPr>
          <w:rFonts w:hint="eastAsia" w:asciiTheme="minorEastAsia" w:hAnsiTheme="minorEastAsia" w:eastAsiaTheme="minorEastAsia" w:cstheme="minorEastAsia"/>
          <w:spacing w:val="-2"/>
          <w:kern w:val="2"/>
          <w:highlight w:val="none"/>
        </w:rPr>
        <w:t>从业人员</w:t>
      </w:r>
      <w:r>
        <w:rPr>
          <w:rFonts w:hint="eastAsia" w:asciiTheme="minorEastAsia" w:hAnsiTheme="minorEastAsia" w:eastAsiaTheme="minorEastAsia" w:cstheme="minorEastAsia"/>
          <w:w w:val="99"/>
          <w:highlight w:val="none"/>
          <w:u w:val="single"/>
        </w:rPr>
        <w:t xml:space="preserve"> </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spacing w:val="7"/>
          <w:w w:val="99"/>
          <w:highlight w:val="none"/>
        </w:rPr>
        <w:t>人</w:t>
      </w:r>
      <w:r>
        <w:rPr>
          <w:rFonts w:hint="eastAsia" w:asciiTheme="minorEastAsia" w:hAnsiTheme="minorEastAsia" w:eastAsiaTheme="minorEastAsia" w:cstheme="minorEastAsia"/>
          <w:spacing w:val="5"/>
          <w:w w:val="99"/>
          <w:highlight w:val="none"/>
        </w:rPr>
        <w:t>，</w:t>
      </w:r>
      <w:r>
        <w:rPr>
          <w:rFonts w:hint="eastAsia" w:asciiTheme="minorEastAsia" w:hAnsiTheme="minorEastAsia" w:eastAsiaTheme="minorEastAsia" w:cstheme="minorEastAsia"/>
          <w:spacing w:val="-2"/>
          <w:kern w:val="2"/>
          <w:highlight w:val="none"/>
        </w:rPr>
        <w:t>营业收入为</w:t>
      </w:r>
      <w:r>
        <w:rPr>
          <w:rFonts w:hint="eastAsia" w:asciiTheme="minorEastAsia" w:hAnsiTheme="minorEastAsia" w:eastAsiaTheme="minorEastAsia" w:cstheme="minorEastAsia"/>
          <w:w w:val="99"/>
          <w:highlight w:val="none"/>
          <w:u w:val="single"/>
        </w:rPr>
        <w:t xml:space="preserve"> </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spacing w:val="-2"/>
          <w:kern w:val="2"/>
          <w:highlight w:val="none"/>
        </w:rPr>
        <w:t xml:space="preserve">万元，资产总额为 </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spacing w:val="-2"/>
          <w:kern w:val="2"/>
          <w:highlight w:val="none"/>
        </w:rPr>
        <w:t>万元，属于</w:t>
      </w:r>
      <w:r>
        <w:rPr>
          <w:rFonts w:hint="eastAsia" w:asciiTheme="minorEastAsia" w:hAnsiTheme="minorEastAsia" w:eastAsiaTheme="minorEastAsia" w:cstheme="minorEastAsia"/>
          <w:highlight w:val="none"/>
          <w:u w:val="single"/>
          <w:lang w:val="zh-CN" w:bidi="zh-CN"/>
        </w:rPr>
        <w:t>（中型企业、小型企业、微型企业</w:t>
      </w:r>
      <w:r>
        <w:rPr>
          <w:rFonts w:hint="eastAsia" w:asciiTheme="minorEastAsia" w:hAnsiTheme="minorEastAsia" w:eastAsiaTheme="minorEastAsia" w:cstheme="minorEastAsia"/>
          <w:highlight w:val="none"/>
          <w:u w:val="single"/>
          <w:lang w:bidi="zh-CN"/>
        </w:rPr>
        <w:t>）</w:t>
      </w:r>
      <w:r>
        <w:rPr>
          <w:rFonts w:hint="eastAsia" w:asciiTheme="minorEastAsia" w:hAnsiTheme="minorEastAsia" w:eastAsiaTheme="minorEastAsia" w:cstheme="minorEastAsia"/>
          <w:w w:val="99"/>
          <w:highlight w:val="none"/>
          <w:u w:val="single"/>
        </w:rPr>
        <w:t>；</w:t>
      </w:r>
    </w:p>
    <w:p>
      <w:pPr>
        <w:pStyle w:val="36"/>
        <w:numPr>
          <w:ilvl w:val="0"/>
          <w:numId w:val="3"/>
        </w:numPr>
        <w:tabs>
          <w:tab w:val="left" w:pos="1165"/>
          <w:tab w:val="left" w:pos="1183"/>
          <w:tab w:val="left" w:pos="4362"/>
          <w:tab w:val="left" w:pos="6577"/>
        </w:tabs>
        <w:spacing w:line="560" w:lineRule="exact"/>
        <w:ind w:right="169" w:firstLine="480"/>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u w:val="single"/>
          <w:lang w:val="zh-CN" w:bidi="zh-CN"/>
        </w:rPr>
        <w:t xml:space="preserve"> （标的名称）</w:t>
      </w:r>
      <w:r>
        <w:rPr>
          <w:rFonts w:hint="eastAsia" w:asciiTheme="minorEastAsia" w:hAnsiTheme="minorEastAsia" w:eastAsiaTheme="minorEastAsia" w:cstheme="minorEastAsia"/>
          <w:spacing w:val="-43"/>
          <w:highlight w:val="none"/>
        </w:rPr>
        <w:t>，</w:t>
      </w:r>
      <w:r>
        <w:rPr>
          <w:rFonts w:hint="eastAsia" w:asciiTheme="minorEastAsia" w:hAnsiTheme="minorEastAsia" w:eastAsiaTheme="minorEastAsia" w:cstheme="minorEastAsia"/>
          <w:spacing w:val="-2"/>
          <w:kern w:val="2"/>
          <w:highlight w:val="none"/>
        </w:rPr>
        <w:t>属于</w:t>
      </w:r>
      <w:r>
        <w:rPr>
          <w:rFonts w:hint="eastAsia" w:asciiTheme="minorEastAsia" w:hAnsiTheme="minorEastAsia" w:eastAsiaTheme="minorEastAsia" w:cstheme="minorEastAsia"/>
          <w:highlight w:val="none"/>
          <w:u w:val="single"/>
          <w:lang w:val="zh-CN" w:bidi="zh-CN"/>
        </w:rPr>
        <w:t>（</w:t>
      </w:r>
      <w:r>
        <w:rPr>
          <w:rFonts w:hint="eastAsia" w:asciiTheme="minorEastAsia" w:hAnsiTheme="minorEastAsia" w:eastAsiaTheme="minorEastAsia" w:cstheme="minorEastAsia"/>
          <w:highlight w:val="none"/>
          <w:u w:val="single"/>
          <w:lang w:bidi="zh-CN"/>
        </w:rPr>
        <w:t>竞争性谈判</w:t>
      </w:r>
      <w:r>
        <w:rPr>
          <w:rFonts w:hint="eastAsia" w:asciiTheme="minorEastAsia" w:hAnsiTheme="minorEastAsia" w:eastAsiaTheme="minorEastAsia" w:cstheme="minorEastAsia"/>
          <w:highlight w:val="none"/>
          <w:u w:val="single"/>
          <w:lang w:val="zh-CN" w:bidi="zh-CN"/>
        </w:rPr>
        <w:t>文件中明确的所属行业）</w:t>
      </w:r>
      <w:r>
        <w:rPr>
          <w:rFonts w:hint="eastAsia" w:asciiTheme="minorEastAsia" w:hAnsiTheme="minorEastAsia" w:eastAsiaTheme="minorEastAsia" w:cstheme="minorEastAsia"/>
          <w:spacing w:val="7"/>
          <w:w w:val="95"/>
          <w:highlight w:val="none"/>
        </w:rPr>
        <w:t>；</w:t>
      </w:r>
      <w:r>
        <w:rPr>
          <w:rFonts w:hint="eastAsia" w:asciiTheme="minorEastAsia" w:hAnsiTheme="minorEastAsia" w:eastAsiaTheme="minorEastAsia" w:cstheme="minorEastAsia"/>
          <w:spacing w:val="-2"/>
          <w:kern w:val="2"/>
          <w:highlight w:val="none"/>
        </w:rPr>
        <w:t>制造商为</w:t>
      </w:r>
      <w:r>
        <w:rPr>
          <w:rFonts w:hint="eastAsia" w:asciiTheme="minorEastAsia" w:hAnsiTheme="minorEastAsia" w:eastAsiaTheme="minorEastAsia" w:cstheme="minorEastAsia"/>
          <w:highlight w:val="none"/>
          <w:u w:val="single"/>
          <w:lang w:val="zh-CN" w:bidi="zh-CN"/>
        </w:rPr>
        <w:t>（企业名称），</w:t>
      </w:r>
      <w:r>
        <w:rPr>
          <w:rFonts w:hint="eastAsia" w:asciiTheme="minorEastAsia" w:hAnsiTheme="minorEastAsia" w:eastAsiaTheme="minorEastAsia" w:cstheme="minorEastAsia"/>
          <w:spacing w:val="-2"/>
          <w:kern w:val="2"/>
          <w:highlight w:val="none"/>
        </w:rPr>
        <w:t>从业人员</w:t>
      </w:r>
      <w:r>
        <w:rPr>
          <w:rFonts w:hint="eastAsia" w:asciiTheme="minorEastAsia" w:hAnsiTheme="minorEastAsia" w:eastAsiaTheme="minorEastAsia" w:cstheme="minorEastAsia"/>
          <w:w w:val="99"/>
          <w:highlight w:val="none"/>
          <w:u w:val="single"/>
        </w:rPr>
        <w:t xml:space="preserve"> </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spacing w:val="-2"/>
          <w:kern w:val="2"/>
          <w:highlight w:val="none"/>
        </w:rPr>
        <w:t>人，营业收入</w:t>
      </w:r>
      <w:r>
        <w:rPr>
          <w:rFonts w:hint="eastAsia" w:asciiTheme="minorEastAsia" w:hAnsiTheme="minorEastAsia" w:eastAsiaTheme="minorEastAsia" w:cstheme="minorEastAsia"/>
          <w:highlight w:val="none"/>
        </w:rPr>
        <w:t>为</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万元</w:t>
      </w:r>
      <w:r>
        <w:rPr>
          <w:rFonts w:hint="eastAsia" w:asciiTheme="minorEastAsia" w:hAnsiTheme="minorEastAsia" w:eastAsiaTheme="minorEastAsia" w:cstheme="minorEastAsia"/>
          <w:spacing w:val="-3"/>
          <w:highlight w:val="none"/>
        </w:rPr>
        <w:t>，</w:t>
      </w:r>
      <w:r>
        <w:rPr>
          <w:rFonts w:hint="eastAsia" w:asciiTheme="minorEastAsia" w:hAnsiTheme="minorEastAsia" w:eastAsiaTheme="minorEastAsia" w:cstheme="minorEastAsia"/>
          <w:highlight w:val="none"/>
        </w:rPr>
        <w:t>资产总额为</w:t>
      </w:r>
      <w:r>
        <w:rPr>
          <w:rFonts w:hint="eastAsia" w:asciiTheme="minorEastAsia" w:hAnsiTheme="minorEastAsia" w:eastAsiaTheme="minorEastAsia" w:cstheme="minorEastAsia"/>
          <w:highlight w:val="none"/>
          <w:u w:val="single"/>
        </w:rPr>
        <w:t xml:space="preserve"> </w:t>
      </w:r>
      <w:r>
        <w:rPr>
          <w:rFonts w:hint="eastAsia" w:asciiTheme="minorEastAsia" w:hAnsiTheme="minorEastAsia" w:eastAsiaTheme="minorEastAsia" w:cstheme="minorEastAsia"/>
          <w:highlight w:val="none"/>
          <w:u w:val="single"/>
        </w:rPr>
        <w:tab/>
      </w:r>
      <w:r>
        <w:rPr>
          <w:rFonts w:hint="eastAsia" w:asciiTheme="minorEastAsia" w:hAnsiTheme="minorEastAsia" w:eastAsiaTheme="minorEastAsia" w:cstheme="minorEastAsia"/>
          <w:highlight w:val="none"/>
        </w:rPr>
        <w:t>万元</w:t>
      </w:r>
      <w:r>
        <w:rPr>
          <w:rFonts w:hint="eastAsia" w:asciiTheme="minorEastAsia" w:hAnsiTheme="minorEastAsia" w:eastAsiaTheme="minorEastAsia" w:cstheme="minorEastAsia"/>
          <w:spacing w:val="-3"/>
          <w:highlight w:val="none"/>
        </w:rPr>
        <w:t>，</w:t>
      </w:r>
      <w:r>
        <w:rPr>
          <w:rFonts w:hint="eastAsia" w:asciiTheme="minorEastAsia" w:hAnsiTheme="minorEastAsia" w:eastAsiaTheme="minorEastAsia" w:cstheme="minorEastAsia"/>
          <w:highlight w:val="none"/>
        </w:rPr>
        <w:t>属</w:t>
      </w:r>
      <w:r>
        <w:rPr>
          <w:rFonts w:hint="eastAsia" w:asciiTheme="minorEastAsia" w:hAnsiTheme="minorEastAsia" w:eastAsiaTheme="minorEastAsia" w:cstheme="minorEastAsia"/>
          <w:spacing w:val="-17"/>
          <w:highlight w:val="none"/>
        </w:rPr>
        <w:t>于</w:t>
      </w:r>
      <w:r>
        <w:rPr>
          <w:rFonts w:hint="eastAsia" w:asciiTheme="minorEastAsia" w:hAnsiTheme="minorEastAsia" w:eastAsiaTheme="minorEastAsia" w:cstheme="minorEastAsia"/>
          <w:highlight w:val="none"/>
          <w:u w:val="single"/>
          <w:lang w:val="zh-CN" w:bidi="zh-CN"/>
        </w:rPr>
        <w:t>（中型企业、小型企业、微型企业</w:t>
      </w:r>
      <w:r>
        <w:rPr>
          <w:rFonts w:hint="eastAsia" w:asciiTheme="minorEastAsia" w:hAnsiTheme="minorEastAsia" w:eastAsiaTheme="minorEastAsia" w:cstheme="minorEastAsia"/>
          <w:highlight w:val="none"/>
          <w:u w:val="single"/>
          <w:lang w:bidi="zh-CN"/>
        </w:rPr>
        <w:t>）</w:t>
      </w:r>
      <w:r>
        <w:rPr>
          <w:rFonts w:hint="eastAsia" w:asciiTheme="minorEastAsia" w:hAnsiTheme="minorEastAsia" w:eastAsiaTheme="minorEastAsia" w:cstheme="minorEastAsia"/>
          <w:w w:val="99"/>
          <w:highlight w:val="none"/>
          <w:u w:val="single"/>
        </w:rPr>
        <w:t>；</w:t>
      </w:r>
    </w:p>
    <w:p>
      <w:pPr>
        <w:pStyle w:val="9"/>
        <w:spacing w:line="560" w:lineRule="exact"/>
        <w:ind w:left="860"/>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w:t>
      </w:r>
    </w:p>
    <w:p>
      <w:pPr>
        <w:pStyle w:val="9"/>
        <w:spacing w:before="105" w:line="560" w:lineRule="exact"/>
        <w:ind w:right="417" w:firstLine="645"/>
        <w:rPr>
          <w:rFonts w:asciiTheme="minorEastAsia" w:hAnsiTheme="minorEastAsia" w:eastAsiaTheme="minorEastAsia" w:cstheme="minorEastAsia"/>
          <w:highlight w:val="none"/>
        </w:rPr>
      </w:pPr>
      <w:r>
        <w:rPr>
          <w:rFonts w:hint="eastAsia" w:asciiTheme="minorEastAsia" w:hAnsiTheme="minorEastAsia" w:eastAsiaTheme="minorEastAsia" w:cstheme="minorEastAsia"/>
          <w:spacing w:val="-3"/>
          <w:highlight w:val="none"/>
        </w:rPr>
        <w:t>以上企业，不属于大企业的分支机构，不存在控股股东</w:t>
      </w:r>
      <w:r>
        <w:rPr>
          <w:rFonts w:hint="eastAsia" w:asciiTheme="minorEastAsia" w:hAnsiTheme="minorEastAsia" w:eastAsiaTheme="minorEastAsia" w:cstheme="minorEastAsia"/>
          <w:spacing w:val="-5"/>
          <w:highlight w:val="none"/>
        </w:rPr>
        <w:t>为大企业的情形，也不存在与大企业的负责人为同一人的情形。</w:t>
      </w:r>
    </w:p>
    <w:p>
      <w:pPr>
        <w:pStyle w:val="9"/>
        <w:spacing w:line="560" w:lineRule="exact"/>
        <w:ind w:right="372" w:firstLine="645"/>
        <w:rPr>
          <w:rFonts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本企业对上述声明内容的真实性负责。如有虚假，将依法承担相应责任。</w:t>
      </w:r>
    </w:p>
    <w:p>
      <w:pPr>
        <w:pStyle w:val="9"/>
        <w:spacing w:before="35" w:line="560" w:lineRule="exact"/>
        <w:ind w:left="4060" w:right="2166"/>
        <w:rPr>
          <w:rFonts w:asciiTheme="minorEastAsia" w:hAnsiTheme="minorEastAsia" w:eastAsiaTheme="minorEastAsia" w:cstheme="minorEastAsia"/>
          <w:spacing w:val="-2"/>
          <w:highlight w:val="none"/>
        </w:rPr>
      </w:pPr>
      <w:r>
        <w:rPr>
          <w:rFonts w:hint="eastAsia" w:asciiTheme="minorEastAsia" w:hAnsiTheme="minorEastAsia" w:eastAsiaTheme="minorEastAsia" w:cstheme="minorEastAsia"/>
          <w:spacing w:val="-2"/>
          <w:highlight w:val="none"/>
        </w:rPr>
        <w:t>企业名称（盖章）：</w:t>
      </w:r>
    </w:p>
    <w:p>
      <w:pPr>
        <w:pStyle w:val="9"/>
        <w:spacing w:before="35" w:line="560" w:lineRule="exact"/>
        <w:ind w:left="4060" w:right="2166"/>
        <w:rPr>
          <w:rFonts w:asciiTheme="minorEastAsia" w:hAnsiTheme="minorEastAsia" w:eastAsiaTheme="minorEastAsia" w:cstheme="minorEastAsia"/>
          <w:spacing w:val="-2"/>
          <w:highlight w:val="none"/>
        </w:rPr>
      </w:pPr>
      <w:r>
        <w:rPr>
          <w:rFonts w:hint="eastAsia" w:asciiTheme="minorEastAsia" w:hAnsiTheme="minorEastAsia" w:eastAsiaTheme="minorEastAsia" w:cstheme="minorEastAsia"/>
          <w:spacing w:val="-2"/>
          <w:highlight w:val="none"/>
        </w:rPr>
        <w:t>日期：</w:t>
      </w:r>
    </w:p>
    <w:p>
      <w:pPr>
        <w:spacing w:line="560" w:lineRule="exact"/>
        <w:rPr>
          <w:rFonts w:ascii="仿宋_GB2312" w:hAnsi="仿宋_GB2312" w:eastAsia="仿宋_GB2312" w:cs="仿宋_GB2312"/>
          <w:sz w:val="30"/>
          <w:szCs w:val="30"/>
          <w:highlight w:val="none"/>
        </w:rPr>
      </w:pPr>
    </w:p>
    <w:p>
      <w:pPr>
        <w:spacing w:line="560" w:lineRule="exact"/>
        <w:rPr>
          <w:rFonts w:asciiTheme="minorEastAsia" w:hAnsiTheme="minorEastAsia" w:eastAsiaTheme="minorEastAsia" w:cstheme="minorEastAsia"/>
          <w:sz w:val="24"/>
          <w:highlight w:val="none"/>
        </w:rPr>
        <w:sectPr>
          <w:headerReference r:id="rId8" w:type="default"/>
          <w:footerReference r:id="rId9" w:type="default"/>
          <w:pgSz w:w="11910" w:h="16840"/>
          <w:pgMar w:top="1500" w:right="1380" w:bottom="1780" w:left="1580" w:header="0" w:footer="1595" w:gutter="0"/>
          <w:cols w:space="720" w:num="1"/>
        </w:sectPr>
      </w:pPr>
      <w:r>
        <w:rPr>
          <w:rFonts w:hint="eastAsia" w:asciiTheme="minorEastAsia" w:hAnsiTheme="minorEastAsia" w:eastAsiaTheme="minorEastAsia" w:cstheme="minorEastAsia"/>
          <w:sz w:val="24"/>
          <w:highlight w:val="none"/>
        </w:rPr>
        <w:t>注：从业人员、营业收入、资产总额填报上一年度数据，无上一年度数据的新成立企业可不填报。</w:t>
      </w:r>
    </w:p>
    <w:p>
      <w:pPr>
        <w:spacing w:line="560" w:lineRule="exact"/>
        <w:ind w:left="1079" w:leftChars="257" w:hanging="540"/>
        <w:jc w:val="center"/>
        <w:rPr>
          <w:rFonts w:ascii="宋体" w:hAnsi="宋体" w:cs="宋体"/>
          <w:b/>
          <w:kern w:val="0"/>
          <w:sz w:val="24"/>
          <w:szCs w:val="20"/>
          <w:highlight w:val="none"/>
        </w:rPr>
      </w:pPr>
      <w:r>
        <w:rPr>
          <w:rFonts w:hint="eastAsia" w:ascii="宋体" w:hAnsi="宋体" w:cs="宋体"/>
          <w:b/>
          <w:kern w:val="0"/>
          <w:sz w:val="24"/>
          <w:szCs w:val="20"/>
          <w:highlight w:val="none"/>
        </w:rPr>
        <w:t>　</w:t>
      </w:r>
      <w:bookmarkStart w:id="411" w:name="_Toc19284"/>
      <w:bookmarkStart w:id="412" w:name="_Toc23068"/>
      <w:bookmarkStart w:id="413" w:name="_Toc24603"/>
      <w:bookmarkStart w:id="414" w:name="_Toc515647825"/>
      <w:bookmarkStart w:id="415" w:name="OLE_LINK13"/>
      <w:bookmarkStart w:id="416" w:name="OLE_LINK14"/>
    </w:p>
    <w:p>
      <w:pPr>
        <w:spacing w:line="560" w:lineRule="exact"/>
        <w:jc w:val="center"/>
        <w:rPr>
          <w:rFonts w:ascii="宋体" w:hAnsi="宋体" w:cs="宋体"/>
          <w:b/>
          <w:kern w:val="0"/>
          <w:sz w:val="24"/>
          <w:szCs w:val="20"/>
          <w:highlight w:val="none"/>
        </w:rPr>
      </w:pPr>
      <w:r>
        <w:rPr>
          <w:rFonts w:hint="eastAsia" w:ascii="宋体" w:hAnsi="宋体" w:cs="宋体"/>
          <w:b/>
          <w:kern w:val="0"/>
          <w:sz w:val="24"/>
          <w:szCs w:val="20"/>
          <w:highlight w:val="none"/>
        </w:rPr>
        <w:t>8.2残疾人福利性单位声明函</w:t>
      </w:r>
      <w:bookmarkEnd w:id="411"/>
      <w:bookmarkEnd w:id="412"/>
      <w:bookmarkEnd w:id="413"/>
      <w:bookmarkEnd w:id="414"/>
    </w:p>
    <w:bookmarkEnd w:id="415"/>
    <w:bookmarkEnd w:id="416"/>
    <w:p>
      <w:pPr>
        <w:spacing w:line="560" w:lineRule="exact"/>
        <w:ind w:left="1079" w:leftChars="257" w:hanging="540"/>
        <w:jc w:val="center"/>
        <w:rPr>
          <w:rFonts w:ascii="宋体" w:hAnsi="宋体" w:cs="宋体"/>
          <w:kern w:val="0"/>
          <w:sz w:val="24"/>
          <w:szCs w:val="20"/>
          <w:highlight w:val="none"/>
        </w:rPr>
      </w:pPr>
    </w:p>
    <w:p>
      <w:pPr>
        <w:spacing w:line="560" w:lineRule="exact"/>
        <w:ind w:firstLine="567"/>
        <w:rPr>
          <w:rFonts w:ascii="宋体" w:hAnsi="宋体"/>
          <w:kern w:val="0"/>
          <w:sz w:val="24"/>
          <w:szCs w:val="20"/>
          <w:highlight w:val="none"/>
        </w:rPr>
      </w:pPr>
      <w:r>
        <w:rPr>
          <w:rFonts w:hint="eastAsia" w:ascii="宋体" w:hAnsi="宋体"/>
          <w:kern w:val="0"/>
          <w:sz w:val="24"/>
          <w:szCs w:val="20"/>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中国残疾人联合会关于促进残疾人就业政府采购政策的通知》（财库〔2017〕141号）的规定，本单位为符合条件的残疾人福利性单位，且本单位参加______单位的______项目采购活动，货物全部由本单位提供。</w:t>
      </w:r>
    </w:p>
    <w:p>
      <w:pPr>
        <w:spacing w:line="560" w:lineRule="exact"/>
        <w:ind w:left="1079" w:leftChars="257" w:hanging="540"/>
        <w:rPr>
          <w:rFonts w:ascii="宋体" w:hAnsi="宋体"/>
          <w:kern w:val="0"/>
          <w:sz w:val="24"/>
          <w:szCs w:val="20"/>
          <w:highlight w:val="none"/>
        </w:rPr>
      </w:pPr>
      <w:r>
        <w:rPr>
          <w:rFonts w:hint="eastAsia" w:ascii="宋体" w:hAnsi="宋体"/>
          <w:kern w:val="0"/>
          <w:sz w:val="24"/>
          <w:szCs w:val="20"/>
          <w:highlight w:val="none"/>
        </w:rPr>
        <w:t>本单位对上述声明的真实性负责。如有虚假，将依法承担相应责任。</w:t>
      </w:r>
    </w:p>
    <w:p>
      <w:pPr>
        <w:widowControl/>
        <w:spacing w:before="100" w:beforeAutospacing="1" w:after="100" w:afterAutospacing="1" w:line="560" w:lineRule="exact"/>
        <w:ind w:firstLine="480"/>
        <w:jc w:val="left"/>
        <w:rPr>
          <w:rFonts w:ascii="宋体" w:hAnsi="宋体" w:cs="宋体"/>
          <w:kern w:val="0"/>
          <w:sz w:val="24"/>
          <w:highlight w:val="none"/>
        </w:rPr>
      </w:pPr>
      <w:r>
        <w:rPr>
          <w:rFonts w:hint="eastAsia" w:ascii="宋体" w:hAnsi="宋体" w:cs="宋体"/>
          <w:kern w:val="0"/>
          <w:sz w:val="24"/>
          <w:highlight w:val="none"/>
        </w:rPr>
        <w:t>供应商（公章）：</w:t>
      </w:r>
    </w:p>
    <w:p>
      <w:pPr>
        <w:widowControl/>
        <w:spacing w:before="100" w:beforeAutospacing="1" w:after="100" w:afterAutospacing="1" w:line="560" w:lineRule="exact"/>
        <w:ind w:firstLine="480"/>
        <w:jc w:val="left"/>
        <w:rPr>
          <w:rFonts w:ascii="宋体" w:hAnsi="宋体" w:cs="宋体"/>
          <w:kern w:val="0"/>
          <w:sz w:val="24"/>
          <w:highlight w:val="none"/>
        </w:rPr>
      </w:pPr>
      <w:r>
        <w:rPr>
          <w:rFonts w:hint="eastAsia" w:ascii="宋体" w:hAnsi="宋体"/>
          <w:sz w:val="24"/>
          <w:highlight w:val="none"/>
        </w:rPr>
        <w:t>法定代表人（</w:t>
      </w:r>
      <w:r>
        <w:rPr>
          <w:rFonts w:hint="eastAsia" w:ascii="宋体" w:hAnsi="宋体" w:cs="宋体"/>
          <w:sz w:val="24"/>
          <w:highlight w:val="none"/>
        </w:rPr>
        <w:t>非法人组织的负责人</w:t>
      </w:r>
      <w:r>
        <w:rPr>
          <w:rFonts w:hint="eastAsia" w:ascii="宋体" w:hAnsi="宋体"/>
          <w:sz w:val="24"/>
          <w:highlight w:val="none"/>
        </w:rPr>
        <w:t>）或其授权代表（签章）</w:t>
      </w:r>
      <w:r>
        <w:rPr>
          <w:rFonts w:hint="eastAsia" w:ascii="宋体" w:hAnsi="宋体" w:cs="宋体"/>
          <w:kern w:val="0"/>
          <w:sz w:val="24"/>
          <w:highlight w:val="none"/>
        </w:rPr>
        <w:t>：</w:t>
      </w:r>
    </w:p>
    <w:p>
      <w:pPr>
        <w:spacing w:line="560" w:lineRule="exact"/>
        <w:ind w:left="1079" w:leftChars="257" w:hanging="540"/>
        <w:rPr>
          <w:rFonts w:ascii="宋体" w:hAnsi="宋体"/>
          <w:kern w:val="0"/>
          <w:sz w:val="24"/>
          <w:szCs w:val="20"/>
          <w:highlight w:val="none"/>
        </w:rPr>
      </w:pPr>
      <w:r>
        <w:rPr>
          <w:rFonts w:hint="eastAsia" w:ascii="宋体" w:hAnsi="宋体" w:cs="宋体"/>
          <w:kern w:val="0"/>
          <w:sz w:val="24"/>
          <w:highlight w:val="none"/>
        </w:rPr>
        <w:t>日    期：      年   月   日</w:t>
      </w:r>
    </w:p>
    <w:p>
      <w:pPr>
        <w:spacing w:line="560" w:lineRule="exact"/>
        <w:ind w:left="1079" w:leftChars="257" w:hanging="540"/>
        <w:rPr>
          <w:rFonts w:ascii="宋体" w:hAnsi="宋体" w:cs="宋体"/>
          <w:kern w:val="0"/>
          <w:sz w:val="24"/>
          <w:szCs w:val="20"/>
          <w:highlight w:val="none"/>
        </w:rPr>
      </w:pPr>
    </w:p>
    <w:p>
      <w:pPr>
        <w:spacing w:line="560" w:lineRule="exact"/>
        <w:jc w:val="center"/>
        <w:rPr>
          <w:rFonts w:ascii="宋体" w:hAnsi="宋体" w:cs="宋体"/>
          <w:b/>
          <w:kern w:val="0"/>
          <w:sz w:val="24"/>
          <w:szCs w:val="20"/>
          <w:highlight w:val="none"/>
        </w:rPr>
      </w:pPr>
    </w:p>
    <w:p>
      <w:pPr>
        <w:spacing w:line="560" w:lineRule="exact"/>
        <w:jc w:val="center"/>
        <w:rPr>
          <w:rFonts w:ascii="宋体" w:hAnsi="宋体" w:cs="宋体"/>
          <w:b/>
          <w:kern w:val="0"/>
          <w:sz w:val="24"/>
          <w:szCs w:val="20"/>
          <w:highlight w:val="none"/>
        </w:rPr>
      </w:pPr>
    </w:p>
    <w:p>
      <w:pPr>
        <w:spacing w:line="560" w:lineRule="exact"/>
        <w:jc w:val="center"/>
        <w:rPr>
          <w:rFonts w:ascii="宋体" w:hAnsi="宋体" w:cs="宋体"/>
          <w:b/>
          <w:kern w:val="0"/>
          <w:sz w:val="30"/>
          <w:szCs w:val="20"/>
          <w:highlight w:val="none"/>
        </w:rPr>
        <w:sectPr>
          <w:footerReference r:id="rId12" w:type="first"/>
          <w:footerReference r:id="rId10" w:type="default"/>
          <w:footerReference r:id="rId11" w:type="even"/>
          <w:pgSz w:w="11906" w:h="16838"/>
          <w:pgMar w:top="1440" w:right="1797" w:bottom="1440" w:left="1797" w:header="851" w:footer="992" w:gutter="0"/>
          <w:cols w:space="720" w:num="1"/>
          <w:docGrid w:type="linesAndChars" w:linePitch="312" w:charSpace="0"/>
        </w:sectPr>
      </w:pPr>
      <w:r>
        <w:rPr>
          <w:rFonts w:hint="eastAsia" w:ascii="宋体" w:hAnsi="宋体" w:cs="宋体"/>
          <w:b/>
          <w:kern w:val="0"/>
          <w:sz w:val="24"/>
          <w:szCs w:val="20"/>
          <w:highlight w:val="none"/>
        </w:rPr>
        <w:t>8.3省级以上监狱管理局、戒毒管理局（含新疆生产建设兵团） 出具的属于监狱企业的证明文件扫描件</w:t>
      </w:r>
    </w:p>
    <w:bookmarkEnd w:id="408"/>
    <w:p>
      <w:pPr>
        <w:pStyle w:val="5"/>
        <w:spacing w:line="560" w:lineRule="exact"/>
        <w:rPr>
          <w:rFonts w:hAnsi="宋体"/>
          <w:highlight w:val="none"/>
          <w:u w:val="none"/>
        </w:rPr>
      </w:pPr>
      <w:bookmarkStart w:id="417" w:name="_Toc7444"/>
      <w:bookmarkStart w:id="418" w:name="_Toc2465"/>
      <w:bookmarkStart w:id="419" w:name="_Toc20700"/>
      <w:bookmarkStart w:id="420" w:name="_Toc46136867"/>
      <w:bookmarkStart w:id="421" w:name="_Toc45562517"/>
      <w:bookmarkStart w:id="422" w:name="_Toc46238283"/>
      <w:bookmarkStart w:id="423" w:name="_Toc46136866"/>
      <w:r>
        <w:rPr>
          <w:rFonts w:hint="eastAsia" w:hAnsi="宋体"/>
          <w:highlight w:val="none"/>
          <w:u w:val="none"/>
        </w:rPr>
        <w:t>8.4小型、微型企业产品明细表</w:t>
      </w:r>
      <w:bookmarkEnd w:id="417"/>
      <w:bookmarkEnd w:id="418"/>
      <w:bookmarkEnd w:id="419"/>
      <w:bookmarkEnd w:id="420"/>
    </w:p>
    <w:p>
      <w:pPr>
        <w:pStyle w:val="8"/>
        <w:spacing w:line="560" w:lineRule="exact"/>
        <w:rPr>
          <w:rFonts w:hAnsi="宋体"/>
          <w:highlight w:val="none"/>
        </w:rPr>
      </w:pPr>
    </w:p>
    <w:p>
      <w:pPr>
        <w:autoSpaceDE w:val="0"/>
        <w:autoSpaceDN w:val="0"/>
        <w:adjustRightInd w:val="0"/>
        <w:spacing w:line="560" w:lineRule="exact"/>
        <w:jc w:val="left"/>
        <w:rPr>
          <w:rFonts w:ascii="宋体" w:hAnsi="宋体"/>
          <w:kern w:val="0"/>
          <w:sz w:val="24"/>
          <w:szCs w:val="20"/>
          <w:highlight w:val="none"/>
        </w:rPr>
      </w:pPr>
    </w:p>
    <w:p>
      <w:pPr>
        <w:pStyle w:val="5"/>
        <w:spacing w:line="560" w:lineRule="exact"/>
        <w:rPr>
          <w:rFonts w:hAnsi="宋体"/>
          <w:b w:val="0"/>
          <w:highlight w:val="none"/>
          <w:u w:val="none"/>
        </w:rPr>
      </w:pPr>
      <w:bookmarkStart w:id="424" w:name="_Toc46136868"/>
      <w:bookmarkStart w:id="425" w:name="_Toc10226"/>
      <w:bookmarkStart w:id="426" w:name="_Toc9942"/>
      <w:bookmarkStart w:id="427" w:name="_Toc18287"/>
      <w:r>
        <w:rPr>
          <w:rFonts w:hint="eastAsia" w:hAnsi="宋体"/>
          <w:highlight w:val="none"/>
          <w:u w:val="none"/>
        </w:rPr>
        <w:t>8.5环境标志产品</w:t>
      </w:r>
      <w:bookmarkEnd w:id="424"/>
      <w:r>
        <w:rPr>
          <w:rFonts w:hint="eastAsia" w:hAnsi="宋体"/>
          <w:highlight w:val="none"/>
          <w:u w:val="none"/>
        </w:rPr>
        <w:t>明细表</w:t>
      </w:r>
      <w:bookmarkEnd w:id="425"/>
      <w:bookmarkEnd w:id="426"/>
      <w:bookmarkEnd w:id="427"/>
    </w:p>
    <w:p>
      <w:pPr>
        <w:pStyle w:val="21"/>
        <w:spacing w:line="460" w:lineRule="exact"/>
        <w:jc w:val="center"/>
        <w:rPr>
          <w:rFonts w:cs="宋体"/>
          <w:b/>
          <w:kern w:val="44"/>
          <w:szCs w:val="21"/>
          <w:highlight w:val="none"/>
        </w:rPr>
      </w:pPr>
      <w:bookmarkStart w:id="428" w:name="_Toc46136869"/>
      <w:bookmarkStart w:id="429" w:name="_Toc12626"/>
      <w:bookmarkStart w:id="430" w:name="_Toc27164"/>
      <w:r>
        <w:rPr>
          <w:rFonts w:hint="eastAsia" w:cs="宋体"/>
          <w:b/>
          <w:kern w:val="44"/>
          <w:szCs w:val="21"/>
          <w:highlight w:val="none"/>
        </w:rPr>
        <w:t>环境标志产品投标报价明细表</w:t>
      </w:r>
    </w:p>
    <w:tbl>
      <w:tblPr>
        <w:tblStyle w:val="23"/>
        <w:tblpPr w:leftFromText="180" w:rightFromText="180" w:vertAnchor="text" w:horzAnchor="page" w:tblpX="1132" w:tblpY="287"/>
        <w:tblOverlap w:val="never"/>
        <w:tblW w:w="98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1365"/>
        <w:gridCol w:w="1118"/>
        <w:gridCol w:w="1358"/>
        <w:gridCol w:w="1305"/>
        <w:gridCol w:w="1485"/>
        <w:gridCol w:w="881"/>
        <w:gridCol w:w="964"/>
        <w:gridCol w:w="7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lang w:val="zh-CN"/>
              </w:rPr>
              <w:t>序号</w:t>
            </w:r>
          </w:p>
        </w:tc>
        <w:tc>
          <w:tcPr>
            <w:tcW w:w="136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lang w:val="zh-CN"/>
              </w:rPr>
              <w:t>产品名称</w:t>
            </w:r>
          </w:p>
        </w:tc>
        <w:tc>
          <w:tcPr>
            <w:tcW w:w="1118"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lang w:val="zh-CN"/>
              </w:rPr>
              <w:t>品牌/型号</w:t>
            </w:r>
          </w:p>
        </w:tc>
        <w:tc>
          <w:tcPr>
            <w:tcW w:w="1358"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lang w:val="zh-CN"/>
              </w:rPr>
              <w:t>厂家/产地</w:t>
            </w:r>
          </w:p>
        </w:tc>
        <w:tc>
          <w:tcPr>
            <w:tcW w:w="130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rPr>
              <w:t>节能产品品目清单中</w:t>
            </w:r>
            <w:r>
              <w:rPr>
                <w:rFonts w:hint="eastAsia" w:ascii="宋体" w:hAnsi="宋体" w:cs="宋体"/>
                <w:szCs w:val="21"/>
                <w:highlight w:val="none"/>
                <w:lang w:val="zh-CN"/>
              </w:rPr>
              <w:t>产品名称</w:t>
            </w:r>
          </w:p>
        </w:tc>
        <w:tc>
          <w:tcPr>
            <w:tcW w:w="1485" w:type="dxa"/>
            <w:vAlign w:val="center"/>
          </w:tcPr>
          <w:p>
            <w:pPr>
              <w:tabs>
                <w:tab w:val="left" w:pos="8280"/>
              </w:tabs>
              <w:autoSpaceDE w:val="0"/>
              <w:autoSpaceDN w:val="0"/>
              <w:adjustRightInd w:val="0"/>
              <w:spacing w:line="360" w:lineRule="auto"/>
              <w:jc w:val="center"/>
              <w:rPr>
                <w:rFonts w:ascii="宋体" w:hAnsi="宋体" w:cs="宋体"/>
                <w:szCs w:val="21"/>
                <w:highlight w:val="none"/>
              </w:rPr>
            </w:pPr>
            <w:r>
              <w:rPr>
                <w:rFonts w:hint="eastAsia" w:ascii="宋体" w:hAnsi="宋体" w:cs="宋体"/>
                <w:color w:val="000000"/>
                <w:szCs w:val="21"/>
                <w:highlight w:val="none"/>
              </w:rPr>
              <w:t>认证证书编号</w:t>
            </w:r>
          </w:p>
        </w:tc>
        <w:tc>
          <w:tcPr>
            <w:tcW w:w="881"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lang w:val="zh-CN"/>
              </w:rPr>
              <w:t>数量</w:t>
            </w:r>
          </w:p>
        </w:tc>
        <w:tc>
          <w:tcPr>
            <w:tcW w:w="964"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lang w:val="zh-CN"/>
              </w:rPr>
              <w:t>单价（元）</w:t>
            </w:r>
          </w:p>
        </w:tc>
        <w:tc>
          <w:tcPr>
            <w:tcW w:w="76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lang w:val="zh-CN"/>
              </w:rPr>
              <w:t>小计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36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118"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358"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30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48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881"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964"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76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36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118"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358"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30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48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881"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964"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76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3138" w:type="dxa"/>
            <w:gridSpan w:val="3"/>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lang w:val="zh-CN"/>
              </w:rPr>
              <w:t>环境标志</w:t>
            </w:r>
            <w:r>
              <w:rPr>
                <w:rFonts w:hint="eastAsia" w:ascii="宋体" w:hAnsi="宋体" w:cs="宋体"/>
                <w:szCs w:val="21"/>
                <w:highlight w:val="none"/>
              </w:rPr>
              <w:t>产品价格合计（元）</w:t>
            </w:r>
          </w:p>
        </w:tc>
        <w:tc>
          <w:tcPr>
            <w:tcW w:w="6758" w:type="dxa"/>
            <w:gridSpan w:val="6"/>
            <w:vAlign w:val="center"/>
          </w:tcPr>
          <w:p>
            <w:pPr>
              <w:tabs>
                <w:tab w:val="left" w:pos="8280"/>
              </w:tabs>
              <w:autoSpaceDE w:val="0"/>
              <w:autoSpaceDN w:val="0"/>
              <w:adjustRightInd w:val="0"/>
              <w:spacing w:line="360" w:lineRule="auto"/>
              <w:jc w:val="left"/>
              <w:rPr>
                <w:rFonts w:ascii="宋体" w:hAnsi="宋体" w:cs="宋体"/>
                <w:szCs w:val="21"/>
                <w:highlight w:val="none"/>
                <w:lang w:val="zh-CN"/>
              </w:rPr>
            </w:pPr>
            <w:r>
              <w:rPr>
                <w:rFonts w:hint="eastAsia" w:ascii="宋体" w:hAnsi="宋体" w:cs="宋体"/>
                <w:szCs w:val="21"/>
                <w:highlight w:val="none"/>
              </w:rPr>
              <w:t>大写：</w:t>
            </w:r>
            <w:r>
              <w:rPr>
                <w:rFonts w:hint="eastAsia" w:ascii="宋体" w:hAnsi="宋体" w:cs="宋体"/>
                <w:szCs w:val="21"/>
                <w:highlight w:val="none"/>
                <w:u w:val="single"/>
              </w:rPr>
              <w:t xml:space="preserve">                 </w:t>
            </w:r>
            <w:r>
              <w:rPr>
                <w:rFonts w:hint="eastAsia" w:ascii="宋体" w:hAnsi="宋体" w:cs="宋体"/>
                <w:szCs w:val="21"/>
                <w:highlight w:val="none"/>
              </w:rPr>
              <w:t xml:space="preserve">  小写：</w:t>
            </w:r>
          </w:p>
        </w:tc>
      </w:tr>
    </w:tbl>
    <w:p>
      <w:pPr>
        <w:spacing w:line="400" w:lineRule="exact"/>
        <w:rPr>
          <w:rFonts w:ascii="宋体" w:hAnsi="宋体" w:cs="宋体"/>
          <w:b/>
          <w:bCs/>
          <w:szCs w:val="21"/>
          <w:highlight w:val="none"/>
        </w:rPr>
      </w:pPr>
      <w:r>
        <w:rPr>
          <w:rFonts w:hint="eastAsia" w:ascii="宋体" w:hAnsi="宋体" w:cs="宋体"/>
          <w:b/>
          <w:bCs/>
          <w:szCs w:val="21"/>
          <w:highlight w:val="none"/>
        </w:rPr>
        <w:t>注：①供应商所填写的内容必须真实、可靠，如有虚假或隐瞒，一经查实将导致投标被绝。</w:t>
      </w:r>
    </w:p>
    <w:p>
      <w:pPr>
        <w:pStyle w:val="21"/>
        <w:spacing w:line="360" w:lineRule="auto"/>
        <w:rPr>
          <w:rFonts w:cs="宋体"/>
          <w:b/>
          <w:bCs/>
          <w:szCs w:val="21"/>
          <w:highlight w:val="none"/>
        </w:rPr>
      </w:pPr>
      <w:r>
        <w:rPr>
          <w:rFonts w:hint="eastAsia" w:cs="宋体"/>
          <w:b/>
          <w:bCs/>
          <w:szCs w:val="21"/>
          <w:highlight w:val="none"/>
        </w:rPr>
        <w:t>②此表须供应商加盖单位公章，未单独提供本表的不进行加分。</w:t>
      </w:r>
    </w:p>
    <w:p>
      <w:pPr>
        <w:pStyle w:val="5"/>
        <w:spacing w:line="560" w:lineRule="exact"/>
        <w:rPr>
          <w:rFonts w:hAnsi="宋体"/>
          <w:highlight w:val="none"/>
          <w:u w:val="none"/>
        </w:rPr>
      </w:pPr>
    </w:p>
    <w:p>
      <w:pPr>
        <w:rPr>
          <w:rFonts w:hAnsi="宋体"/>
          <w:highlight w:val="none"/>
        </w:rPr>
      </w:pPr>
    </w:p>
    <w:p>
      <w:pPr>
        <w:pStyle w:val="2"/>
        <w:rPr>
          <w:rFonts w:hAnsi="宋体"/>
          <w:highlight w:val="none"/>
        </w:rPr>
      </w:pPr>
    </w:p>
    <w:p>
      <w:pPr>
        <w:rPr>
          <w:highlight w:val="none"/>
        </w:rPr>
      </w:pPr>
    </w:p>
    <w:p>
      <w:pPr>
        <w:pStyle w:val="5"/>
        <w:spacing w:line="560" w:lineRule="exact"/>
        <w:rPr>
          <w:rFonts w:hAnsi="宋体"/>
          <w:highlight w:val="none"/>
          <w:u w:val="none"/>
        </w:rPr>
      </w:pPr>
      <w:bookmarkStart w:id="431" w:name="_Toc7382"/>
      <w:r>
        <w:rPr>
          <w:rFonts w:hint="eastAsia" w:hAnsi="宋体"/>
          <w:highlight w:val="none"/>
          <w:u w:val="none"/>
        </w:rPr>
        <w:t>8.6节能产品</w:t>
      </w:r>
      <w:bookmarkEnd w:id="428"/>
      <w:r>
        <w:rPr>
          <w:rFonts w:hint="eastAsia" w:hAnsi="宋体"/>
          <w:highlight w:val="none"/>
          <w:u w:val="none"/>
        </w:rPr>
        <w:t>明细表</w:t>
      </w:r>
      <w:bookmarkEnd w:id="429"/>
      <w:bookmarkEnd w:id="430"/>
      <w:bookmarkEnd w:id="431"/>
    </w:p>
    <w:p>
      <w:pPr>
        <w:pStyle w:val="21"/>
        <w:spacing w:line="460" w:lineRule="exact"/>
        <w:jc w:val="center"/>
        <w:rPr>
          <w:rFonts w:cs="宋体"/>
          <w:b/>
          <w:kern w:val="44"/>
          <w:szCs w:val="21"/>
          <w:highlight w:val="none"/>
        </w:rPr>
      </w:pPr>
      <w:bookmarkStart w:id="432" w:name="_Toc46136870"/>
      <w:r>
        <w:rPr>
          <w:rFonts w:hint="eastAsia" w:cs="宋体"/>
          <w:b/>
          <w:kern w:val="44"/>
          <w:szCs w:val="21"/>
          <w:highlight w:val="none"/>
        </w:rPr>
        <w:t>节能产品投标报价明细表</w:t>
      </w:r>
    </w:p>
    <w:tbl>
      <w:tblPr>
        <w:tblStyle w:val="23"/>
        <w:tblpPr w:leftFromText="180" w:rightFromText="180" w:vertAnchor="text" w:horzAnchor="page" w:tblpX="1132" w:tblpY="287"/>
        <w:tblOverlap w:val="never"/>
        <w:tblW w:w="96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5"/>
        <w:gridCol w:w="1365"/>
        <w:gridCol w:w="1395"/>
        <w:gridCol w:w="818"/>
        <w:gridCol w:w="1395"/>
        <w:gridCol w:w="1140"/>
        <w:gridCol w:w="915"/>
        <w:gridCol w:w="960"/>
        <w:gridCol w:w="10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lang w:val="zh-CN"/>
              </w:rPr>
              <w:t>序号</w:t>
            </w:r>
          </w:p>
        </w:tc>
        <w:tc>
          <w:tcPr>
            <w:tcW w:w="136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lang w:val="zh-CN"/>
              </w:rPr>
              <w:t>产品名称</w:t>
            </w:r>
          </w:p>
        </w:tc>
        <w:tc>
          <w:tcPr>
            <w:tcW w:w="139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lang w:val="zh-CN"/>
              </w:rPr>
              <w:t>品牌/型号</w:t>
            </w:r>
          </w:p>
        </w:tc>
        <w:tc>
          <w:tcPr>
            <w:tcW w:w="818"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lang w:val="zh-CN"/>
              </w:rPr>
              <w:t>厂家/产地</w:t>
            </w:r>
          </w:p>
        </w:tc>
        <w:tc>
          <w:tcPr>
            <w:tcW w:w="139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rPr>
              <w:t>节能产品品目清单中</w:t>
            </w:r>
            <w:r>
              <w:rPr>
                <w:rFonts w:hint="eastAsia" w:ascii="宋体" w:hAnsi="宋体" w:cs="宋体"/>
                <w:szCs w:val="21"/>
                <w:highlight w:val="none"/>
                <w:lang w:val="zh-CN"/>
              </w:rPr>
              <w:t>产品名称</w:t>
            </w:r>
          </w:p>
        </w:tc>
        <w:tc>
          <w:tcPr>
            <w:tcW w:w="1140" w:type="dxa"/>
            <w:vAlign w:val="center"/>
          </w:tcPr>
          <w:p>
            <w:pPr>
              <w:tabs>
                <w:tab w:val="left" w:pos="8280"/>
              </w:tabs>
              <w:autoSpaceDE w:val="0"/>
              <w:autoSpaceDN w:val="0"/>
              <w:adjustRightInd w:val="0"/>
              <w:spacing w:line="360" w:lineRule="auto"/>
              <w:rPr>
                <w:rFonts w:ascii="宋体" w:hAnsi="宋体" w:cs="宋体"/>
                <w:szCs w:val="21"/>
                <w:highlight w:val="none"/>
              </w:rPr>
            </w:pPr>
            <w:r>
              <w:rPr>
                <w:rFonts w:hint="eastAsia" w:ascii="宋体" w:hAnsi="宋体" w:cs="宋体"/>
                <w:color w:val="000000"/>
                <w:szCs w:val="21"/>
                <w:highlight w:val="none"/>
              </w:rPr>
              <w:t>认证证书编号</w:t>
            </w:r>
          </w:p>
        </w:tc>
        <w:tc>
          <w:tcPr>
            <w:tcW w:w="91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lang w:val="zh-CN"/>
              </w:rPr>
              <w:t>数量</w:t>
            </w:r>
          </w:p>
        </w:tc>
        <w:tc>
          <w:tcPr>
            <w:tcW w:w="960"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lang w:val="zh-CN"/>
              </w:rPr>
              <w:t>单价（元）</w:t>
            </w:r>
          </w:p>
        </w:tc>
        <w:tc>
          <w:tcPr>
            <w:tcW w:w="100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lang w:val="zh-CN"/>
              </w:rPr>
              <w:t>小计 （元）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36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39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818"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39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140" w:type="dxa"/>
            <w:vAlign w:val="center"/>
          </w:tcPr>
          <w:p>
            <w:pPr>
              <w:tabs>
                <w:tab w:val="left" w:pos="3867"/>
                <w:tab w:val="left" w:pos="8280"/>
              </w:tabs>
              <w:autoSpaceDE w:val="0"/>
              <w:autoSpaceDN w:val="0"/>
              <w:adjustRightInd w:val="0"/>
              <w:spacing w:line="360" w:lineRule="auto"/>
              <w:ind w:right="3150" w:rightChars="1500"/>
              <w:jc w:val="left"/>
              <w:rPr>
                <w:rFonts w:ascii="宋体" w:hAnsi="宋体" w:cs="宋体"/>
                <w:szCs w:val="21"/>
                <w:highlight w:val="none"/>
                <w:lang w:val="zh-CN"/>
              </w:rPr>
            </w:pPr>
            <w:r>
              <w:rPr>
                <w:rFonts w:hint="eastAsia" w:ascii="宋体" w:hAnsi="宋体" w:cs="宋体"/>
                <w:szCs w:val="21"/>
                <w:highlight w:val="none"/>
                <w:lang w:val="zh-CN"/>
              </w:rPr>
              <w:tab/>
            </w:r>
          </w:p>
        </w:tc>
        <w:tc>
          <w:tcPr>
            <w:tcW w:w="91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960"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00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65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36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39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818"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39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140"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91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960"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c>
          <w:tcPr>
            <w:tcW w:w="1005" w:type="dxa"/>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3415" w:type="dxa"/>
            <w:gridSpan w:val="3"/>
            <w:vAlign w:val="center"/>
          </w:tcPr>
          <w:p>
            <w:pPr>
              <w:tabs>
                <w:tab w:val="left" w:pos="8280"/>
              </w:tabs>
              <w:autoSpaceDE w:val="0"/>
              <w:autoSpaceDN w:val="0"/>
              <w:adjustRightInd w:val="0"/>
              <w:spacing w:line="360" w:lineRule="auto"/>
              <w:jc w:val="center"/>
              <w:rPr>
                <w:rFonts w:ascii="宋体" w:hAnsi="宋体" w:cs="宋体"/>
                <w:szCs w:val="21"/>
                <w:highlight w:val="none"/>
                <w:lang w:val="zh-CN"/>
              </w:rPr>
            </w:pPr>
            <w:r>
              <w:rPr>
                <w:rFonts w:hint="eastAsia" w:ascii="宋体" w:hAnsi="宋体" w:cs="宋体"/>
                <w:szCs w:val="21"/>
                <w:highlight w:val="none"/>
              </w:rPr>
              <w:t>节能产品价格合计（元）</w:t>
            </w:r>
          </w:p>
        </w:tc>
        <w:tc>
          <w:tcPr>
            <w:tcW w:w="6233" w:type="dxa"/>
            <w:gridSpan w:val="6"/>
            <w:vAlign w:val="center"/>
          </w:tcPr>
          <w:p>
            <w:pPr>
              <w:tabs>
                <w:tab w:val="left" w:pos="8280"/>
              </w:tabs>
              <w:autoSpaceDE w:val="0"/>
              <w:autoSpaceDN w:val="0"/>
              <w:adjustRightInd w:val="0"/>
              <w:spacing w:line="360" w:lineRule="auto"/>
              <w:jc w:val="left"/>
              <w:rPr>
                <w:rFonts w:ascii="宋体" w:hAnsi="宋体" w:cs="宋体"/>
                <w:szCs w:val="21"/>
                <w:highlight w:val="none"/>
                <w:lang w:val="zh-CN"/>
              </w:rPr>
            </w:pPr>
            <w:r>
              <w:rPr>
                <w:rFonts w:hint="eastAsia" w:ascii="宋体" w:hAnsi="宋体" w:cs="宋体"/>
                <w:szCs w:val="21"/>
                <w:highlight w:val="none"/>
              </w:rPr>
              <w:t>大写：            小写：</w:t>
            </w:r>
          </w:p>
        </w:tc>
      </w:tr>
    </w:tbl>
    <w:p>
      <w:pPr>
        <w:spacing w:line="400" w:lineRule="exact"/>
        <w:rPr>
          <w:rFonts w:ascii="宋体" w:hAnsi="宋体" w:cs="宋体"/>
          <w:b/>
          <w:bCs/>
          <w:szCs w:val="21"/>
          <w:highlight w:val="none"/>
        </w:rPr>
      </w:pPr>
    </w:p>
    <w:p>
      <w:pPr>
        <w:spacing w:line="400" w:lineRule="exact"/>
        <w:rPr>
          <w:rFonts w:ascii="宋体" w:hAnsi="宋体" w:cs="宋体"/>
          <w:b/>
          <w:bCs/>
          <w:szCs w:val="21"/>
          <w:highlight w:val="none"/>
        </w:rPr>
      </w:pPr>
      <w:r>
        <w:rPr>
          <w:rFonts w:hint="eastAsia" w:ascii="宋体" w:hAnsi="宋体" w:cs="宋体"/>
          <w:b/>
          <w:bCs/>
          <w:szCs w:val="21"/>
          <w:highlight w:val="none"/>
        </w:rPr>
        <w:t>注：①供应商所填写的内容必须真实、可靠，如有虚假或隐瞒，一经查实将导致投标被拒绝。</w:t>
      </w:r>
    </w:p>
    <w:p>
      <w:pPr>
        <w:spacing w:line="400" w:lineRule="exact"/>
        <w:rPr>
          <w:rFonts w:ascii="宋体" w:hAnsi="宋体" w:cs="宋体"/>
          <w:b/>
          <w:bCs/>
          <w:szCs w:val="21"/>
          <w:highlight w:val="none"/>
        </w:rPr>
      </w:pPr>
      <w:r>
        <w:rPr>
          <w:rFonts w:hint="eastAsia" w:ascii="宋体" w:hAnsi="宋体" w:cs="宋体"/>
          <w:b/>
          <w:bCs/>
          <w:szCs w:val="21"/>
          <w:highlight w:val="none"/>
        </w:rPr>
        <w:t>②此表不含强采节能产品。</w:t>
      </w:r>
    </w:p>
    <w:p>
      <w:pPr>
        <w:spacing w:line="400" w:lineRule="exact"/>
        <w:rPr>
          <w:rFonts w:ascii="宋体" w:hAnsi="宋体" w:cs="宋体"/>
          <w:b/>
          <w:bCs/>
          <w:szCs w:val="21"/>
          <w:highlight w:val="none"/>
        </w:rPr>
      </w:pPr>
      <w:r>
        <w:rPr>
          <w:rFonts w:hint="eastAsia" w:ascii="宋体" w:hAnsi="宋体" w:cs="宋体"/>
          <w:b/>
          <w:bCs/>
          <w:szCs w:val="21"/>
          <w:highlight w:val="none"/>
        </w:rPr>
        <w:t>③此表须供应商加盖单位公章，未单独提供本表的不进行加分。</w:t>
      </w:r>
    </w:p>
    <w:p>
      <w:pPr>
        <w:pStyle w:val="8"/>
        <w:spacing w:line="560" w:lineRule="exact"/>
        <w:rPr>
          <w:rFonts w:hAnsi="宋体"/>
          <w:highlight w:val="none"/>
        </w:rPr>
      </w:pPr>
    </w:p>
    <w:bookmarkEnd w:id="432"/>
    <w:p>
      <w:pPr>
        <w:pStyle w:val="8"/>
        <w:spacing w:line="560" w:lineRule="exact"/>
        <w:rPr>
          <w:rFonts w:hAnsi="宋体"/>
          <w:highlight w:val="none"/>
        </w:rPr>
      </w:pPr>
    </w:p>
    <w:p>
      <w:pPr>
        <w:pStyle w:val="8"/>
        <w:spacing w:line="560" w:lineRule="exact"/>
        <w:rPr>
          <w:rFonts w:hAnsi="宋体"/>
          <w:highlight w:val="none"/>
        </w:rPr>
      </w:pPr>
    </w:p>
    <w:p>
      <w:pPr>
        <w:pStyle w:val="8"/>
        <w:spacing w:line="560" w:lineRule="exact"/>
        <w:rPr>
          <w:rFonts w:hAnsi="宋体"/>
          <w:highlight w:val="none"/>
        </w:rPr>
      </w:pPr>
    </w:p>
    <w:p>
      <w:pPr>
        <w:pStyle w:val="8"/>
        <w:spacing w:line="560" w:lineRule="exact"/>
        <w:rPr>
          <w:rFonts w:hAnsi="宋体"/>
          <w:highlight w:val="none"/>
        </w:rPr>
      </w:pPr>
    </w:p>
    <w:p>
      <w:pPr>
        <w:pStyle w:val="8"/>
        <w:spacing w:line="560" w:lineRule="exact"/>
        <w:rPr>
          <w:rFonts w:hAnsi="宋体"/>
          <w:highlight w:val="none"/>
        </w:rPr>
      </w:pPr>
    </w:p>
    <w:p>
      <w:pPr>
        <w:pStyle w:val="8"/>
        <w:spacing w:line="560" w:lineRule="exact"/>
        <w:rPr>
          <w:rFonts w:hAnsi="宋体"/>
          <w:highlight w:val="none"/>
        </w:rPr>
      </w:pPr>
    </w:p>
    <w:p>
      <w:pPr>
        <w:pStyle w:val="8"/>
        <w:spacing w:line="560" w:lineRule="exact"/>
        <w:rPr>
          <w:rFonts w:hAnsi="宋体"/>
          <w:highlight w:val="none"/>
        </w:rPr>
      </w:pPr>
    </w:p>
    <w:p>
      <w:pPr>
        <w:pStyle w:val="8"/>
        <w:spacing w:line="560" w:lineRule="exact"/>
        <w:rPr>
          <w:rFonts w:hAnsi="宋体"/>
          <w:highlight w:val="none"/>
        </w:rPr>
      </w:pPr>
    </w:p>
    <w:p>
      <w:pPr>
        <w:pStyle w:val="8"/>
        <w:spacing w:line="560" w:lineRule="exact"/>
        <w:rPr>
          <w:rFonts w:hAnsi="宋体"/>
          <w:highlight w:val="none"/>
        </w:rPr>
      </w:pPr>
    </w:p>
    <w:p>
      <w:pPr>
        <w:pStyle w:val="8"/>
        <w:spacing w:line="560" w:lineRule="exact"/>
        <w:rPr>
          <w:rFonts w:hAnsi="宋体"/>
          <w:highlight w:val="none"/>
        </w:rPr>
      </w:pPr>
    </w:p>
    <w:p>
      <w:pPr>
        <w:pStyle w:val="5"/>
        <w:spacing w:line="560" w:lineRule="exact"/>
        <w:rPr>
          <w:rFonts w:hAnsi="宋体"/>
          <w:szCs w:val="22"/>
          <w:highlight w:val="none"/>
          <w:u w:val="none"/>
        </w:rPr>
      </w:pPr>
      <w:bookmarkStart w:id="433" w:name="_Toc3072"/>
      <w:bookmarkStart w:id="434" w:name="_Toc21298"/>
      <w:bookmarkStart w:id="435" w:name="_Toc25812"/>
      <w:r>
        <w:rPr>
          <w:rFonts w:hint="eastAsia" w:hAnsi="宋体"/>
          <w:highlight w:val="none"/>
          <w:u w:val="none"/>
        </w:rPr>
        <w:t>9.</w:t>
      </w:r>
      <w:bookmarkEnd w:id="433"/>
      <w:bookmarkEnd w:id="434"/>
      <w:bookmarkEnd w:id="435"/>
      <w:r>
        <w:rPr>
          <w:rFonts w:hint="eastAsia" w:hAnsi="宋体"/>
          <w:highlight w:val="none"/>
          <w:u w:val="none"/>
        </w:rPr>
        <w:t>企业基本情况表</w:t>
      </w:r>
    </w:p>
    <w:p>
      <w:pPr>
        <w:autoSpaceDE w:val="0"/>
        <w:autoSpaceDN w:val="0"/>
        <w:adjustRightInd w:val="0"/>
        <w:spacing w:line="560" w:lineRule="exact"/>
        <w:ind w:firstLine="420"/>
        <w:jc w:val="left"/>
        <w:rPr>
          <w:rFonts w:ascii="宋体" w:hAnsi="宋体"/>
          <w:kern w:val="0"/>
          <w:sz w:val="24"/>
          <w:szCs w:val="20"/>
          <w:highlight w:val="none"/>
        </w:rPr>
      </w:pPr>
    </w:p>
    <w:tbl>
      <w:tblPr>
        <w:tblStyle w:val="23"/>
        <w:tblpPr w:leftFromText="180" w:rightFromText="180" w:vertAnchor="text" w:horzAnchor="page" w:tblpX="1421" w:tblpY="-17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9"/>
        <w:gridCol w:w="1659"/>
        <w:gridCol w:w="1350"/>
        <w:gridCol w:w="1575"/>
        <w:gridCol w:w="1724"/>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trPr>
        <w:tc>
          <w:tcPr>
            <w:tcW w:w="1529" w:type="dxa"/>
            <w:vAlign w:val="center"/>
          </w:tcPr>
          <w:p>
            <w:pPr>
              <w:jc w:val="center"/>
              <w:rPr>
                <w:rFonts w:ascii="宋体" w:hAnsi="宋体" w:cs="宋体"/>
                <w:szCs w:val="21"/>
                <w:highlight w:val="none"/>
              </w:rPr>
            </w:pPr>
            <w:r>
              <w:rPr>
                <w:rFonts w:hint="eastAsia" w:ascii="宋体" w:hAnsi="宋体" w:cs="宋体"/>
                <w:szCs w:val="21"/>
                <w:highlight w:val="none"/>
              </w:rPr>
              <w:t>单位名称</w:t>
            </w:r>
          </w:p>
        </w:tc>
        <w:tc>
          <w:tcPr>
            <w:tcW w:w="4584" w:type="dxa"/>
            <w:gridSpan w:val="3"/>
            <w:vAlign w:val="center"/>
          </w:tcPr>
          <w:p>
            <w:pPr>
              <w:jc w:val="center"/>
              <w:rPr>
                <w:rFonts w:ascii="宋体" w:hAnsi="宋体" w:cs="宋体"/>
                <w:szCs w:val="21"/>
                <w:highlight w:val="none"/>
              </w:rPr>
            </w:pPr>
          </w:p>
        </w:tc>
        <w:tc>
          <w:tcPr>
            <w:tcW w:w="1724" w:type="dxa"/>
            <w:vAlign w:val="center"/>
          </w:tcPr>
          <w:p>
            <w:pPr>
              <w:jc w:val="center"/>
              <w:rPr>
                <w:rFonts w:ascii="宋体" w:hAnsi="宋体" w:cs="宋体"/>
                <w:szCs w:val="21"/>
                <w:highlight w:val="none"/>
              </w:rPr>
            </w:pPr>
            <w:r>
              <w:rPr>
                <w:rFonts w:hint="eastAsia" w:ascii="宋体" w:hAnsi="宋体" w:cs="宋体"/>
                <w:szCs w:val="21"/>
                <w:highlight w:val="none"/>
              </w:rPr>
              <w:t>邮政编码</w:t>
            </w:r>
          </w:p>
        </w:tc>
        <w:tc>
          <w:tcPr>
            <w:tcW w:w="1418" w:type="dxa"/>
            <w:vAlign w:val="center"/>
          </w:tcPr>
          <w:p>
            <w:pPr>
              <w:jc w:val="cente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trPr>
        <w:tc>
          <w:tcPr>
            <w:tcW w:w="1529" w:type="dxa"/>
            <w:vAlign w:val="center"/>
          </w:tcPr>
          <w:p>
            <w:pPr>
              <w:jc w:val="center"/>
              <w:rPr>
                <w:rFonts w:ascii="宋体" w:hAnsi="宋体" w:cs="宋体"/>
                <w:szCs w:val="21"/>
                <w:highlight w:val="none"/>
              </w:rPr>
            </w:pPr>
            <w:r>
              <w:rPr>
                <w:rFonts w:hint="eastAsia" w:ascii="宋体" w:hAnsi="宋体" w:cs="宋体"/>
                <w:szCs w:val="21"/>
                <w:highlight w:val="none"/>
              </w:rPr>
              <w:t>地址</w:t>
            </w:r>
          </w:p>
        </w:tc>
        <w:tc>
          <w:tcPr>
            <w:tcW w:w="4584" w:type="dxa"/>
            <w:gridSpan w:val="3"/>
            <w:vAlign w:val="center"/>
          </w:tcPr>
          <w:p>
            <w:pPr>
              <w:jc w:val="center"/>
              <w:rPr>
                <w:rFonts w:ascii="宋体" w:hAnsi="宋体" w:cs="宋体"/>
                <w:szCs w:val="21"/>
                <w:highlight w:val="none"/>
              </w:rPr>
            </w:pPr>
          </w:p>
        </w:tc>
        <w:tc>
          <w:tcPr>
            <w:tcW w:w="1724" w:type="dxa"/>
            <w:vAlign w:val="center"/>
          </w:tcPr>
          <w:p>
            <w:pPr>
              <w:jc w:val="center"/>
              <w:rPr>
                <w:rFonts w:ascii="宋体" w:hAnsi="宋体" w:cs="宋体"/>
                <w:szCs w:val="21"/>
                <w:highlight w:val="none"/>
              </w:rPr>
            </w:pPr>
            <w:r>
              <w:rPr>
                <w:rFonts w:hint="eastAsia" w:ascii="宋体" w:hAnsi="宋体" w:cs="宋体"/>
                <w:szCs w:val="21"/>
                <w:highlight w:val="none"/>
              </w:rPr>
              <w:t>联系电话</w:t>
            </w:r>
          </w:p>
        </w:tc>
        <w:tc>
          <w:tcPr>
            <w:tcW w:w="1418" w:type="dxa"/>
            <w:vAlign w:val="center"/>
          </w:tcPr>
          <w:p>
            <w:pPr>
              <w:jc w:val="cente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1529" w:type="dxa"/>
            <w:vAlign w:val="center"/>
          </w:tcPr>
          <w:p>
            <w:pPr>
              <w:jc w:val="center"/>
              <w:rPr>
                <w:rFonts w:ascii="宋体" w:hAnsi="宋体" w:cs="宋体"/>
                <w:szCs w:val="21"/>
                <w:highlight w:val="none"/>
              </w:rPr>
            </w:pPr>
            <w:r>
              <w:rPr>
                <w:rFonts w:hint="eastAsia" w:ascii="宋体" w:hAnsi="宋体" w:cs="宋体"/>
                <w:szCs w:val="21"/>
                <w:highlight w:val="none"/>
              </w:rPr>
              <w:t>法人代表</w:t>
            </w:r>
          </w:p>
        </w:tc>
        <w:tc>
          <w:tcPr>
            <w:tcW w:w="1659" w:type="dxa"/>
            <w:vAlign w:val="center"/>
          </w:tcPr>
          <w:p>
            <w:pPr>
              <w:jc w:val="center"/>
              <w:rPr>
                <w:rFonts w:ascii="宋体" w:hAnsi="宋体" w:cs="宋体"/>
                <w:szCs w:val="21"/>
                <w:highlight w:val="none"/>
              </w:rPr>
            </w:pPr>
          </w:p>
        </w:tc>
        <w:tc>
          <w:tcPr>
            <w:tcW w:w="1350" w:type="dxa"/>
            <w:vAlign w:val="center"/>
          </w:tcPr>
          <w:p>
            <w:pPr>
              <w:jc w:val="center"/>
              <w:rPr>
                <w:rFonts w:ascii="宋体" w:hAnsi="宋体" w:cs="宋体"/>
                <w:szCs w:val="21"/>
                <w:highlight w:val="none"/>
              </w:rPr>
            </w:pPr>
            <w:r>
              <w:rPr>
                <w:rFonts w:hint="eastAsia" w:ascii="宋体" w:hAnsi="宋体" w:cs="宋体"/>
                <w:szCs w:val="21"/>
                <w:highlight w:val="none"/>
              </w:rPr>
              <w:t>公司负责人</w:t>
            </w:r>
          </w:p>
        </w:tc>
        <w:tc>
          <w:tcPr>
            <w:tcW w:w="1575" w:type="dxa"/>
            <w:vAlign w:val="center"/>
          </w:tcPr>
          <w:p>
            <w:pPr>
              <w:jc w:val="center"/>
              <w:rPr>
                <w:rFonts w:ascii="宋体" w:hAnsi="宋体" w:cs="宋体"/>
                <w:szCs w:val="21"/>
                <w:highlight w:val="none"/>
              </w:rPr>
            </w:pPr>
          </w:p>
        </w:tc>
        <w:tc>
          <w:tcPr>
            <w:tcW w:w="1724" w:type="dxa"/>
            <w:vAlign w:val="center"/>
          </w:tcPr>
          <w:p>
            <w:pPr>
              <w:jc w:val="center"/>
              <w:rPr>
                <w:rFonts w:ascii="宋体" w:hAnsi="宋体" w:cs="宋体"/>
                <w:szCs w:val="21"/>
                <w:highlight w:val="none"/>
              </w:rPr>
            </w:pPr>
            <w:r>
              <w:rPr>
                <w:rFonts w:hint="eastAsia" w:ascii="宋体" w:hAnsi="宋体" w:cs="宋体"/>
                <w:szCs w:val="21"/>
                <w:highlight w:val="none"/>
              </w:rPr>
              <w:t>营业执照</w:t>
            </w:r>
          </w:p>
          <w:p>
            <w:pPr>
              <w:ind w:firstLine="420" w:firstLineChars="200"/>
              <w:rPr>
                <w:rFonts w:ascii="宋体" w:hAnsi="宋体" w:cs="宋体"/>
                <w:szCs w:val="21"/>
                <w:highlight w:val="none"/>
              </w:rPr>
            </w:pPr>
            <w:r>
              <w:rPr>
                <w:rFonts w:hint="eastAsia" w:ascii="宋体" w:hAnsi="宋体" w:cs="宋体"/>
                <w:szCs w:val="21"/>
                <w:highlight w:val="none"/>
              </w:rPr>
              <w:t>号码</w:t>
            </w:r>
          </w:p>
        </w:tc>
        <w:tc>
          <w:tcPr>
            <w:tcW w:w="1418" w:type="dxa"/>
            <w:vAlign w:val="center"/>
          </w:tcPr>
          <w:p>
            <w:pPr>
              <w:jc w:val="cente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9" w:hRule="atLeast"/>
        </w:trPr>
        <w:tc>
          <w:tcPr>
            <w:tcW w:w="1529" w:type="dxa"/>
            <w:vAlign w:val="center"/>
          </w:tcPr>
          <w:p>
            <w:pPr>
              <w:jc w:val="center"/>
              <w:rPr>
                <w:rFonts w:ascii="宋体" w:hAnsi="宋体" w:cs="宋体"/>
                <w:szCs w:val="21"/>
                <w:highlight w:val="none"/>
              </w:rPr>
            </w:pPr>
            <w:r>
              <w:rPr>
                <w:rFonts w:hint="eastAsia" w:ascii="宋体" w:hAnsi="宋体" w:cs="宋体"/>
                <w:szCs w:val="21"/>
                <w:highlight w:val="none"/>
              </w:rPr>
              <w:t>注册资金</w:t>
            </w:r>
          </w:p>
        </w:tc>
        <w:tc>
          <w:tcPr>
            <w:tcW w:w="1659" w:type="dxa"/>
            <w:vAlign w:val="center"/>
          </w:tcPr>
          <w:p>
            <w:pPr>
              <w:jc w:val="center"/>
              <w:rPr>
                <w:rFonts w:ascii="宋体" w:hAnsi="宋体" w:cs="宋体"/>
                <w:szCs w:val="21"/>
                <w:highlight w:val="none"/>
              </w:rPr>
            </w:pPr>
          </w:p>
        </w:tc>
        <w:tc>
          <w:tcPr>
            <w:tcW w:w="1350" w:type="dxa"/>
            <w:vAlign w:val="center"/>
          </w:tcPr>
          <w:p>
            <w:pPr>
              <w:jc w:val="center"/>
              <w:rPr>
                <w:rFonts w:ascii="宋体" w:hAnsi="宋体" w:cs="宋体"/>
                <w:szCs w:val="21"/>
                <w:highlight w:val="none"/>
              </w:rPr>
            </w:pPr>
            <w:r>
              <w:rPr>
                <w:rFonts w:hint="eastAsia" w:ascii="宋体" w:hAnsi="宋体" w:cs="宋体"/>
                <w:szCs w:val="21"/>
                <w:highlight w:val="none"/>
              </w:rPr>
              <w:t>所有制性质</w:t>
            </w:r>
          </w:p>
        </w:tc>
        <w:tc>
          <w:tcPr>
            <w:tcW w:w="1575" w:type="dxa"/>
            <w:vAlign w:val="center"/>
          </w:tcPr>
          <w:p>
            <w:pPr>
              <w:jc w:val="center"/>
              <w:rPr>
                <w:rFonts w:ascii="宋体" w:hAnsi="宋体" w:cs="宋体"/>
                <w:szCs w:val="21"/>
                <w:highlight w:val="none"/>
              </w:rPr>
            </w:pPr>
          </w:p>
        </w:tc>
        <w:tc>
          <w:tcPr>
            <w:tcW w:w="1724" w:type="dxa"/>
            <w:vAlign w:val="center"/>
          </w:tcPr>
          <w:p>
            <w:pPr>
              <w:jc w:val="center"/>
              <w:rPr>
                <w:rFonts w:ascii="宋体" w:hAnsi="宋体" w:cs="宋体"/>
                <w:szCs w:val="21"/>
                <w:highlight w:val="none"/>
              </w:rPr>
            </w:pPr>
            <w:r>
              <w:rPr>
                <w:rFonts w:hint="eastAsia" w:ascii="宋体" w:hAnsi="宋体" w:cs="宋体"/>
                <w:szCs w:val="21"/>
                <w:highlight w:val="none"/>
              </w:rPr>
              <w:t>资质及等级</w:t>
            </w:r>
          </w:p>
        </w:tc>
        <w:tc>
          <w:tcPr>
            <w:tcW w:w="1418" w:type="dxa"/>
            <w:vAlign w:val="center"/>
          </w:tcPr>
          <w:p>
            <w:pPr>
              <w:jc w:val="cente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0" w:hRule="atLeast"/>
        </w:trPr>
        <w:tc>
          <w:tcPr>
            <w:tcW w:w="1529" w:type="dxa"/>
            <w:vAlign w:val="center"/>
          </w:tcPr>
          <w:p>
            <w:pPr>
              <w:jc w:val="center"/>
              <w:rPr>
                <w:rFonts w:ascii="宋体" w:hAnsi="宋体" w:cs="宋体"/>
                <w:szCs w:val="21"/>
                <w:highlight w:val="none"/>
              </w:rPr>
            </w:pPr>
            <w:r>
              <w:rPr>
                <w:rFonts w:hint="eastAsia" w:ascii="宋体" w:hAnsi="宋体" w:cs="宋体"/>
                <w:szCs w:val="21"/>
                <w:highlight w:val="none"/>
              </w:rPr>
              <w:t>注册机关</w:t>
            </w:r>
          </w:p>
        </w:tc>
        <w:tc>
          <w:tcPr>
            <w:tcW w:w="1659" w:type="dxa"/>
            <w:vAlign w:val="center"/>
          </w:tcPr>
          <w:p>
            <w:pPr>
              <w:jc w:val="center"/>
              <w:rPr>
                <w:rFonts w:ascii="宋体" w:hAnsi="宋体" w:cs="宋体"/>
                <w:szCs w:val="21"/>
                <w:highlight w:val="none"/>
              </w:rPr>
            </w:pPr>
          </w:p>
        </w:tc>
        <w:tc>
          <w:tcPr>
            <w:tcW w:w="1350" w:type="dxa"/>
            <w:vAlign w:val="center"/>
          </w:tcPr>
          <w:p>
            <w:pPr>
              <w:jc w:val="center"/>
              <w:rPr>
                <w:rFonts w:ascii="宋体" w:hAnsi="宋体" w:cs="宋体"/>
                <w:szCs w:val="21"/>
                <w:highlight w:val="none"/>
              </w:rPr>
            </w:pPr>
            <w:r>
              <w:rPr>
                <w:rFonts w:hint="eastAsia" w:ascii="宋体" w:hAnsi="宋体" w:cs="宋体"/>
                <w:szCs w:val="21"/>
                <w:highlight w:val="none"/>
              </w:rPr>
              <w:t>注册时间</w:t>
            </w:r>
          </w:p>
        </w:tc>
        <w:tc>
          <w:tcPr>
            <w:tcW w:w="4717" w:type="dxa"/>
            <w:gridSpan w:val="3"/>
            <w:vAlign w:val="center"/>
          </w:tcPr>
          <w:p>
            <w:pPr>
              <w:jc w:val="center"/>
              <w:rPr>
                <w:rFonts w:ascii="宋体" w:hAnsi="宋体" w:cs="宋体"/>
                <w:szCs w:val="21"/>
                <w:highlight w:val="none"/>
              </w:rPr>
            </w:pPr>
            <w:r>
              <w:rPr>
                <w:rFonts w:hint="eastAsia" w:ascii="宋体" w:hAnsi="宋体" w:cs="宋体"/>
                <w:szCs w:val="21"/>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67" w:hRule="atLeast"/>
        </w:trPr>
        <w:tc>
          <w:tcPr>
            <w:tcW w:w="1529" w:type="dxa"/>
            <w:vAlign w:val="center"/>
          </w:tcPr>
          <w:p>
            <w:pPr>
              <w:jc w:val="center"/>
              <w:rPr>
                <w:rFonts w:ascii="宋体" w:hAnsi="宋体" w:cs="宋体"/>
                <w:szCs w:val="21"/>
                <w:highlight w:val="none"/>
              </w:rPr>
            </w:pPr>
            <w:r>
              <w:rPr>
                <w:rFonts w:hint="eastAsia" w:ascii="宋体" w:hAnsi="宋体" w:cs="宋体"/>
                <w:szCs w:val="21"/>
                <w:highlight w:val="none"/>
              </w:rPr>
              <w:t>人员</w:t>
            </w:r>
          </w:p>
          <w:p>
            <w:pPr>
              <w:jc w:val="center"/>
              <w:rPr>
                <w:rFonts w:ascii="宋体" w:hAnsi="宋体" w:cs="宋体"/>
                <w:szCs w:val="21"/>
                <w:highlight w:val="none"/>
              </w:rPr>
            </w:pPr>
            <w:r>
              <w:rPr>
                <w:rFonts w:hint="eastAsia" w:ascii="宋体" w:hAnsi="宋体" w:cs="宋体"/>
                <w:szCs w:val="21"/>
                <w:highlight w:val="none"/>
              </w:rPr>
              <w:t>情况</w:t>
            </w:r>
          </w:p>
        </w:tc>
        <w:tc>
          <w:tcPr>
            <w:tcW w:w="7726" w:type="dxa"/>
            <w:gridSpan w:val="5"/>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52" w:hRule="atLeast"/>
        </w:trPr>
        <w:tc>
          <w:tcPr>
            <w:tcW w:w="1529" w:type="dxa"/>
            <w:vAlign w:val="center"/>
          </w:tcPr>
          <w:p>
            <w:pPr>
              <w:jc w:val="center"/>
              <w:rPr>
                <w:rFonts w:ascii="宋体" w:hAnsi="宋体" w:cs="宋体"/>
                <w:szCs w:val="21"/>
                <w:highlight w:val="none"/>
              </w:rPr>
            </w:pPr>
            <w:r>
              <w:rPr>
                <w:rFonts w:hint="eastAsia" w:ascii="宋体" w:hAnsi="宋体" w:cs="宋体"/>
                <w:szCs w:val="21"/>
                <w:highlight w:val="none"/>
              </w:rPr>
              <w:t>业务</w:t>
            </w:r>
          </w:p>
          <w:p>
            <w:pPr>
              <w:jc w:val="center"/>
              <w:rPr>
                <w:rFonts w:ascii="宋体" w:hAnsi="宋体" w:cs="宋体"/>
                <w:szCs w:val="21"/>
                <w:highlight w:val="none"/>
              </w:rPr>
            </w:pPr>
            <w:r>
              <w:rPr>
                <w:rFonts w:hint="eastAsia" w:ascii="宋体" w:hAnsi="宋体" w:cs="宋体"/>
                <w:szCs w:val="21"/>
                <w:highlight w:val="none"/>
              </w:rPr>
              <w:t>开展</w:t>
            </w:r>
          </w:p>
          <w:p>
            <w:pPr>
              <w:jc w:val="center"/>
              <w:rPr>
                <w:rFonts w:ascii="宋体" w:hAnsi="宋体" w:cs="宋体"/>
                <w:szCs w:val="21"/>
                <w:highlight w:val="none"/>
              </w:rPr>
            </w:pPr>
            <w:r>
              <w:rPr>
                <w:rFonts w:hint="eastAsia" w:ascii="宋体" w:hAnsi="宋体" w:cs="宋体"/>
                <w:szCs w:val="21"/>
                <w:highlight w:val="none"/>
              </w:rPr>
              <w:t>情况</w:t>
            </w:r>
          </w:p>
        </w:tc>
        <w:tc>
          <w:tcPr>
            <w:tcW w:w="7726" w:type="dxa"/>
            <w:gridSpan w:val="5"/>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38" w:hRule="atLeast"/>
        </w:trPr>
        <w:tc>
          <w:tcPr>
            <w:tcW w:w="1529" w:type="dxa"/>
            <w:vAlign w:val="center"/>
          </w:tcPr>
          <w:p>
            <w:pPr>
              <w:jc w:val="center"/>
              <w:rPr>
                <w:rFonts w:ascii="宋体" w:hAnsi="宋体" w:cs="宋体"/>
                <w:szCs w:val="21"/>
                <w:highlight w:val="none"/>
              </w:rPr>
            </w:pPr>
            <w:r>
              <w:rPr>
                <w:rFonts w:hint="eastAsia" w:ascii="宋体" w:hAnsi="宋体" w:cs="宋体"/>
                <w:szCs w:val="21"/>
                <w:highlight w:val="none"/>
              </w:rPr>
              <w:t>内部</w:t>
            </w:r>
          </w:p>
          <w:p>
            <w:pPr>
              <w:jc w:val="center"/>
              <w:rPr>
                <w:rFonts w:ascii="宋体" w:hAnsi="宋体" w:cs="宋体"/>
                <w:szCs w:val="21"/>
                <w:highlight w:val="none"/>
              </w:rPr>
            </w:pPr>
            <w:r>
              <w:rPr>
                <w:rFonts w:hint="eastAsia" w:ascii="宋体" w:hAnsi="宋体" w:cs="宋体"/>
                <w:szCs w:val="21"/>
                <w:highlight w:val="none"/>
              </w:rPr>
              <w:t>机构</w:t>
            </w:r>
          </w:p>
          <w:p>
            <w:pPr>
              <w:jc w:val="center"/>
              <w:rPr>
                <w:rFonts w:ascii="宋体" w:hAnsi="宋体" w:cs="宋体"/>
                <w:szCs w:val="21"/>
                <w:highlight w:val="none"/>
              </w:rPr>
            </w:pPr>
            <w:r>
              <w:rPr>
                <w:rFonts w:hint="eastAsia" w:ascii="宋体" w:hAnsi="宋体" w:cs="宋体"/>
                <w:szCs w:val="21"/>
                <w:highlight w:val="none"/>
              </w:rPr>
              <w:t>设置</w:t>
            </w:r>
          </w:p>
          <w:p>
            <w:pPr>
              <w:jc w:val="center"/>
              <w:rPr>
                <w:rFonts w:ascii="宋体" w:hAnsi="宋体" w:cs="宋体"/>
                <w:szCs w:val="21"/>
                <w:highlight w:val="none"/>
              </w:rPr>
            </w:pPr>
            <w:r>
              <w:rPr>
                <w:rFonts w:hint="eastAsia" w:ascii="宋体" w:hAnsi="宋体" w:cs="宋体"/>
                <w:szCs w:val="21"/>
                <w:highlight w:val="none"/>
              </w:rPr>
              <w:t>情况</w:t>
            </w:r>
          </w:p>
        </w:tc>
        <w:tc>
          <w:tcPr>
            <w:tcW w:w="7726" w:type="dxa"/>
            <w:gridSpan w:val="5"/>
          </w:tcPr>
          <w:p>
            <w:pPr>
              <w:rPr>
                <w:rFonts w:ascii="宋体" w:hAnsi="宋体" w:cs="宋体"/>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26" w:hRule="atLeast"/>
        </w:trPr>
        <w:tc>
          <w:tcPr>
            <w:tcW w:w="1529" w:type="dxa"/>
            <w:vAlign w:val="center"/>
          </w:tcPr>
          <w:p>
            <w:pPr>
              <w:jc w:val="center"/>
              <w:rPr>
                <w:rFonts w:ascii="宋体" w:hAnsi="宋体" w:cs="宋体"/>
                <w:szCs w:val="21"/>
                <w:highlight w:val="none"/>
              </w:rPr>
            </w:pPr>
            <w:r>
              <w:rPr>
                <w:rFonts w:hint="eastAsia" w:ascii="宋体" w:hAnsi="宋体" w:cs="宋体"/>
                <w:szCs w:val="21"/>
                <w:highlight w:val="none"/>
              </w:rPr>
              <w:t>财务</w:t>
            </w:r>
          </w:p>
          <w:p>
            <w:pPr>
              <w:jc w:val="center"/>
              <w:rPr>
                <w:rFonts w:ascii="宋体" w:hAnsi="宋体" w:cs="宋体"/>
                <w:szCs w:val="21"/>
                <w:highlight w:val="none"/>
              </w:rPr>
            </w:pPr>
            <w:r>
              <w:rPr>
                <w:rFonts w:hint="eastAsia" w:ascii="宋体" w:hAnsi="宋体" w:cs="宋体"/>
                <w:szCs w:val="21"/>
                <w:highlight w:val="none"/>
              </w:rPr>
              <w:t>状况</w:t>
            </w:r>
          </w:p>
          <w:p>
            <w:pPr>
              <w:jc w:val="center"/>
              <w:rPr>
                <w:rFonts w:ascii="宋体" w:hAnsi="宋体" w:cs="宋体"/>
                <w:szCs w:val="21"/>
                <w:highlight w:val="none"/>
              </w:rPr>
            </w:pPr>
            <w:r>
              <w:rPr>
                <w:rFonts w:hint="eastAsia" w:ascii="宋体" w:hAnsi="宋体" w:cs="宋体"/>
                <w:szCs w:val="21"/>
                <w:highlight w:val="none"/>
              </w:rPr>
              <w:t>说明</w:t>
            </w:r>
          </w:p>
        </w:tc>
        <w:tc>
          <w:tcPr>
            <w:tcW w:w="7726" w:type="dxa"/>
            <w:gridSpan w:val="5"/>
          </w:tcPr>
          <w:p>
            <w:pPr>
              <w:rPr>
                <w:rFonts w:ascii="宋体" w:hAnsi="宋体" w:cs="宋体"/>
                <w:szCs w:val="21"/>
                <w:highlight w:val="none"/>
              </w:rPr>
            </w:pPr>
          </w:p>
        </w:tc>
      </w:tr>
    </w:tbl>
    <w:p>
      <w:pPr>
        <w:pStyle w:val="2"/>
        <w:rPr>
          <w:highlight w:val="none"/>
        </w:rPr>
      </w:pPr>
    </w:p>
    <w:p>
      <w:pPr>
        <w:pStyle w:val="5"/>
        <w:spacing w:line="560" w:lineRule="exact"/>
        <w:rPr>
          <w:rFonts w:hAnsi="宋体"/>
          <w:szCs w:val="22"/>
          <w:highlight w:val="none"/>
          <w:u w:val="none"/>
        </w:rPr>
      </w:pPr>
      <w:bookmarkStart w:id="436" w:name="_Toc12623"/>
      <w:bookmarkStart w:id="437" w:name="_Toc23202"/>
      <w:bookmarkStart w:id="438" w:name="_Toc7134"/>
      <w:bookmarkStart w:id="439" w:name="_Toc46136873"/>
      <w:r>
        <w:rPr>
          <w:rFonts w:hint="eastAsia" w:hAnsi="宋体"/>
          <w:highlight w:val="none"/>
          <w:u w:val="none"/>
        </w:rPr>
        <w:t>10.</w:t>
      </w:r>
      <w:bookmarkEnd w:id="436"/>
      <w:bookmarkEnd w:id="437"/>
      <w:bookmarkEnd w:id="438"/>
      <w:bookmarkEnd w:id="439"/>
      <w:r>
        <w:rPr>
          <w:rFonts w:hint="eastAsia" w:hAnsi="宋体"/>
          <w:highlight w:val="none"/>
          <w:u w:val="none"/>
        </w:rPr>
        <w:t>技术规格、参数偏离表</w:t>
      </w:r>
    </w:p>
    <w:p>
      <w:pPr>
        <w:tabs>
          <w:tab w:val="center" w:pos="4819"/>
          <w:tab w:val="left" w:pos="6740"/>
        </w:tabs>
        <w:autoSpaceDE w:val="0"/>
        <w:autoSpaceDN w:val="0"/>
        <w:adjustRightInd w:val="0"/>
        <w:spacing w:line="360" w:lineRule="auto"/>
        <w:jc w:val="center"/>
        <w:rPr>
          <w:rFonts w:ascii="宋体" w:hAnsi="宋体" w:cs="宋体"/>
          <w:b/>
          <w:szCs w:val="21"/>
          <w:highlight w:val="none"/>
          <w:lang w:val="zh-CN"/>
        </w:rPr>
      </w:pPr>
      <w:bookmarkStart w:id="440" w:name="_Toc7431"/>
      <w:bookmarkStart w:id="441" w:name="_Toc23538_WPSOffice_Level1"/>
      <w:bookmarkStart w:id="442" w:name="_Toc16125_WPSOffice_Level1"/>
      <w:r>
        <w:rPr>
          <w:rFonts w:hint="eastAsia" w:ascii="宋体" w:hAnsi="宋体" w:cs="宋体"/>
          <w:b/>
          <w:szCs w:val="21"/>
          <w:highlight w:val="none"/>
          <w:lang w:val="zh-CN"/>
        </w:rPr>
        <w:t>技术规格、参数偏离表</w:t>
      </w:r>
      <w:bookmarkEnd w:id="440"/>
      <w:bookmarkEnd w:id="441"/>
      <w:bookmarkEnd w:id="442"/>
    </w:p>
    <w:p>
      <w:pPr>
        <w:autoSpaceDE w:val="0"/>
        <w:autoSpaceDN w:val="0"/>
        <w:adjustRightInd w:val="0"/>
        <w:spacing w:line="360" w:lineRule="auto"/>
        <w:ind w:firstLine="240"/>
        <w:rPr>
          <w:rFonts w:ascii="宋体" w:hAnsi="宋体" w:cs="宋体"/>
          <w:szCs w:val="21"/>
          <w:highlight w:val="none"/>
          <w:lang w:val="zh-CN"/>
        </w:rPr>
      </w:pPr>
      <w:r>
        <w:rPr>
          <w:rFonts w:hint="eastAsia" w:ascii="宋体" w:hAnsi="宋体" w:cs="宋体"/>
          <w:szCs w:val="21"/>
          <w:highlight w:val="none"/>
          <w:lang w:val="zh-CN"/>
        </w:rPr>
        <w:t>供应商名称：</w:t>
      </w:r>
    </w:p>
    <w:tbl>
      <w:tblPr>
        <w:tblStyle w:val="23"/>
        <w:tblW w:w="9370" w:type="dxa"/>
        <w:jc w:val="center"/>
        <w:tblLayout w:type="fixed"/>
        <w:tblCellMar>
          <w:top w:w="0" w:type="dxa"/>
          <w:left w:w="108" w:type="dxa"/>
          <w:bottom w:w="0" w:type="dxa"/>
          <w:right w:w="108" w:type="dxa"/>
        </w:tblCellMar>
      </w:tblPr>
      <w:tblGrid>
        <w:gridCol w:w="798"/>
        <w:gridCol w:w="1172"/>
        <w:gridCol w:w="2405"/>
        <w:gridCol w:w="1110"/>
        <w:gridCol w:w="1965"/>
        <w:gridCol w:w="1312"/>
        <w:gridCol w:w="608"/>
      </w:tblGrid>
      <w:tr>
        <w:tblPrEx>
          <w:tblCellMar>
            <w:top w:w="0" w:type="dxa"/>
            <w:left w:w="108" w:type="dxa"/>
            <w:bottom w:w="0" w:type="dxa"/>
            <w:right w:w="108" w:type="dxa"/>
          </w:tblCellMar>
        </w:tblPrEx>
        <w:trPr>
          <w:trHeight w:val="550" w:hRule="atLeast"/>
          <w:jc w:val="center"/>
        </w:trPr>
        <w:tc>
          <w:tcPr>
            <w:tcW w:w="798" w:type="dxa"/>
            <w:vMerge w:val="restart"/>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lang w:val="zh-CN"/>
              </w:rPr>
              <w:t>序号</w:t>
            </w:r>
          </w:p>
        </w:tc>
        <w:tc>
          <w:tcPr>
            <w:tcW w:w="3577"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lang w:val="zh-CN"/>
              </w:rPr>
              <w:t>谈判文件条款</w:t>
            </w:r>
          </w:p>
        </w:tc>
        <w:tc>
          <w:tcPr>
            <w:tcW w:w="3075" w:type="dxa"/>
            <w:gridSpan w:val="2"/>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lang w:val="zh-CN"/>
              </w:rPr>
              <w:t>报价文件条款</w:t>
            </w:r>
          </w:p>
        </w:tc>
        <w:tc>
          <w:tcPr>
            <w:tcW w:w="1312"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Cs w:val="21"/>
                <w:highlight w:val="none"/>
              </w:rPr>
            </w:pPr>
            <w:r>
              <w:rPr>
                <w:rFonts w:hint="eastAsia" w:ascii="宋体" w:hAnsi="宋体" w:cs="宋体"/>
                <w:szCs w:val="21"/>
                <w:highlight w:val="none"/>
              </w:rPr>
              <w:t>偏离情况（正偏离/负偏离/无偏离）</w:t>
            </w:r>
          </w:p>
        </w:tc>
        <w:tc>
          <w:tcPr>
            <w:tcW w:w="608" w:type="dxa"/>
            <w:tcBorders>
              <w:top w:val="single" w:color="auto" w:sz="6" w:space="0"/>
              <w:left w:val="single" w:color="auto" w:sz="6" w:space="0"/>
              <w:bottom w:val="single" w:color="auto" w:sz="6" w:space="0"/>
              <w:right w:val="single" w:color="auto" w:sz="6" w:space="0"/>
            </w:tcBorders>
            <w:vAlign w:val="center"/>
          </w:tcPr>
          <w:p>
            <w:pPr>
              <w:autoSpaceDE w:val="0"/>
              <w:autoSpaceDN w:val="0"/>
              <w:adjustRightInd w:val="0"/>
              <w:spacing w:line="240" w:lineRule="atLeast"/>
              <w:jc w:val="center"/>
              <w:rPr>
                <w:rFonts w:ascii="宋体" w:hAnsi="宋体" w:cs="宋体"/>
                <w:szCs w:val="21"/>
                <w:highlight w:val="none"/>
              </w:rPr>
            </w:pPr>
            <w:r>
              <w:rPr>
                <w:rFonts w:hint="eastAsia" w:ascii="宋体" w:hAnsi="宋体" w:cs="宋体"/>
                <w:szCs w:val="21"/>
                <w:highlight w:val="none"/>
              </w:rPr>
              <w:t>备注</w:t>
            </w:r>
          </w:p>
        </w:tc>
      </w:tr>
      <w:tr>
        <w:tblPrEx>
          <w:tblCellMar>
            <w:top w:w="0" w:type="dxa"/>
            <w:left w:w="108" w:type="dxa"/>
            <w:bottom w:w="0" w:type="dxa"/>
            <w:right w:w="108" w:type="dxa"/>
          </w:tblCellMar>
        </w:tblPrEx>
        <w:trPr>
          <w:trHeight w:val="566" w:hRule="atLeast"/>
          <w:jc w:val="center"/>
        </w:trPr>
        <w:tc>
          <w:tcPr>
            <w:tcW w:w="798" w:type="dxa"/>
            <w:vMerge w:val="continue"/>
            <w:tcBorders>
              <w:top w:val="single" w:color="auto" w:sz="6" w:space="0"/>
              <w:left w:val="single" w:color="auto" w:sz="6" w:space="0"/>
              <w:bottom w:val="single" w:color="auto" w:sz="4" w:space="0"/>
              <w:right w:val="single" w:color="auto" w:sz="6" w:space="0"/>
            </w:tcBorders>
            <w:vAlign w:val="center"/>
          </w:tcPr>
          <w:p>
            <w:pPr>
              <w:autoSpaceDE w:val="0"/>
              <w:autoSpaceDN w:val="0"/>
              <w:adjustRightInd w:val="0"/>
              <w:spacing w:line="240" w:lineRule="atLeast"/>
              <w:jc w:val="center"/>
              <w:rPr>
                <w:rFonts w:ascii="宋体" w:hAnsi="宋体" w:cs="宋体"/>
                <w:szCs w:val="21"/>
                <w:highlight w:val="none"/>
                <w:lang w:val="zh-CN"/>
              </w:rPr>
            </w:pPr>
          </w:p>
        </w:tc>
        <w:tc>
          <w:tcPr>
            <w:tcW w:w="1172" w:type="dxa"/>
            <w:tcBorders>
              <w:top w:val="single" w:color="auto" w:sz="6" w:space="0"/>
              <w:left w:val="single" w:color="auto" w:sz="6" w:space="0"/>
              <w:bottom w:val="single" w:color="auto" w:sz="4" w:space="0"/>
              <w:right w:val="single" w:color="auto" w:sz="6" w:space="0"/>
            </w:tcBorders>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lang w:val="zh-CN"/>
              </w:rPr>
              <w:t>条款号</w:t>
            </w:r>
          </w:p>
        </w:tc>
        <w:tc>
          <w:tcPr>
            <w:tcW w:w="2405" w:type="dxa"/>
            <w:tcBorders>
              <w:top w:val="single" w:color="auto" w:sz="6" w:space="0"/>
              <w:left w:val="single" w:color="auto" w:sz="6" w:space="0"/>
              <w:bottom w:val="single" w:color="auto" w:sz="4" w:space="0"/>
              <w:right w:val="single" w:color="auto" w:sz="6" w:space="0"/>
            </w:tcBorders>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lang w:val="zh-CN"/>
              </w:rPr>
              <w:t>条款内容</w:t>
            </w:r>
          </w:p>
        </w:tc>
        <w:tc>
          <w:tcPr>
            <w:tcW w:w="1110" w:type="dxa"/>
            <w:tcBorders>
              <w:top w:val="single" w:color="auto" w:sz="6" w:space="0"/>
              <w:left w:val="single" w:color="auto" w:sz="6" w:space="0"/>
              <w:bottom w:val="single" w:color="auto" w:sz="4" w:space="0"/>
              <w:right w:val="single" w:color="auto" w:sz="6" w:space="0"/>
            </w:tcBorders>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lang w:val="zh-CN"/>
              </w:rPr>
              <w:t>条款号</w:t>
            </w:r>
          </w:p>
        </w:tc>
        <w:tc>
          <w:tcPr>
            <w:tcW w:w="1965" w:type="dxa"/>
            <w:tcBorders>
              <w:top w:val="single" w:color="auto" w:sz="6" w:space="0"/>
              <w:left w:val="single" w:color="auto" w:sz="6" w:space="0"/>
              <w:bottom w:val="single" w:color="auto" w:sz="4" w:space="0"/>
              <w:right w:val="single" w:color="auto" w:sz="6" w:space="0"/>
            </w:tcBorders>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lang w:val="zh-CN"/>
              </w:rPr>
              <w:t>条款内容</w:t>
            </w:r>
          </w:p>
        </w:tc>
        <w:tc>
          <w:tcPr>
            <w:tcW w:w="1312" w:type="dxa"/>
            <w:tcBorders>
              <w:top w:val="single" w:color="auto" w:sz="6" w:space="0"/>
              <w:left w:val="single" w:color="auto" w:sz="6" w:space="0"/>
              <w:bottom w:val="single" w:color="auto" w:sz="4" w:space="0"/>
              <w:right w:val="single" w:color="auto" w:sz="6" w:space="0"/>
            </w:tcBorders>
            <w:vAlign w:val="center"/>
          </w:tcPr>
          <w:p>
            <w:pPr>
              <w:autoSpaceDE w:val="0"/>
              <w:autoSpaceDN w:val="0"/>
              <w:adjustRightInd w:val="0"/>
              <w:spacing w:line="240" w:lineRule="atLeast"/>
              <w:jc w:val="center"/>
              <w:rPr>
                <w:rFonts w:ascii="宋体" w:hAnsi="宋体" w:cs="宋体"/>
                <w:szCs w:val="21"/>
                <w:highlight w:val="none"/>
                <w:lang w:val="zh-CN"/>
              </w:rPr>
            </w:pPr>
          </w:p>
        </w:tc>
        <w:tc>
          <w:tcPr>
            <w:tcW w:w="608" w:type="dxa"/>
            <w:tcBorders>
              <w:top w:val="single" w:color="auto" w:sz="6" w:space="0"/>
              <w:left w:val="single" w:color="auto" w:sz="6" w:space="0"/>
              <w:bottom w:val="single" w:color="auto" w:sz="4" w:space="0"/>
              <w:right w:val="single" w:color="auto" w:sz="6" w:space="0"/>
            </w:tcBorders>
            <w:vAlign w:val="center"/>
          </w:tcPr>
          <w:p>
            <w:pPr>
              <w:autoSpaceDE w:val="0"/>
              <w:autoSpaceDN w:val="0"/>
              <w:adjustRightInd w:val="0"/>
              <w:spacing w:line="240" w:lineRule="atLeast"/>
              <w:jc w:val="center"/>
              <w:rPr>
                <w:rFonts w:ascii="宋体" w:hAnsi="宋体" w:cs="宋体"/>
                <w:szCs w:val="21"/>
                <w:highlight w:val="none"/>
                <w:lang w:val="zh-CN"/>
              </w:rPr>
            </w:pPr>
          </w:p>
        </w:tc>
      </w:tr>
      <w:tr>
        <w:tblPrEx>
          <w:tblCellMar>
            <w:top w:w="0" w:type="dxa"/>
            <w:left w:w="108" w:type="dxa"/>
            <w:bottom w:w="0" w:type="dxa"/>
            <w:right w:w="108" w:type="dxa"/>
          </w:tblCellMar>
        </w:tblPrEx>
        <w:trPr>
          <w:trHeight w:val="524" w:hRule="atLeast"/>
          <w:jc w:val="center"/>
        </w:trPr>
        <w:tc>
          <w:tcPr>
            <w:tcW w:w="79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1172"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240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111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196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1312"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60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r>
      <w:tr>
        <w:tblPrEx>
          <w:tblCellMar>
            <w:top w:w="0" w:type="dxa"/>
            <w:left w:w="108" w:type="dxa"/>
            <w:bottom w:w="0" w:type="dxa"/>
            <w:right w:w="108" w:type="dxa"/>
          </w:tblCellMar>
        </w:tblPrEx>
        <w:trPr>
          <w:trHeight w:val="524" w:hRule="atLeast"/>
          <w:jc w:val="center"/>
        </w:trPr>
        <w:tc>
          <w:tcPr>
            <w:tcW w:w="79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1172"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240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111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196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1312"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60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r>
      <w:tr>
        <w:tblPrEx>
          <w:tblCellMar>
            <w:top w:w="0" w:type="dxa"/>
            <w:left w:w="108" w:type="dxa"/>
            <w:bottom w:w="0" w:type="dxa"/>
            <w:right w:w="108" w:type="dxa"/>
          </w:tblCellMar>
        </w:tblPrEx>
        <w:trPr>
          <w:trHeight w:val="524" w:hRule="atLeast"/>
          <w:jc w:val="center"/>
        </w:trPr>
        <w:tc>
          <w:tcPr>
            <w:tcW w:w="79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1172"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240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1110"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1965"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1312"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c>
          <w:tcPr>
            <w:tcW w:w="60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line="360" w:lineRule="auto"/>
              <w:rPr>
                <w:rFonts w:ascii="宋体" w:hAnsi="宋体" w:cs="宋体"/>
                <w:szCs w:val="21"/>
                <w:highlight w:val="none"/>
                <w:lang w:val="zh-CN"/>
              </w:rPr>
            </w:pPr>
          </w:p>
        </w:tc>
      </w:tr>
    </w:tbl>
    <w:p>
      <w:pPr>
        <w:pStyle w:val="21"/>
        <w:jc w:val="center"/>
        <w:rPr>
          <w:rFonts w:cs="宋体"/>
          <w:szCs w:val="21"/>
          <w:highlight w:val="none"/>
          <w:lang w:val="zh-CN"/>
        </w:rPr>
      </w:pPr>
      <w:r>
        <w:rPr>
          <w:rFonts w:hint="eastAsia" w:cs="宋体"/>
          <w:szCs w:val="21"/>
          <w:highlight w:val="none"/>
        </w:rPr>
        <w:t xml:space="preserve">                               供应商全称（公章）：</w:t>
      </w:r>
    </w:p>
    <w:p>
      <w:pPr>
        <w:autoSpaceDE w:val="0"/>
        <w:autoSpaceDN w:val="0"/>
        <w:adjustRightInd w:val="0"/>
        <w:spacing w:line="360" w:lineRule="auto"/>
        <w:rPr>
          <w:rFonts w:ascii="宋体" w:hAnsi="宋体" w:cs="宋体"/>
          <w:szCs w:val="21"/>
          <w:highlight w:val="none"/>
          <w:lang w:val="zh-CN"/>
        </w:rPr>
      </w:pPr>
      <w:r>
        <w:rPr>
          <w:rFonts w:hint="eastAsia" w:ascii="宋体" w:hAnsi="宋体" w:cs="宋体"/>
          <w:szCs w:val="21"/>
          <w:highlight w:val="none"/>
          <w:lang w:val="zh-CN"/>
        </w:rPr>
        <w:t xml:space="preserve">                                             日期 :    年  月  日</w:t>
      </w:r>
    </w:p>
    <w:p>
      <w:pPr>
        <w:pStyle w:val="36"/>
        <w:rPr>
          <w:rFonts w:ascii="宋体" w:hAnsi="宋体" w:cs="宋体"/>
          <w:sz w:val="21"/>
          <w:szCs w:val="21"/>
          <w:highlight w:val="none"/>
          <w:lang w:val="zh-CN"/>
        </w:rPr>
      </w:pPr>
    </w:p>
    <w:p>
      <w:pPr>
        <w:autoSpaceDE w:val="0"/>
        <w:autoSpaceDN w:val="0"/>
        <w:adjustRightInd w:val="0"/>
        <w:spacing w:line="360" w:lineRule="auto"/>
        <w:jc w:val="center"/>
        <w:rPr>
          <w:rFonts w:ascii="宋体" w:hAnsi="宋体" w:cs="宋体"/>
          <w:b/>
          <w:szCs w:val="21"/>
          <w:highlight w:val="none"/>
          <w:lang w:val="zh-CN"/>
        </w:rPr>
      </w:pPr>
      <w:bookmarkStart w:id="443" w:name="_Toc19309_WPSOffice_Level1"/>
      <w:bookmarkStart w:id="444" w:name="_Toc4251"/>
      <w:bookmarkStart w:id="445" w:name="_Toc14954_WPSOffice_Level1"/>
      <w:r>
        <w:rPr>
          <w:rFonts w:hint="eastAsia" w:ascii="宋体" w:hAnsi="宋体" w:cs="宋体"/>
          <w:b/>
          <w:szCs w:val="21"/>
          <w:highlight w:val="none"/>
          <w:lang w:val="zh-CN"/>
        </w:rPr>
        <w:t>商务条款偏离表</w:t>
      </w:r>
      <w:bookmarkEnd w:id="443"/>
      <w:bookmarkEnd w:id="444"/>
      <w:bookmarkEnd w:id="445"/>
    </w:p>
    <w:tbl>
      <w:tblPr>
        <w:tblStyle w:val="23"/>
        <w:tblW w:w="97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065"/>
        <w:gridCol w:w="2595"/>
        <w:gridCol w:w="1476"/>
        <w:gridCol w:w="1764"/>
        <w:gridCol w:w="1415"/>
        <w:gridCol w:w="7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720" w:type="dxa"/>
            <w:vMerge w:val="restart"/>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lang w:val="zh-CN"/>
              </w:rPr>
              <w:t>序号</w:t>
            </w:r>
          </w:p>
        </w:tc>
        <w:tc>
          <w:tcPr>
            <w:tcW w:w="3660" w:type="dxa"/>
            <w:gridSpan w:val="2"/>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lang w:val="zh-CN"/>
              </w:rPr>
              <w:t>谈判文件条款</w:t>
            </w:r>
          </w:p>
        </w:tc>
        <w:tc>
          <w:tcPr>
            <w:tcW w:w="3240" w:type="dxa"/>
            <w:gridSpan w:val="2"/>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lang w:val="zh-CN"/>
              </w:rPr>
              <w:t>报价文件条款</w:t>
            </w:r>
          </w:p>
        </w:tc>
        <w:tc>
          <w:tcPr>
            <w:tcW w:w="1415" w:type="dxa"/>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rPr>
              <w:t>偏离情况（正偏离/负偏离/无偏离）</w:t>
            </w:r>
          </w:p>
        </w:tc>
        <w:tc>
          <w:tcPr>
            <w:tcW w:w="718" w:type="dxa"/>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720" w:type="dxa"/>
            <w:vMerge w:val="continue"/>
            <w:vAlign w:val="center"/>
          </w:tcPr>
          <w:p>
            <w:pPr>
              <w:autoSpaceDE w:val="0"/>
              <w:autoSpaceDN w:val="0"/>
              <w:adjustRightInd w:val="0"/>
              <w:spacing w:line="240" w:lineRule="atLeast"/>
              <w:jc w:val="center"/>
              <w:rPr>
                <w:rFonts w:ascii="宋体" w:hAnsi="宋体" w:cs="宋体"/>
                <w:szCs w:val="21"/>
                <w:highlight w:val="none"/>
                <w:lang w:val="zh-CN"/>
              </w:rPr>
            </w:pPr>
          </w:p>
        </w:tc>
        <w:tc>
          <w:tcPr>
            <w:tcW w:w="1065" w:type="dxa"/>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lang w:val="zh-CN"/>
              </w:rPr>
              <w:t>条款号</w:t>
            </w:r>
          </w:p>
        </w:tc>
        <w:tc>
          <w:tcPr>
            <w:tcW w:w="2595" w:type="dxa"/>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lang w:val="zh-CN"/>
              </w:rPr>
              <w:t>条款内容</w:t>
            </w:r>
          </w:p>
        </w:tc>
        <w:tc>
          <w:tcPr>
            <w:tcW w:w="1476" w:type="dxa"/>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lang w:val="zh-CN"/>
              </w:rPr>
              <w:t>条款号</w:t>
            </w:r>
          </w:p>
        </w:tc>
        <w:tc>
          <w:tcPr>
            <w:tcW w:w="1764" w:type="dxa"/>
            <w:vAlign w:val="center"/>
          </w:tcPr>
          <w:p>
            <w:pPr>
              <w:autoSpaceDE w:val="0"/>
              <w:autoSpaceDN w:val="0"/>
              <w:adjustRightInd w:val="0"/>
              <w:spacing w:line="240" w:lineRule="atLeast"/>
              <w:jc w:val="center"/>
              <w:rPr>
                <w:rFonts w:ascii="宋体" w:hAnsi="宋体" w:cs="宋体"/>
                <w:szCs w:val="21"/>
                <w:highlight w:val="none"/>
                <w:lang w:val="zh-CN"/>
              </w:rPr>
            </w:pPr>
            <w:r>
              <w:rPr>
                <w:rFonts w:hint="eastAsia" w:ascii="宋体" w:hAnsi="宋体" w:cs="宋体"/>
                <w:szCs w:val="21"/>
                <w:highlight w:val="none"/>
                <w:lang w:val="zh-CN"/>
              </w:rPr>
              <w:t>条款内容</w:t>
            </w:r>
          </w:p>
        </w:tc>
        <w:tc>
          <w:tcPr>
            <w:tcW w:w="1415" w:type="dxa"/>
            <w:vAlign w:val="center"/>
          </w:tcPr>
          <w:p>
            <w:pPr>
              <w:autoSpaceDE w:val="0"/>
              <w:autoSpaceDN w:val="0"/>
              <w:adjustRightInd w:val="0"/>
              <w:spacing w:line="240" w:lineRule="atLeast"/>
              <w:jc w:val="center"/>
              <w:rPr>
                <w:rFonts w:ascii="宋体" w:hAnsi="宋体" w:cs="宋体"/>
                <w:szCs w:val="21"/>
                <w:highlight w:val="none"/>
                <w:lang w:val="zh-CN"/>
              </w:rPr>
            </w:pPr>
          </w:p>
        </w:tc>
        <w:tc>
          <w:tcPr>
            <w:tcW w:w="718" w:type="dxa"/>
            <w:vAlign w:val="center"/>
          </w:tcPr>
          <w:p>
            <w:pPr>
              <w:autoSpaceDE w:val="0"/>
              <w:autoSpaceDN w:val="0"/>
              <w:adjustRightInd w:val="0"/>
              <w:spacing w:line="240" w:lineRule="atLeast"/>
              <w:jc w:val="center"/>
              <w:rPr>
                <w:rFonts w:ascii="宋体" w:hAnsi="宋体" w:cs="宋体"/>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720" w:type="dxa"/>
          </w:tcPr>
          <w:p>
            <w:pPr>
              <w:autoSpaceDE w:val="0"/>
              <w:autoSpaceDN w:val="0"/>
              <w:adjustRightInd w:val="0"/>
              <w:spacing w:line="360" w:lineRule="auto"/>
              <w:rPr>
                <w:rFonts w:ascii="宋体" w:hAnsi="宋体" w:cs="宋体"/>
                <w:szCs w:val="21"/>
                <w:highlight w:val="none"/>
                <w:lang w:val="zh-CN"/>
              </w:rPr>
            </w:pPr>
          </w:p>
        </w:tc>
        <w:tc>
          <w:tcPr>
            <w:tcW w:w="1065" w:type="dxa"/>
          </w:tcPr>
          <w:p>
            <w:pPr>
              <w:autoSpaceDE w:val="0"/>
              <w:autoSpaceDN w:val="0"/>
              <w:adjustRightInd w:val="0"/>
              <w:spacing w:line="360" w:lineRule="auto"/>
              <w:rPr>
                <w:rFonts w:ascii="宋体" w:hAnsi="宋体" w:cs="宋体"/>
                <w:szCs w:val="21"/>
                <w:highlight w:val="none"/>
                <w:lang w:val="zh-CN"/>
              </w:rPr>
            </w:pPr>
          </w:p>
        </w:tc>
        <w:tc>
          <w:tcPr>
            <w:tcW w:w="2595" w:type="dxa"/>
          </w:tcPr>
          <w:p>
            <w:pPr>
              <w:autoSpaceDE w:val="0"/>
              <w:autoSpaceDN w:val="0"/>
              <w:adjustRightInd w:val="0"/>
              <w:spacing w:line="360" w:lineRule="auto"/>
              <w:rPr>
                <w:rFonts w:ascii="宋体" w:hAnsi="宋体" w:cs="宋体"/>
                <w:szCs w:val="21"/>
                <w:highlight w:val="none"/>
                <w:lang w:val="zh-CN"/>
              </w:rPr>
            </w:pPr>
          </w:p>
        </w:tc>
        <w:tc>
          <w:tcPr>
            <w:tcW w:w="1476" w:type="dxa"/>
          </w:tcPr>
          <w:p>
            <w:pPr>
              <w:autoSpaceDE w:val="0"/>
              <w:autoSpaceDN w:val="0"/>
              <w:adjustRightInd w:val="0"/>
              <w:spacing w:line="360" w:lineRule="auto"/>
              <w:rPr>
                <w:rFonts w:ascii="宋体" w:hAnsi="宋体" w:cs="宋体"/>
                <w:szCs w:val="21"/>
                <w:highlight w:val="none"/>
                <w:lang w:val="zh-CN"/>
              </w:rPr>
            </w:pPr>
          </w:p>
        </w:tc>
        <w:tc>
          <w:tcPr>
            <w:tcW w:w="1764" w:type="dxa"/>
          </w:tcPr>
          <w:p>
            <w:pPr>
              <w:autoSpaceDE w:val="0"/>
              <w:autoSpaceDN w:val="0"/>
              <w:adjustRightInd w:val="0"/>
              <w:spacing w:line="360" w:lineRule="auto"/>
              <w:rPr>
                <w:rFonts w:ascii="宋体" w:hAnsi="宋体" w:cs="宋体"/>
                <w:szCs w:val="21"/>
                <w:highlight w:val="none"/>
                <w:lang w:val="zh-CN"/>
              </w:rPr>
            </w:pPr>
          </w:p>
        </w:tc>
        <w:tc>
          <w:tcPr>
            <w:tcW w:w="1415" w:type="dxa"/>
          </w:tcPr>
          <w:p>
            <w:pPr>
              <w:autoSpaceDE w:val="0"/>
              <w:autoSpaceDN w:val="0"/>
              <w:adjustRightInd w:val="0"/>
              <w:spacing w:line="360" w:lineRule="auto"/>
              <w:rPr>
                <w:rFonts w:ascii="宋体" w:hAnsi="宋体" w:cs="宋体"/>
                <w:szCs w:val="21"/>
                <w:highlight w:val="none"/>
                <w:lang w:val="zh-CN"/>
              </w:rPr>
            </w:pPr>
          </w:p>
        </w:tc>
        <w:tc>
          <w:tcPr>
            <w:tcW w:w="718" w:type="dxa"/>
          </w:tcPr>
          <w:p>
            <w:pPr>
              <w:autoSpaceDE w:val="0"/>
              <w:autoSpaceDN w:val="0"/>
              <w:adjustRightInd w:val="0"/>
              <w:spacing w:line="360" w:lineRule="auto"/>
              <w:rPr>
                <w:rFonts w:ascii="宋体" w:hAnsi="宋体" w:cs="宋体"/>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20" w:type="dxa"/>
          </w:tcPr>
          <w:p>
            <w:pPr>
              <w:autoSpaceDE w:val="0"/>
              <w:autoSpaceDN w:val="0"/>
              <w:adjustRightInd w:val="0"/>
              <w:spacing w:line="360" w:lineRule="auto"/>
              <w:rPr>
                <w:rFonts w:ascii="宋体" w:hAnsi="宋体" w:cs="宋体"/>
                <w:szCs w:val="21"/>
                <w:highlight w:val="none"/>
                <w:lang w:val="zh-CN"/>
              </w:rPr>
            </w:pPr>
          </w:p>
        </w:tc>
        <w:tc>
          <w:tcPr>
            <w:tcW w:w="1065" w:type="dxa"/>
          </w:tcPr>
          <w:p>
            <w:pPr>
              <w:autoSpaceDE w:val="0"/>
              <w:autoSpaceDN w:val="0"/>
              <w:adjustRightInd w:val="0"/>
              <w:spacing w:line="360" w:lineRule="auto"/>
              <w:rPr>
                <w:rFonts w:ascii="宋体" w:hAnsi="宋体" w:cs="宋体"/>
                <w:szCs w:val="21"/>
                <w:highlight w:val="none"/>
                <w:lang w:val="zh-CN"/>
              </w:rPr>
            </w:pPr>
          </w:p>
        </w:tc>
        <w:tc>
          <w:tcPr>
            <w:tcW w:w="2595" w:type="dxa"/>
          </w:tcPr>
          <w:p>
            <w:pPr>
              <w:autoSpaceDE w:val="0"/>
              <w:autoSpaceDN w:val="0"/>
              <w:adjustRightInd w:val="0"/>
              <w:spacing w:line="360" w:lineRule="auto"/>
              <w:rPr>
                <w:rFonts w:ascii="宋体" w:hAnsi="宋体" w:cs="宋体"/>
                <w:szCs w:val="21"/>
                <w:highlight w:val="none"/>
                <w:lang w:val="zh-CN"/>
              </w:rPr>
            </w:pPr>
          </w:p>
        </w:tc>
        <w:tc>
          <w:tcPr>
            <w:tcW w:w="1476" w:type="dxa"/>
          </w:tcPr>
          <w:p>
            <w:pPr>
              <w:autoSpaceDE w:val="0"/>
              <w:autoSpaceDN w:val="0"/>
              <w:adjustRightInd w:val="0"/>
              <w:spacing w:line="360" w:lineRule="auto"/>
              <w:rPr>
                <w:rFonts w:ascii="宋体" w:hAnsi="宋体" w:cs="宋体"/>
                <w:szCs w:val="21"/>
                <w:highlight w:val="none"/>
                <w:lang w:val="zh-CN"/>
              </w:rPr>
            </w:pPr>
          </w:p>
        </w:tc>
        <w:tc>
          <w:tcPr>
            <w:tcW w:w="1764" w:type="dxa"/>
          </w:tcPr>
          <w:p>
            <w:pPr>
              <w:autoSpaceDE w:val="0"/>
              <w:autoSpaceDN w:val="0"/>
              <w:adjustRightInd w:val="0"/>
              <w:spacing w:line="360" w:lineRule="auto"/>
              <w:rPr>
                <w:rFonts w:ascii="宋体" w:hAnsi="宋体" w:cs="宋体"/>
                <w:szCs w:val="21"/>
                <w:highlight w:val="none"/>
                <w:lang w:val="zh-CN"/>
              </w:rPr>
            </w:pPr>
          </w:p>
        </w:tc>
        <w:tc>
          <w:tcPr>
            <w:tcW w:w="1415" w:type="dxa"/>
          </w:tcPr>
          <w:p>
            <w:pPr>
              <w:autoSpaceDE w:val="0"/>
              <w:autoSpaceDN w:val="0"/>
              <w:adjustRightInd w:val="0"/>
              <w:spacing w:line="360" w:lineRule="auto"/>
              <w:rPr>
                <w:rFonts w:ascii="宋体" w:hAnsi="宋体" w:cs="宋体"/>
                <w:szCs w:val="21"/>
                <w:highlight w:val="none"/>
                <w:lang w:val="zh-CN"/>
              </w:rPr>
            </w:pPr>
          </w:p>
        </w:tc>
        <w:tc>
          <w:tcPr>
            <w:tcW w:w="718" w:type="dxa"/>
          </w:tcPr>
          <w:p>
            <w:pPr>
              <w:autoSpaceDE w:val="0"/>
              <w:autoSpaceDN w:val="0"/>
              <w:adjustRightInd w:val="0"/>
              <w:spacing w:line="360" w:lineRule="auto"/>
              <w:rPr>
                <w:rFonts w:ascii="宋体" w:hAnsi="宋体" w:cs="宋体"/>
                <w:szCs w:val="21"/>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720" w:type="dxa"/>
          </w:tcPr>
          <w:p>
            <w:pPr>
              <w:autoSpaceDE w:val="0"/>
              <w:autoSpaceDN w:val="0"/>
              <w:adjustRightInd w:val="0"/>
              <w:spacing w:line="360" w:lineRule="auto"/>
              <w:rPr>
                <w:rFonts w:ascii="宋体" w:hAnsi="宋体" w:cs="宋体"/>
                <w:szCs w:val="21"/>
                <w:highlight w:val="none"/>
                <w:lang w:val="zh-CN"/>
              </w:rPr>
            </w:pPr>
          </w:p>
        </w:tc>
        <w:tc>
          <w:tcPr>
            <w:tcW w:w="1065" w:type="dxa"/>
          </w:tcPr>
          <w:p>
            <w:pPr>
              <w:autoSpaceDE w:val="0"/>
              <w:autoSpaceDN w:val="0"/>
              <w:adjustRightInd w:val="0"/>
              <w:spacing w:line="360" w:lineRule="auto"/>
              <w:rPr>
                <w:rFonts w:ascii="宋体" w:hAnsi="宋体" w:cs="宋体"/>
                <w:szCs w:val="21"/>
                <w:highlight w:val="none"/>
                <w:lang w:val="zh-CN"/>
              </w:rPr>
            </w:pPr>
          </w:p>
        </w:tc>
        <w:tc>
          <w:tcPr>
            <w:tcW w:w="2595" w:type="dxa"/>
          </w:tcPr>
          <w:p>
            <w:pPr>
              <w:autoSpaceDE w:val="0"/>
              <w:autoSpaceDN w:val="0"/>
              <w:adjustRightInd w:val="0"/>
              <w:spacing w:line="360" w:lineRule="auto"/>
              <w:rPr>
                <w:rFonts w:ascii="宋体" w:hAnsi="宋体" w:cs="宋体"/>
                <w:szCs w:val="21"/>
                <w:highlight w:val="none"/>
                <w:lang w:val="zh-CN"/>
              </w:rPr>
            </w:pPr>
          </w:p>
        </w:tc>
        <w:tc>
          <w:tcPr>
            <w:tcW w:w="1476" w:type="dxa"/>
          </w:tcPr>
          <w:p>
            <w:pPr>
              <w:autoSpaceDE w:val="0"/>
              <w:autoSpaceDN w:val="0"/>
              <w:adjustRightInd w:val="0"/>
              <w:spacing w:line="360" w:lineRule="auto"/>
              <w:rPr>
                <w:rFonts w:ascii="宋体" w:hAnsi="宋体" w:cs="宋体"/>
                <w:szCs w:val="21"/>
                <w:highlight w:val="none"/>
                <w:lang w:val="zh-CN"/>
              </w:rPr>
            </w:pPr>
          </w:p>
        </w:tc>
        <w:tc>
          <w:tcPr>
            <w:tcW w:w="1764" w:type="dxa"/>
          </w:tcPr>
          <w:p>
            <w:pPr>
              <w:autoSpaceDE w:val="0"/>
              <w:autoSpaceDN w:val="0"/>
              <w:adjustRightInd w:val="0"/>
              <w:spacing w:line="360" w:lineRule="auto"/>
              <w:rPr>
                <w:rFonts w:ascii="宋体" w:hAnsi="宋体" w:cs="宋体"/>
                <w:szCs w:val="21"/>
                <w:highlight w:val="none"/>
                <w:lang w:val="zh-CN"/>
              </w:rPr>
            </w:pPr>
          </w:p>
        </w:tc>
        <w:tc>
          <w:tcPr>
            <w:tcW w:w="1415" w:type="dxa"/>
          </w:tcPr>
          <w:p>
            <w:pPr>
              <w:autoSpaceDE w:val="0"/>
              <w:autoSpaceDN w:val="0"/>
              <w:adjustRightInd w:val="0"/>
              <w:spacing w:line="360" w:lineRule="auto"/>
              <w:rPr>
                <w:rFonts w:ascii="宋体" w:hAnsi="宋体" w:cs="宋体"/>
                <w:szCs w:val="21"/>
                <w:highlight w:val="none"/>
                <w:lang w:val="zh-CN"/>
              </w:rPr>
            </w:pPr>
          </w:p>
        </w:tc>
        <w:tc>
          <w:tcPr>
            <w:tcW w:w="718" w:type="dxa"/>
          </w:tcPr>
          <w:p>
            <w:pPr>
              <w:autoSpaceDE w:val="0"/>
              <w:autoSpaceDN w:val="0"/>
              <w:adjustRightInd w:val="0"/>
              <w:spacing w:line="360" w:lineRule="auto"/>
              <w:rPr>
                <w:rFonts w:ascii="宋体" w:hAnsi="宋体" w:cs="宋体"/>
                <w:szCs w:val="21"/>
                <w:highlight w:val="none"/>
                <w:lang w:val="zh-CN"/>
              </w:rPr>
            </w:pPr>
          </w:p>
        </w:tc>
      </w:tr>
    </w:tbl>
    <w:p>
      <w:pPr>
        <w:pStyle w:val="21"/>
        <w:ind w:firstLine="5250" w:firstLineChars="2500"/>
        <w:rPr>
          <w:rFonts w:cs="宋体"/>
          <w:szCs w:val="21"/>
          <w:highlight w:val="none"/>
          <w:lang w:val="zh-CN"/>
        </w:rPr>
      </w:pPr>
      <w:r>
        <w:rPr>
          <w:rFonts w:hint="eastAsia" w:cs="宋体"/>
          <w:szCs w:val="21"/>
          <w:highlight w:val="none"/>
        </w:rPr>
        <w:t>供应商全称（公章）：</w:t>
      </w:r>
    </w:p>
    <w:p>
      <w:pPr>
        <w:autoSpaceDE w:val="0"/>
        <w:autoSpaceDN w:val="0"/>
        <w:adjustRightInd w:val="0"/>
        <w:spacing w:line="360" w:lineRule="auto"/>
        <w:rPr>
          <w:rFonts w:ascii="宋体" w:hAnsi="宋体" w:cs="宋体"/>
          <w:szCs w:val="21"/>
          <w:highlight w:val="none"/>
          <w:lang w:val="zh-CN"/>
        </w:rPr>
      </w:pPr>
      <w:r>
        <w:rPr>
          <w:rFonts w:hint="eastAsia" w:ascii="宋体" w:hAnsi="宋体" w:cs="宋体"/>
          <w:szCs w:val="21"/>
          <w:highlight w:val="none"/>
          <w:lang w:val="zh-CN"/>
        </w:rPr>
        <w:t xml:space="preserve">                                                  日期 :   年  月  日</w:t>
      </w:r>
    </w:p>
    <w:p>
      <w:pPr>
        <w:pStyle w:val="36"/>
        <w:rPr>
          <w:rFonts w:ascii="宋体" w:hAnsi="宋体" w:cs="宋体"/>
          <w:sz w:val="21"/>
          <w:szCs w:val="21"/>
          <w:highlight w:val="none"/>
          <w:lang w:val="zh-CN"/>
        </w:rPr>
      </w:pPr>
    </w:p>
    <w:p>
      <w:pPr>
        <w:autoSpaceDE w:val="0"/>
        <w:autoSpaceDN w:val="0"/>
        <w:adjustRightInd w:val="0"/>
        <w:spacing w:line="560" w:lineRule="exact"/>
        <w:rPr>
          <w:rFonts w:ascii="宋体" w:hAnsi="宋体" w:cs="宋体"/>
          <w:b/>
          <w:szCs w:val="21"/>
          <w:highlight w:val="none"/>
          <w:lang w:val="zh-CN"/>
        </w:rPr>
      </w:pPr>
      <w:r>
        <w:rPr>
          <w:rFonts w:hint="eastAsia" w:ascii="宋体" w:hAnsi="宋体" w:cs="宋体"/>
          <w:b/>
          <w:szCs w:val="21"/>
          <w:highlight w:val="none"/>
          <w:lang w:val="zh-CN"/>
        </w:rPr>
        <w:t>注：（1）</w:t>
      </w:r>
      <w:r>
        <w:rPr>
          <w:rFonts w:hint="eastAsia" w:ascii="宋体" w:hAnsi="宋体" w:cs="宋体"/>
          <w:b/>
          <w:szCs w:val="21"/>
          <w:highlight w:val="none"/>
        </w:rPr>
        <w:t>供应商提交的报价文件实际服务技术规范、要求应逐条例在逐项应答偏离表中，</w:t>
      </w:r>
      <w:r>
        <w:rPr>
          <w:rFonts w:hint="eastAsia" w:ascii="宋体" w:hAnsi="宋体" w:cs="宋体"/>
          <w:b/>
          <w:szCs w:val="21"/>
          <w:highlight w:val="none"/>
          <w:lang w:val="zh-CN"/>
        </w:rPr>
        <w:t>如有偏离请说明理由，如无偏离请注明“无</w:t>
      </w:r>
      <w:r>
        <w:rPr>
          <w:rFonts w:hint="eastAsia" w:ascii="宋体" w:hAnsi="宋体" w:cs="宋体"/>
          <w:b/>
          <w:szCs w:val="21"/>
          <w:highlight w:val="none"/>
        </w:rPr>
        <w:t>偏离</w:t>
      </w:r>
      <w:r>
        <w:rPr>
          <w:rFonts w:hint="eastAsia" w:ascii="宋体" w:hAnsi="宋体" w:cs="宋体"/>
          <w:b/>
          <w:szCs w:val="21"/>
          <w:highlight w:val="none"/>
          <w:lang w:val="zh-CN"/>
        </w:rPr>
        <w:t>”。</w:t>
      </w:r>
    </w:p>
    <w:p>
      <w:pPr>
        <w:autoSpaceDE w:val="0"/>
        <w:autoSpaceDN w:val="0"/>
        <w:adjustRightInd w:val="0"/>
        <w:spacing w:line="560" w:lineRule="exact"/>
        <w:rPr>
          <w:rFonts w:ascii="宋体" w:hAnsi="宋体" w:cs="宋体"/>
          <w:b/>
          <w:szCs w:val="21"/>
          <w:highlight w:val="none"/>
          <w:lang w:val="zh-CN"/>
        </w:rPr>
      </w:pPr>
      <w:r>
        <w:rPr>
          <w:rFonts w:hint="eastAsia" w:ascii="宋体" w:hAnsi="宋体" w:cs="宋体"/>
          <w:b/>
          <w:szCs w:val="21"/>
          <w:highlight w:val="none"/>
          <w:lang w:val="zh-CN"/>
        </w:rPr>
        <w:t>（</w:t>
      </w:r>
      <w:r>
        <w:rPr>
          <w:rFonts w:hint="eastAsia" w:ascii="宋体" w:hAnsi="宋体" w:cs="宋体"/>
          <w:b/>
          <w:szCs w:val="21"/>
          <w:highlight w:val="none"/>
        </w:rPr>
        <w:t>2</w:t>
      </w:r>
      <w:r>
        <w:rPr>
          <w:rFonts w:hint="eastAsia" w:ascii="宋体" w:hAnsi="宋体" w:cs="宋体"/>
          <w:b/>
          <w:szCs w:val="21"/>
          <w:highlight w:val="none"/>
          <w:lang w:val="zh-CN"/>
        </w:rPr>
        <w:t>）商务偏离中供货期、付款方式、质保期条款的负偏离视为不响应谈判文件的实质性要求。</w:t>
      </w:r>
    </w:p>
    <w:p>
      <w:pPr>
        <w:pStyle w:val="5"/>
        <w:spacing w:line="560" w:lineRule="exact"/>
        <w:rPr>
          <w:highlight w:val="none"/>
          <w:u w:val="none"/>
        </w:rPr>
      </w:pPr>
    </w:p>
    <w:p>
      <w:pPr>
        <w:pStyle w:val="5"/>
        <w:spacing w:line="560" w:lineRule="exact"/>
        <w:rPr>
          <w:rFonts w:hAnsi="宋体"/>
          <w:szCs w:val="21"/>
          <w:highlight w:val="none"/>
          <w:u w:val="none"/>
        </w:rPr>
      </w:pPr>
      <w:bookmarkStart w:id="446" w:name="_Toc7560"/>
      <w:bookmarkStart w:id="447" w:name="_Toc4012"/>
      <w:bookmarkStart w:id="448" w:name="_Toc31520"/>
      <w:r>
        <w:rPr>
          <w:rFonts w:hint="eastAsia" w:hAnsi="宋体"/>
          <w:highlight w:val="none"/>
          <w:u w:val="none"/>
        </w:rPr>
        <w:t>11.业绩一览表</w:t>
      </w:r>
      <w:bookmarkEnd w:id="446"/>
      <w:bookmarkEnd w:id="447"/>
      <w:bookmarkEnd w:id="448"/>
    </w:p>
    <w:tbl>
      <w:tblPr>
        <w:tblStyle w:val="2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934"/>
        <w:gridCol w:w="1437"/>
        <w:gridCol w:w="1437"/>
        <w:gridCol w:w="1437"/>
        <w:gridCol w:w="1265"/>
        <w:gridCol w:w="14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vAlign w:val="center"/>
          </w:tcPr>
          <w:p>
            <w:pPr>
              <w:spacing w:line="360" w:lineRule="auto"/>
              <w:jc w:val="center"/>
              <w:rPr>
                <w:rFonts w:ascii="宋体" w:hAnsi="宋体" w:cs="宋体"/>
                <w:b/>
                <w:bCs/>
                <w:szCs w:val="21"/>
                <w:highlight w:val="none"/>
              </w:rPr>
            </w:pPr>
            <w:r>
              <w:rPr>
                <w:rFonts w:hint="eastAsia" w:ascii="宋体" w:hAnsi="宋体" w:cs="宋体"/>
                <w:b/>
                <w:bCs/>
                <w:szCs w:val="21"/>
                <w:highlight w:val="none"/>
              </w:rPr>
              <w:t>序号</w:t>
            </w:r>
          </w:p>
        </w:tc>
        <w:tc>
          <w:tcPr>
            <w:tcW w:w="1934" w:type="dxa"/>
            <w:vAlign w:val="center"/>
          </w:tcPr>
          <w:p>
            <w:pPr>
              <w:spacing w:line="360" w:lineRule="auto"/>
              <w:jc w:val="center"/>
              <w:rPr>
                <w:rFonts w:ascii="宋体" w:hAnsi="宋体" w:cs="宋体"/>
                <w:b/>
                <w:bCs/>
                <w:szCs w:val="21"/>
                <w:highlight w:val="none"/>
              </w:rPr>
            </w:pPr>
            <w:r>
              <w:rPr>
                <w:rFonts w:hint="eastAsia" w:ascii="宋体" w:hAnsi="宋体" w:cs="宋体"/>
                <w:b/>
                <w:bCs/>
                <w:szCs w:val="21"/>
                <w:highlight w:val="none"/>
              </w:rPr>
              <w:t>项目名称</w:t>
            </w:r>
          </w:p>
        </w:tc>
        <w:tc>
          <w:tcPr>
            <w:tcW w:w="1437" w:type="dxa"/>
            <w:vAlign w:val="center"/>
          </w:tcPr>
          <w:p>
            <w:pPr>
              <w:spacing w:line="360" w:lineRule="auto"/>
              <w:jc w:val="center"/>
              <w:rPr>
                <w:rFonts w:ascii="宋体" w:hAnsi="宋体" w:cs="宋体"/>
                <w:b/>
                <w:bCs/>
                <w:szCs w:val="21"/>
                <w:highlight w:val="none"/>
              </w:rPr>
            </w:pPr>
            <w:r>
              <w:rPr>
                <w:rFonts w:hint="eastAsia" w:ascii="宋体" w:hAnsi="宋体" w:cs="宋体"/>
                <w:b/>
                <w:bCs/>
                <w:szCs w:val="21"/>
                <w:highlight w:val="none"/>
              </w:rPr>
              <w:t>合同金额</w:t>
            </w:r>
          </w:p>
        </w:tc>
        <w:tc>
          <w:tcPr>
            <w:tcW w:w="1437" w:type="dxa"/>
            <w:vAlign w:val="center"/>
          </w:tcPr>
          <w:p>
            <w:pPr>
              <w:spacing w:line="360" w:lineRule="auto"/>
              <w:jc w:val="center"/>
              <w:rPr>
                <w:rFonts w:ascii="宋体" w:hAnsi="宋体" w:cs="宋体"/>
                <w:b/>
                <w:bCs/>
                <w:szCs w:val="21"/>
                <w:highlight w:val="none"/>
              </w:rPr>
            </w:pPr>
            <w:r>
              <w:rPr>
                <w:rFonts w:hint="eastAsia" w:ascii="宋体" w:hAnsi="宋体" w:cs="宋体"/>
                <w:b/>
                <w:bCs/>
                <w:szCs w:val="21"/>
                <w:highlight w:val="none"/>
              </w:rPr>
              <w:t>签约单位</w:t>
            </w:r>
          </w:p>
        </w:tc>
        <w:tc>
          <w:tcPr>
            <w:tcW w:w="1437" w:type="dxa"/>
            <w:vAlign w:val="center"/>
          </w:tcPr>
          <w:p>
            <w:pPr>
              <w:spacing w:line="360" w:lineRule="auto"/>
              <w:jc w:val="center"/>
              <w:rPr>
                <w:rFonts w:ascii="宋体" w:hAnsi="宋体" w:cs="宋体"/>
                <w:b/>
                <w:bCs/>
                <w:szCs w:val="21"/>
                <w:highlight w:val="none"/>
              </w:rPr>
            </w:pPr>
            <w:r>
              <w:rPr>
                <w:rFonts w:hint="eastAsia" w:ascii="宋体" w:hAnsi="宋体" w:cs="宋体"/>
                <w:b/>
                <w:bCs/>
                <w:szCs w:val="21"/>
                <w:highlight w:val="none"/>
              </w:rPr>
              <w:t>时间（合同签订起止）</w:t>
            </w:r>
          </w:p>
        </w:tc>
        <w:tc>
          <w:tcPr>
            <w:tcW w:w="1265" w:type="dxa"/>
            <w:vAlign w:val="center"/>
          </w:tcPr>
          <w:p>
            <w:pPr>
              <w:spacing w:line="360" w:lineRule="auto"/>
              <w:jc w:val="center"/>
              <w:rPr>
                <w:rFonts w:ascii="宋体" w:hAnsi="宋体" w:cs="宋体"/>
                <w:b/>
                <w:bCs/>
                <w:szCs w:val="21"/>
                <w:highlight w:val="none"/>
              </w:rPr>
            </w:pPr>
            <w:r>
              <w:rPr>
                <w:rFonts w:hint="eastAsia" w:ascii="宋体" w:hAnsi="宋体" w:cs="宋体"/>
                <w:b/>
                <w:bCs/>
                <w:szCs w:val="21"/>
                <w:highlight w:val="none"/>
              </w:rPr>
              <w:t>签约单位联系人</w:t>
            </w:r>
          </w:p>
        </w:tc>
        <w:tc>
          <w:tcPr>
            <w:tcW w:w="1479" w:type="dxa"/>
            <w:vAlign w:val="center"/>
          </w:tcPr>
          <w:p>
            <w:pPr>
              <w:spacing w:line="360" w:lineRule="auto"/>
              <w:jc w:val="center"/>
              <w:rPr>
                <w:rFonts w:ascii="宋体" w:hAnsi="宋体" w:cs="宋体"/>
                <w:b/>
                <w:bCs/>
                <w:szCs w:val="21"/>
                <w:highlight w:val="none"/>
              </w:rPr>
            </w:pPr>
            <w:r>
              <w:rPr>
                <w:rFonts w:hint="eastAsia" w:ascii="宋体" w:hAnsi="宋体" w:cs="宋体"/>
                <w:b/>
                <w:bCs/>
                <w:szCs w:val="21"/>
                <w:highlight w:val="none"/>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szCs w:val="21"/>
                <w:highlight w:val="none"/>
              </w:rPr>
            </w:pPr>
          </w:p>
        </w:tc>
        <w:tc>
          <w:tcPr>
            <w:tcW w:w="1934" w:type="dxa"/>
          </w:tcPr>
          <w:p>
            <w:pPr>
              <w:spacing w:line="360" w:lineRule="auto"/>
              <w:rPr>
                <w:rFonts w:ascii="宋体" w:hAnsi="宋体" w:cs="宋体"/>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265" w:type="dxa"/>
          </w:tcPr>
          <w:p>
            <w:pPr>
              <w:spacing w:line="360" w:lineRule="auto"/>
              <w:rPr>
                <w:rFonts w:ascii="宋体" w:hAnsi="宋体" w:cs="宋体"/>
                <w:b/>
                <w:bCs/>
                <w:szCs w:val="21"/>
                <w:highlight w:val="none"/>
              </w:rPr>
            </w:pPr>
          </w:p>
        </w:tc>
        <w:tc>
          <w:tcPr>
            <w:tcW w:w="1479" w:type="dxa"/>
          </w:tcPr>
          <w:p>
            <w:pPr>
              <w:spacing w:line="360" w:lineRule="auto"/>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szCs w:val="21"/>
                <w:highlight w:val="none"/>
              </w:rPr>
            </w:pPr>
          </w:p>
        </w:tc>
        <w:tc>
          <w:tcPr>
            <w:tcW w:w="1934" w:type="dxa"/>
          </w:tcPr>
          <w:p>
            <w:pPr>
              <w:spacing w:line="360" w:lineRule="auto"/>
              <w:rPr>
                <w:rFonts w:ascii="宋体" w:hAnsi="宋体" w:cs="宋体"/>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265" w:type="dxa"/>
          </w:tcPr>
          <w:p>
            <w:pPr>
              <w:spacing w:line="360" w:lineRule="auto"/>
              <w:rPr>
                <w:rFonts w:ascii="宋体" w:hAnsi="宋体" w:cs="宋体"/>
                <w:b/>
                <w:bCs/>
                <w:szCs w:val="21"/>
                <w:highlight w:val="none"/>
              </w:rPr>
            </w:pPr>
          </w:p>
        </w:tc>
        <w:tc>
          <w:tcPr>
            <w:tcW w:w="1479" w:type="dxa"/>
          </w:tcPr>
          <w:p>
            <w:pPr>
              <w:spacing w:line="360" w:lineRule="auto"/>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0" w:type="dxa"/>
          </w:tcPr>
          <w:p>
            <w:pPr>
              <w:spacing w:line="360" w:lineRule="auto"/>
              <w:rPr>
                <w:rFonts w:ascii="宋体" w:hAnsi="宋体" w:cs="宋体"/>
                <w:szCs w:val="21"/>
                <w:highlight w:val="none"/>
              </w:rPr>
            </w:pPr>
          </w:p>
        </w:tc>
        <w:tc>
          <w:tcPr>
            <w:tcW w:w="1934" w:type="dxa"/>
          </w:tcPr>
          <w:p>
            <w:pPr>
              <w:spacing w:line="360" w:lineRule="auto"/>
              <w:rPr>
                <w:rFonts w:ascii="宋体" w:hAnsi="宋体" w:cs="宋体"/>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265" w:type="dxa"/>
          </w:tcPr>
          <w:p>
            <w:pPr>
              <w:spacing w:line="360" w:lineRule="auto"/>
              <w:rPr>
                <w:rFonts w:ascii="宋体" w:hAnsi="宋体" w:cs="宋体"/>
                <w:b/>
                <w:bCs/>
                <w:szCs w:val="21"/>
                <w:highlight w:val="none"/>
              </w:rPr>
            </w:pPr>
          </w:p>
        </w:tc>
        <w:tc>
          <w:tcPr>
            <w:tcW w:w="1479" w:type="dxa"/>
          </w:tcPr>
          <w:p>
            <w:pPr>
              <w:spacing w:line="360" w:lineRule="auto"/>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szCs w:val="21"/>
                <w:highlight w:val="none"/>
              </w:rPr>
            </w:pPr>
          </w:p>
        </w:tc>
        <w:tc>
          <w:tcPr>
            <w:tcW w:w="1934" w:type="dxa"/>
          </w:tcPr>
          <w:p>
            <w:pPr>
              <w:spacing w:line="360" w:lineRule="auto"/>
              <w:rPr>
                <w:rFonts w:ascii="宋体" w:hAnsi="宋体" w:cs="宋体"/>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265" w:type="dxa"/>
          </w:tcPr>
          <w:p>
            <w:pPr>
              <w:spacing w:line="360" w:lineRule="auto"/>
              <w:rPr>
                <w:rFonts w:ascii="宋体" w:hAnsi="宋体" w:cs="宋体"/>
                <w:b/>
                <w:bCs/>
                <w:szCs w:val="21"/>
                <w:highlight w:val="none"/>
              </w:rPr>
            </w:pPr>
          </w:p>
        </w:tc>
        <w:tc>
          <w:tcPr>
            <w:tcW w:w="1479" w:type="dxa"/>
          </w:tcPr>
          <w:p>
            <w:pPr>
              <w:spacing w:line="360" w:lineRule="auto"/>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szCs w:val="21"/>
                <w:highlight w:val="none"/>
              </w:rPr>
            </w:pPr>
          </w:p>
        </w:tc>
        <w:tc>
          <w:tcPr>
            <w:tcW w:w="1934" w:type="dxa"/>
          </w:tcPr>
          <w:p>
            <w:pPr>
              <w:spacing w:line="360" w:lineRule="auto"/>
              <w:rPr>
                <w:rFonts w:ascii="宋体" w:hAnsi="宋体" w:cs="宋体"/>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265" w:type="dxa"/>
          </w:tcPr>
          <w:p>
            <w:pPr>
              <w:spacing w:line="360" w:lineRule="auto"/>
              <w:rPr>
                <w:rFonts w:ascii="宋体" w:hAnsi="宋体" w:cs="宋体"/>
                <w:b/>
                <w:bCs/>
                <w:szCs w:val="21"/>
                <w:highlight w:val="none"/>
              </w:rPr>
            </w:pPr>
          </w:p>
        </w:tc>
        <w:tc>
          <w:tcPr>
            <w:tcW w:w="1479" w:type="dxa"/>
          </w:tcPr>
          <w:p>
            <w:pPr>
              <w:spacing w:line="360" w:lineRule="auto"/>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szCs w:val="21"/>
                <w:highlight w:val="none"/>
              </w:rPr>
            </w:pPr>
          </w:p>
        </w:tc>
        <w:tc>
          <w:tcPr>
            <w:tcW w:w="1934" w:type="dxa"/>
          </w:tcPr>
          <w:p>
            <w:pPr>
              <w:spacing w:line="360" w:lineRule="auto"/>
              <w:rPr>
                <w:rFonts w:ascii="宋体" w:hAnsi="宋体" w:cs="宋体"/>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265" w:type="dxa"/>
          </w:tcPr>
          <w:p>
            <w:pPr>
              <w:spacing w:line="360" w:lineRule="auto"/>
              <w:rPr>
                <w:rFonts w:ascii="宋体" w:hAnsi="宋体" w:cs="宋体"/>
                <w:b/>
                <w:bCs/>
                <w:szCs w:val="21"/>
                <w:highlight w:val="none"/>
              </w:rPr>
            </w:pPr>
          </w:p>
        </w:tc>
        <w:tc>
          <w:tcPr>
            <w:tcW w:w="1479" w:type="dxa"/>
          </w:tcPr>
          <w:p>
            <w:pPr>
              <w:spacing w:line="360" w:lineRule="auto"/>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0" w:type="dxa"/>
          </w:tcPr>
          <w:p>
            <w:pPr>
              <w:spacing w:line="360" w:lineRule="auto"/>
              <w:rPr>
                <w:rFonts w:ascii="宋体" w:hAnsi="宋体" w:cs="宋体"/>
                <w:b/>
                <w:bCs/>
                <w:szCs w:val="21"/>
                <w:highlight w:val="none"/>
              </w:rPr>
            </w:pPr>
          </w:p>
        </w:tc>
        <w:tc>
          <w:tcPr>
            <w:tcW w:w="1934"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265" w:type="dxa"/>
          </w:tcPr>
          <w:p>
            <w:pPr>
              <w:spacing w:line="360" w:lineRule="auto"/>
              <w:rPr>
                <w:rFonts w:ascii="宋体" w:hAnsi="宋体" w:cs="宋体"/>
                <w:b/>
                <w:bCs/>
                <w:szCs w:val="21"/>
                <w:highlight w:val="none"/>
              </w:rPr>
            </w:pPr>
          </w:p>
        </w:tc>
        <w:tc>
          <w:tcPr>
            <w:tcW w:w="1479" w:type="dxa"/>
          </w:tcPr>
          <w:p>
            <w:pPr>
              <w:spacing w:line="360" w:lineRule="auto"/>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Cs w:val="21"/>
                <w:highlight w:val="none"/>
              </w:rPr>
            </w:pPr>
          </w:p>
        </w:tc>
        <w:tc>
          <w:tcPr>
            <w:tcW w:w="1934"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265" w:type="dxa"/>
          </w:tcPr>
          <w:p>
            <w:pPr>
              <w:spacing w:line="360" w:lineRule="auto"/>
              <w:rPr>
                <w:rFonts w:ascii="宋体" w:hAnsi="宋体" w:cs="宋体"/>
                <w:b/>
                <w:bCs/>
                <w:szCs w:val="21"/>
                <w:highlight w:val="none"/>
              </w:rPr>
            </w:pPr>
          </w:p>
        </w:tc>
        <w:tc>
          <w:tcPr>
            <w:tcW w:w="1479" w:type="dxa"/>
          </w:tcPr>
          <w:p>
            <w:pPr>
              <w:spacing w:line="360" w:lineRule="auto"/>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Cs w:val="21"/>
                <w:highlight w:val="none"/>
              </w:rPr>
            </w:pPr>
          </w:p>
        </w:tc>
        <w:tc>
          <w:tcPr>
            <w:tcW w:w="1934"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265" w:type="dxa"/>
          </w:tcPr>
          <w:p>
            <w:pPr>
              <w:spacing w:line="360" w:lineRule="auto"/>
              <w:rPr>
                <w:rFonts w:ascii="宋体" w:hAnsi="宋体" w:cs="宋体"/>
                <w:b/>
                <w:bCs/>
                <w:szCs w:val="21"/>
                <w:highlight w:val="none"/>
              </w:rPr>
            </w:pPr>
          </w:p>
        </w:tc>
        <w:tc>
          <w:tcPr>
            <w:tcW w:w="1479" w:type="dxa"/>
          </w:tcPr>
          <w:p>
            <w:pPr>
              <w:spacing w:line="360" w:lineRule="auto"/>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Cs w:val="21"/>
                <w:highlight w:val="none"/>
              </w:rPr>
            </w:pPr>
          </w:p>
        </w:tc>
        <w:tc>
          <w:tcPr>
            <w:tcW w:w="1934"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265" w:type="dxa"/>
          </w:tcPr>
          <w:p>
            <w:pPr>
              <w:spacing w:line="360" w:lineRule="auto"/>
              <w:rPr>
                <w:rFonts w:ascii="宋体" w:hAnsi="宋体" w:cs="宋体"/>
                <w:b/>
                <w:bCs/>
                <w:szCs w:val="21"/>
                <w:highlight w:val="none"/>
              </w:rPr>
            </w:pPr>
          </w:p>
        </w:tc>
        <w:tc>
          <w:tcPr>
            <w:tcW w:w="1479" w:type="dxa"/>
          </w:tcPr>
          <w:p>
            <w:pPr>
              <w:spacing w:line="360" w:lineRule="auto"/>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0" w:type="dxa"/>
          </w:tcPr>
          <w:p>
            <w:pPr>
              <w:spacing w:line="360" w:lineRule="auto"/>
              <w:rPr>
                <w:rFonts w:ascii="宋体" w:hAnsi="宋体" w:cs="宋体"/>
                <w:b/>
                <w:bCs/>
                <w:szCs w:val="21"/>
                <w:highlight w:val="none"/>
              </w:rPr>
            </w:pPr>
          </w:p>
        </w:tc>
        <w:tc>
          <w:tcPr>
            <w:tcW w:w="1934"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265" w:type="dxa"/>
          </w:tcPr>
          <w:p>
            <w:pPr>
              <w:spacing w:line="360" w:lineRule="auto"/>
              <w:rPr>
                <w:rFonts w:ascii="宋体" w:hAnsi="宋体" w:cs="宋体"/>
                <w:b/>
                <w:bCs/>
                <w:szCs w:val="21"/>
                <w:highlight w:val="none"/>
              </w:rPr>
            </w:pPr>
          </w:p>
        </w:tc>
        <w:tc>
          <w:tcPr>
            <w:tcW w:w="1479" w:type="dxa"/>
          </w:tcPr>
          <w:p>
            <w:pPr>
              <w:spacing w:line="360" w:lineRule="auto"/>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Cs w:val="21"/>
                <w:highlight w:val="none"/>
              </w:rPr>
            </w:pPr>
          </w:p>
        </w:tc>
        <w:tc>
          <w:tcPr>
            <w:tcW w:w="1934"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265" w:type="dxa"/>
          </w:tcPr>
          <w:p>
            <w:pPr>
              <w:spacing w:line="360" w:lineRule="auto"/>
              <w:rPr>
                <w:rFonts w:ascii="宋体" w:hAnsi="宋体" w:cs="宋体"/>
                <w:b/>
                <w:bCs/>
                <w:szCs w:val="21"/>
                <w:highlight w:val="none"/>
              </w:rPr>
            </w:pPr>
          </w:p>
        </w:tc>
        <w:tc>
          <w:tcPr>
            <w:tcW w:w="1479" w:type="dxa"/>
          </w:tcPr>
          <w:p>
            <w:pPr>
              <w:spacing w:line="360" w:lineRule="auto"/>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Cs w:val="21"/>
                <w:highlight w:val="none"/>
              </w:rPr>
            </w:pPr>
          </w:p>
        </w:tc>
        <w:tc>
          <w:tcPr>
            <w:tcW w:w="1934"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265" w:type="dxa"/>
          </w:tcPr>
          <w:p>
            <w:pPr>
              <w:spacing w:line="360" w:lineRule="auto"/>
              <w:rPr>
                <w:rFonts w:ascii="宋体" w:hAnsi="宋体" w:cs="宋体"/>
                <w:b/>
                <w:bCs/>
                <w:szCs w:val="21"/>
                <w:highlight w:val="none"/>
              </w:rPr>
            </w:pPr>
          </w:p>
        </w:tc>
        <w:tc>
          <w:tcPr>
            <w:tcW w:w="1479" w:type="dxa"/>
          </w:tcPr>
          <w:p>
            <w:pPr>
              <w:spacing w:line="360" w:lineRule="auto"/>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0" w:type="dxa"/>
          </w:tcPr>
          <w:p>
            <w:pPr>
              <w:spacing w:line="360" w:lineRule="auto"/>
              <w:rPr>
                <w:rFonts w:ascii="宋体" w:hAnsi="宋体" w:cs="宋体"/>
                <w:b/>
                <w:bCs/>
                <w:szCs w:val="21"/>
                <w:highlight w:val="none"/>
              </w:rPr>
            </w:pPr>
          </w:p>
        </w:tc>
        <w:tc>
          <w:tcPr>
            <w:tcW w:w="1934"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265" w:type="dxa"/>
          </w:tcPr>
          <w:p>
            <w:pPr>
              <w:spacing w:line="360" w:lineRule="auto"/>
              <w:rPr>
                <w:rFonts w:ascii="宋体" w:hAnsi="宋体" w:cs="宋体"/>
                <w:b/>
                <w:bCs/>
                <w:szCs w:val="21"/>
                <w:highlight w:val="none"/>
              </w:rPr>
            </w:pPr>
          </w:p>
        </w:tc>
        <w:tc>
          <w:tcPr>
            <w:tcW w:w="1479" w:type="dxa"/>
          </w:tcPr>
          <w:p>
            <w:pPr>
              <w:spacing w:line="360" w:lineRule="auto"/>
              <w:rPr>
                <w:rFonts w:ascii="宋体" w:hAnsi="宋体" w:cs="宋体"/>
                <w:b/>
                <w:bCs/>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0" w:type="dxa"/>
          </w:tcPr>
          <w:p>
            <w:pPr>
              <w:spacing w:line="360" w:lineRule="auto"/>
              <w:rPr>
                <w:rFonts w:ascii="宋体" w:hAnsi="宋体" w:cs="宋体"/>
                <w:b/>
                <w:bCs/>
                <w:szCs w:val="21"/>
                <w:highlight w:val="none"/>
              </w:rPr>
            </w:pPr>
          </w:p>
        </w:tc>
        <w:tc>
          <w:tcPr>
            <w:tcW w:w="1934"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437" w:type="dxa"/>
          </w:tcPr>
          <w:p>
            <w:pPr>
              <w:spacing w:line="360" w:lineRule="auto"/>
              <w:rPr>
                <w:rFonts w:ascii="宋体" w:hAnsi="宋体" w:cs="宋体"/>
                <w:b/>
                <w:bCs/>
                <w:szCs w:val="21"/>
                <w:highlight w:val="none"/>
              </w:rPr>
            </w:pPr>
          </w:p>
        </w:tc>
        <w:tc>
          <w:tcPr>
            <w:tcW w:w="1265" w:type="dxa"/>
          </w:tcPr>
          <w:p>
            <w:pPr>
              <w:spacing w:line="360" w:lineRule="auto"/>
              <w:rPr>
                <w:rFonts w:ascii="宋体" w:hAnsi="宋体" w:cs="宋体"/>
                <w:b/>
                <w:bCs/>
                <w:szCs w:val="21"/>
                <w:highlight w:val="none"/>
              </w:rPr>
            </w:pPr>
          </w:p>
        </w:tc>
        <w:tc>
          <w:tcPr>
            <w:tcW w:w="1479" w:type="dxa"/>
          </w:tcPr>
          <w:p>
            <w:pPr>
              <w:spacing w:line="360" w:lineRule="auto"/>
              <w:rPr>
                <w:rFonts w:ascii="宋体" w:hAnsi="宋体" w:cs="宋体"/>
                <w:b/>
                <w:bCs/>
                <w:szCs w:val="21"/>
                <w:highlight w:val="none"/>
              </w:rPr>
            </w:pPr>
          </w:p>
        </w:tc>
      </w:tr>
    </w:tbl>
    <w:p>
      <w:pPr>
        <w:spacing w:line="480" w:lineRule="auto"/>
        <w:ind w:right="-20"/>
        <w:jc w:val="left"/>
        <w:rPr>
          <w:rFonts w:ascii="宋体" w:hAnsi="宋体" w:cs="宋体"/>
          <w:b/>
          <w:bCs/>
          <w:szCs w:val="21"/>
          <w:highlight w:val="none"/>
        </w:rPr>
      </w:pPr>
      <w:r>
        <w:rPr>
          <w:rFonts w:hint="eastAsia" w:ascii="宋体" w:hAnsi="宋体" w:cs="宋体"/>
          <w:b/>
          <w:bCs/>
          <w:szCs w:val="21"/>
          <w:highlight w:val="none"/>
        </w:rPr>
        <w:t>注</w:t>
      </w:r>
      <w:r>
        <w:rPr>
          <w:rFonts w:hint="eastAsia" w:ascii="宋体" w:hAnsi="宋体" w:cs="宋体"/>
          <w:b/>
          <w:bCs/>
          <w:spacing w:val="2"/>
          <w:szCs w:val="21"/>
          <w:highlight w:val="none"/>
        </w:rPr>
        <w:t>：</w:t>
      </w:r>
      <w:r>
        <w:rPr>
          <w:rFonts w:hint="eastAsia" w:ascii="宋体" w:hAnsi="宋体" w:cs="宋体"/>
          <w:b/>
          <w:bCs/>
          <w:szCs w:val="21"/>
          <w:highlight w:val="none"/>
        </w:rPr>
        <w:t>须</w:t>
      </w:r>
      <w:r>
        <w:rPr>
          <w:rFonts w:hint="eastAsia" w:ascii="宋体" w:hAnsi="宋体" w:cs="宋体"/>
          <w:b/>
          <w:bCs/>
          <w:spacing w:val="2"/>
          <w:szCs w:val="21"/>
          <w:highlight w:val="none"/>
        </w:rPr>
        <w:t>附</w:t>
      </w:r>
      <w:r>
        <w:rPr>
          <w:rFonts w:hint="eastAsia" w:ascii="宋体" w:hAnsi="宋体" w:cs="宋体"/>
          <w:b/>
          <w:bCs/>
          <w:szCs w:val="21"/>
          <w:highlight w:val="none"/>
        </w:rPr>
        <w:t>相关</w:t>
      </w:r>
      <w:r>
        <w:rPr>
          <w:rFonts w:hint="eastAsia" w:ascii="宋体" w:hAnsi="宋体" w:cs="宋体"/>
          <w:b/>
          <w:bCs/>
          <w:spacing w:val="2"/>
          <w:szCs w:val="21"/>
          <w:highlight w:val="none"/>
        </w:rPr>
        <w:t>中</w:t>
      </w:r>
      <w:r>
        <w:rPr>
          <w:rFonts w:hint="eastAsia" w:ascii="宋体" w:hAnsi="宋体" w:cs="宋体"/>
          <w:b/>
          <w:bCs/>
          <w:szCs w:val="21"/>
          <w:highlight w:val="none"/>
        </w:rPr>
        <w:t>标</w:t>
      </w:r>
      <w:r>
        <w:rPr>
          <w:rFonts w:hint="eastAsia" w:ascii="宋体" w:hAnsi="宋体" w:cs="宋体"/>
          <w:b/>
          <w:bCs/>
          <w:spacing w:val="2"/>
          <w:szCs w:val="21"/>
          <w:highlight w:val="none"/>
        </w:rPr>
        <w:t>合</w:t>
      </w:r>
      <w:r>
        <w:rPr>
          <w:rFonts w:hint="eastAsia" w:ascii="宋体" w:hAnsi="宋体" w:cs="宋体"/>
          <w:b/>
          <w:bCs/>
          <w:szCs w:val="21"/>
          <w:highlight w:val="none"/>
        </w:rPr>
        <w:t>同或</w:t>
      </w:r>
      <w:r>
        <w:rPr>
          <w:rFonts w:hint="eastAsia" w:ascii="宋体" w:hAnsi="宋体" w:cs="宋体"/>
          <w:b/>
          <w:bCs/>
          <w:spacing w:val="2"/>
          <w:szCs w:val="21"/>
          <w:highlight w:val="none"/>
        </w:rPr>
        <w:t>协</w:t>
      </w:r>
      <w:r>
        <w:rPr>
          <w:rFonts w:hint="eastAsia" w:ascii="宋体" w:hAnsi="宋体" w:cs="宋体"/>
          <w:b/>
          <w:bCs/>
          <w:szCs w:val="21"/>
          <w:highlight w:val="none"/>
        </w:rPr>
        <w:t>议书</w:t>
      </w:r>
      <w:r>
        <w:rPr>
          <w:rFonts w:hint="eastAsia" w:ascii="宋体" w:hAnsi="宋体" w:cs="宋体"/>
          <w:b/>
          <w:bCs/>
          <w:spacing w:val="2"/>
          <w:szCs w:val="21"/>
          <w:highlight w:val="none"/>
        </w:rPr>
        <w:t>原件扫描</w:t>
      </w:r>
      <w:r>
        <w:rPr>
          <w:rFonts w:hint="eastAsia" w:ascii="宋体" w:hAnsi="宋体" w:cs="宋体"/>
          <w:b/>
          <w:bCs/>
          <w:szCs w:val="21"/>
          <w:highlight w:val="none"/>
        </w:rPr>
        <w:t>件；</w:t>
      </w:r>
    </w:p>
    <w:p>
      <w:pPr>
        <w:adjustRightInd w:val="0"/>
        <w:snapToGrid w:val="0"/>
        <w:spacing w:line="500" w:lineRule="exact"/>
        <w:ind w:firstLine="211" w:firstLineChars="100"/>
        <w:jc w:val="left"/>
        <w:rPr>
          <w:rFonts w:ascii="宋体" w:hAnsi="宋体" w:cs="宋体"/>
          <w:b/>
          <w:szCs w:val="21"/>
          <w:highlight w:val="none"/>
        </w:rPr>
      </w:pPr>
      <w:r>
        <w:rPr>
          <w:rFonts w:hint="eastAsia" w:ascii="宋体" w:hAnsi="宋体" w:cs="宋体"/>
          <w:b/>
          <w:szCs w:val="21"/>
          <w:highlight w:val="none"/>
        </w:rPr>
        <w:t>①须附</w:t>
      </w:r>
      <w:r>
        <w:rPr>
          <w:rFonts w:hint="eastAsia" w:ascii="宋体" w:hAnsi="宋体" w:cs="宋体"/>
          <w:b/>
          <w:szCs w:val="21"/>
          <w:highlight w:val="none"/>
          <w:lang w:val="zh-CN"/>
        </w:rPr>
        <w:t>合同原件扫描件</w:t>
      </w:r>
      <w:r>
        <w:rPr>
          <w:rFonts w:hint="eastAsia" w:ascii="宋体" w:hAnsi="宋体" w:cs="宋体"/>
          <w:b/>
          <w:szCs w:val="21"/>
          <w:highlight w:val="none"/>
        </w:rPr>
        <w:t>。</w:t>
      </w:r>
    </w:p>
    <w:p>
      <w:pPr>
        <w:adjustRightInd w:val="0"/>
        <w:snapToGrid w:val="0"/>
        <w:spacing w:line="500" w:lineRule="exact"/>
        <w:ind w:firstLine="211" w:firstLineChars="100"/>
        <w:jc w:val="left"/>
        <w:rPr>
          <w:rFonts w:ascii="宋体" w:hAnsi="宋体" w:cs="宋体"/>
          <w:b/>
          <w:szCs w:val="21"/>
          <w:highlight w:val="none"/>
        </w:rPr>
      </w:pPr>
      <w:r>
        <w:rPr>
          <w:rFonts w:hint="eastAsia" w:ascii="宋体" w:hAnsi="宋体" w:cs="宋体"/>
          <w:b/>
          <w:szCs w:val="21"/>
          <w:highlight w:val="none"/>
        </w:rPr>
        <w:t xml:space="preserve">②报价文件业绩一览表中需提供真实的合同甲方联系人及电话。严禁弄虚作假，一经发现，按无效投标处理。 </w:t>
      </w:r>
    </w:p>
    <w:p>
      <w:pPr>
        <w:adjustRightInd w:val="0"/>
        <w:snapToGrid w:val="0"/>
        <w:spacing w:line="500" w:lineRule="exact"/>
        <w:ind w:firstLine="211" w:firstLineChars="100"/>
        <w:jc w:val="left"/>
        <w:rPr>
          <w:rFonts w:ascii="宋体" w:hAnsi="宋体" w:cs="宋体"/>
          <w:b/>
          <w:szCs w:val="21"/>
          <w:highlight w:val="none"/>
        </w:rPr>
      </w:pPr>
      <w:r>
        <w:rPr>
          <w:rFonts w:hint="eastAsia" w:ascii="宋体" w:hAnsi="宋体" w:cs="宋体"/>
          <w:b/>
          <w:szCs w:val="21"/>
          <w:highlight w:val="none"/>
        </w:rPr>
        <w:t>③类似业绩是指供应商已经完成的与本次采购要求相同或者类同的货物，并且签订合同一方必须是供应商。</w:t>
      </w:r>
    </w:p>
    <w:p>
      <w:pPr>
        <w:adjustRightInd w:val="0"/>
        <w:snapToGrid w:val="0"/>
        <w:spacing w:line="500" w:lineRule="exact"/>
        <w:ind w:firstLine="211" w:firstLineChars="100"/>
        <w:jc w:val="left"/>
        <w:rPr>
          <w:rFonts w:ascii="宋体" w:hAnsi="宋体" w:cs="宋体"/>
          <w:b/>
          <w:szCs w:val="21"/>
          <w:highlight w:val="none"/>
        </w:rPr>
      </w:pPr>
      <w:r>
        <w:rPr>
          <w:rFonts w:hint="eastAsia" w:ascii="宋体" w:hAnsi="宋体" w:cs="宋体"/>
          <w:b/>
          <w:szCs w:val="21"/>
          <w:highlight w:val="none"/>
        </w:rPr>
        <w:t>④此表列数不够，可续表。</w:t>
      </w:r>
    </w:p>
    <w:p>
      <w:pPr>
        <w:adjustRightInd w:val="0"/>
        <w:snapToGrid w:val="0"/>
        <w:spacing w:line="500" w:lineRule="exact"/>
        <w:jc w:val="left"/>
        <w:rPr>
          <w:rFonts w:ascii="宋体" w:hAnsi="宋体" w:cs="宋体"/>
          <w:b/>
          <w:szCs w:val="21"/>
          <w:highlight w:val="none"/>
        </w:rPr>
      </w:pPr>
      <w:r>
        <w:rPr>
          <w:rFonts w:hint="eastAsia" w:ascii="宋体" w:hAnsi="宋体" w:cs="宋体"/>
          <w:b/>
          <w:szCs w:val="21"/>
          <w:highlight w:val="none"/>
        </w:rPr>
        <w:t xml:space="preserve">  注：</w:t>
      </w:r>
      <w:r>
        <w:rPr>
          <w:rFonts w:hint="eastAsia" w:ascii="宋体" w:hAnsi="宋体" w:cs="宋体"/>
          <w:b/>
          <w:szCs w:val="21"/>
          <w:highlight w:val="none"/>
          <w:lang w:val="zh-CN"/>
        </w:rPr>
        <w:t>须附相应</w:t>
      </w:r>
      <w:r>
        <w:rPr>
          <w:rFonts w:hint="eastAsia" w:ascii="宋体" w:hAnsi="宋体" w:cs="宋体"/>
          <w:b/>
          <w:szCs w:val="21"/>
          <w:highlight w:val="none"/>
        </w:rPr>
        <w:t>证书</w:t>
      </w:r>
      <w:r>
        <w:rPr>
          <w:rFonts w:hint="eastAsia" w:ascii="宋体" w:hAnsi="宋体" w:cs="宋体"/>
          <w:b/>
          <w:szCs w:val="21"/>
          <w:highlight w:val="none"/>
          <w:lang w:val="zh-CN"/>
        </w:rPr>
        <w:t>的原件扫描件。</w:t>
      </w:r>
    </w:p>
    <w:p>
      <w:pPr>
        <w:pStyle w:val="8"/>
        <w:spacing w:line="560" w:lineRule="exact"/>
        <w:rPr>
          <w:rFonts w:hAnsi="宋体"/>
          <w:highlight w:val="none"/>
        </w:rPr>
      </w:pPr>
    </w:p>
    <w:p>
      <w:pPr>
        <w:pStyle w:val="8"/>
        <w:spacing w:line="560" w:lineRule="exact"/>
        <w:rPr>
          <w:rFonts w:hAnsi="宋体"/>
          <w:highlight w:val="none"/>
        </w:rPr>
      </w:pPr>
    </w:p>
    <w:p>
      <w:pPr>
        <w:pStyle w:val="5"/>
        <w:spacing w:line="560" w:lineRule="exact"/>
        <w:rPr>
          <w:rFonts w:hAnsi="宋体"/>
          <w:highlight w:val="none"/>
          <w:u w:val="none"/>
        </w:rPr>
      </w:pPr>
      <w:bookmarkStart w:id="449" w:name="_Toc24489"/>
      <w:bookmarkStart w:id="450" w:name="_Toc32612"/>
      <w:bookmarkStart w:id="451" w:name="_Toc18788"/>
      <w:r>
        <w:rPr>
          <w:rFonts w:hint="eastAsia" w:hAnsi="宋体"/>
          <w:highlight w:val="none"/>
          <w:u w:val="none"/>
        </w:rPr>
        <w:t>12.</w:t>
      </w:r>
      <w:bookmarkEnd w:id="449"/>
      <w:bookmarkEnd w:id="450"/>
      <w:bookmarkEnd w:id="451"/>
      <w:r>
        <w:rPr>
          <w:rFonts w:hint="eastAsia" w:hAnsi="宋体"/>
          <w:highlight w:val="none"/>
          <w:u w:val="none"/>
        </w:rPr>
        <w:t>相关检测报告及认证证书</w:t>
      </w:r>
    </w:p>
    <w:p>
      <w:pPr>
        <w:autoSpaceDE w:val="0"/>
        <w:autoSpaceDN w:val="0"/>
        <w:adjustRightInd w:val="0"/>
        <w:spacing w:line="560" w:lineRule="exact"/>
        <w:ind w:firstLine="480" w:firstLineChars="200"/>
        <w:jc w:val="left"/>
        <w:rPr>
          <w:rFonts w:ascii="宋体" w:hAnsi="宋体"/>
          <w:kern w:val="0"/>
          <w:sz w:val="24"/>
          <w:szCs w:val="20"/>
          <w:highlight w:val="none"/>
        </w:rPr>
      </w:pPr>
    </w:p>
    <w:p>
      <w:pPr>
        <w:pStyle w:val="5"/>
        <w:spacing w:line="560" w:lineRule="exact"/>
        <w:rPr>
          <w:rFonts w:hAnsi="宋体"/>
          <w:highlight w:val="none"/>
          <w:u w:val="none"/>
        </w:rPr>
      </w:pPr>
      <w:bookmarkStart w:id="452" w:name="_Toc45562528"/>
      <w:bookmarkStart w:id="453" w:name="_Toc16106"/>
      <w:bookmarkStart w:id="454" w:name="_Toc46136876"/>
      <w:bookmarkStart w:id="455" w:name="_Toc28388"/>
      <w:bookmarkStart w:id="456" w:name="_Toc9559"/>
      <w:r>
        <w:rPr>
          <w:rFonts w:hint="eastAsia" w:hAnsi="宋体"/>
          <w:highlight w:val="none"/>
          <w:u w:val="none"/>
        </w:rPr>
        <w:t>13.</w:t>
      </w:r>
      <w:bookmarkEnd w:id="452"/>
      <w:bookmarkEnd w:id="453"/>
      <w:bookmarkEnd w:id="454"/>
      <w:bookmarkEnd w:id="455"/>
      <w:bookmarkEnd w:id="456"/>
      <w:r>
        <w:rPr>
          <w:rFonts w:hint="eastAsia" w:hAnsi="宋体"/>
          <w:highlight w:val="none"/>
          <w:u w:val="none"/>
        </w:rPr>
        <w:t>质量保证措施、质保期限及售后服务承诺</w:t>
      </w:r>
    </w:p>
    <w:p>
      <w:pPr>
        <w:spacing w:line="560" w:lineRule="exact"/>
        <w:rPr>
          <w:rFonts w:ascii="宋体" w:hAnsi="宋体"/>
          <w:b/>
          <w:kern w:val="0"/>
          <w:sz w:val="24"/>
          <w:szCs w:val="20"/>
          <w:highlight w:val="none"/>
        </w:rPr>
      </w:pPr>
      <w:r>
        <w:rPr>
          <w:rFonts w:hint="eastAsia" w:ascii="宋体" w:hAnsi="宋体"/>
          <w:b/>
          <w:kern w:val="0"/>
          <w:sz w:val="24"/>
          <w:szCs w:val="20"/>
          <w:highlight w:val="none"/>
        </w:rPr>
        <w:t>14.质保及维修人员配备及明细表</w:t>
      </w:r>
    </w:p>
    <w:p>
      <w:pPr>
        <w:spacing w:line="560" w:lineRule="exact"/>
        <w:rPr>
          <w:rFonts w:ascii="宋体" w:hAnsi="宋体"/>
          <w:b/>
          <w:kern w:val="0"/>
          <w:sz w:val="24"/>
          <w:szCs w:val="20"/>
          <w:highlight w:val="none"/>
        </w:rPr>
      </w:pPr>
    </w:p>
    <w:p>
      <w:pPr>
        <w:numPr>
          <w:ilvl w:val="0"/>
          <w:numId w:val="4"/>
        </w:numPr>
        <w:spacing w:line="560" w:lineRule="exact"/>
        <w:rPr>
          <w:rFonts w:ascii="宋体" w:hAnsi="宋体"/>
          <w:b/>
          <w:kern w:val="0"/>
          <w:sz w:val="24"/>
          <w:szCs w:val="20"/>
          <w:highlight w:val="none"/>
        </w:rPr>
      </w:pPr>
      <w:r>
        <w:rPr>
          <w:rFonts w:hint="eastAsia" w:ascii="宋体" w:hAnsi="宋体"/>
          <w:b/>
          <w:kern w:val="0"/>
          <w:sz w:val="24"/>
          <w:szCs w:val="20"/>
          <w:highlight w:val="none"/>
        </w:rPr>
        <w:t>技术评审文件</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（1）详细技术资料（包括品牌型号、外观质量、制造工艺、结构、技术参数、技术指标、性能指标、优势特点、质量水平、制造标准等的详细描述）；</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 xml:space="preserve">（2）供货设计、加工、安装方案； </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 xml:space="preserve">（3）人员配置、质量保障、产品运输、验收等主要技术保障措施； </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 xml:space="preserve">（4）质量保证措施； </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 xml:space="preserve">（5）产品的技术服务和售后服务承诺内容及措施(包括：质保期、上门服务响应时间、故障排除时限、维护力量安排、完工时间、维修承诺等)； </w:t>
      </w:r>
    </w:p>
    <w:p>
      <w:pPr>
        <w:spacing w:line="560" w:lineRule="exact"/>
        <w:ind w:firstLine="480" w:firstLineChars="200"/>
        <w:jc w:val="left"/>
        <w:rPr>
          <w:rFonts w:ascii="宋体" w:hAnsi="宋体" w:cs="宋体"/>
          <w:bCs/>
          <w:sz w:val="24"/>
          <w:highlight w:val="none"/>
        </w:rPr>
      </w:pPr>
      <w:r>
        <w:rPr>
          <w:rFonts w:hint="eastAsia" w:ascii="宋体" w:hAnsi="宋体" w:cs="宋体"/>
          <w:bCs/>
          <w:sz w:val="24"/>
          <w:highlight w:val="none"/>
        </w:rPr>
        <w:t>(6)供应商认为应该提交的其他资料。</w:t>
      </w:r>
    </w:p>
    <w:p>
      <w:pPr>
        <w:rPr>
          <w:rFonts w:ascii="宋体" w:hAnsi="宋体" w:cs="宋体"/>
          <w:sz w:val="24"/>
          <w:highlight w:val="none"/>
        </w:rPr>
      </w:pPr>
    </w:p>
    <w:p>
      <w:pPr>
        <w:pStyle w:val="2"/>
        <w:ind w:firstLine="480"/>
        <w:rPr>
          <w:rFonts w:ascii="宋体" w:hAnsi="宋体" w:cs="宋体"/>
          <w:sz w:val="24"/>
          <w:highlight w:val="none"/>
        </w:rPr>
      </w:pPr>
    </w:p>
    <w:p>
      <w:pPr>
        <w:rPr>
          <w:rFonts w:ascii="宋体" w:hAnsi="宋体" w:cs="宋体"/>
          <w:sz w:val="24"/>
          <w:highlight w:val="none"/>
        </w:rPr>
      </w:pPr>
    </w:p>
    <w:p>
      <w:pPr>
        <w:pStyle w:val="2"/>
        <w:ind w:firstLine="480"/>
        <w:rPr>
          <w:rFonts w:ascii="宋体" w:hAnsi="宋体" w:cs="宋体"/>
          <w:sz w:val="24"/>
          <w:highlight w:val="none"/>
        </w:rPr>
      </w:pPr>
    </w:p>
    <w:p>
      <w:pPr>
        <w:rPr>
          <w:rFonts w:ascii="宋体" w:hAnsi="宋体" w:cs="宋体"/>
          <w:sz w:val="24"/>
          <w:highlight w:val="none"/>
        </w:rPr>
      </w:pPr>
    </w:p>
    <w:p>
      <w:pPr>
        <w:pStyle w:val="2"/>
        <w:ind w:firstLine="480"/>
        <w:rPr>
          <w:rFonts w:ascii="宋体" w:hAnsi="宋体" w:cs="宋体"/>
          <w:sz w:val="24"/>
          <w:highlight w:val="none"/>
        </w:rPr>
      </w:pPr>
    </w:p>
    <w:p>
      <w:pPr>
        <w:rPr>
          <w:rFonts w:ascii="宋体" w:hAnsi="宋体" w:cs="宋体"/>
          <w:sz w:val="24"/>
          <w:highlight w:val="none"/>
        </w:rPr>
      </w:pPr>
    </w:p>
    <w:p>
      <w:pPr>
        <w:pStyle w:val="2"/>
        <w:ind w:firstLine="480"/>
        <w:rPr>
          <w:rFonts w:ascii="宋体" w:hAnsi="宋体" w:cs="宋体"/>
          <w:sz w:val="24"/>
          <w:highlight w:val="none"/>
        </w:rPr>
      </w:pPr>
    </w:p>
    <w:p>
      <w:pPr>
        <w:rPr>
          <w:rFonts w:ascii="宋体" w:hAnsi="宋体" w:cs="宋体"/>
          <w:sz w:val="24"/>
          <w:highlight w:val="none"/>
        </w:rPr>
      </w:pPr>
    </w:p>
    <w:p>
      <w:pPr>
        <w:pStyle w:val="2"/>
        <w:ind w:firstLine="480"/>
        <w:rPr>
          <w:rFonts w:ascii="宋体" w:hAnsi="宋体" w:cs="宋体"/>
          <w:sz w:val="24"/>
          <w:highlight w:val="none"/>
        </w:rPr>
      </w:pPr>
    </w:p>
    <w:p>
      <w:pPr>
        <w:rPr>
          <w:rFonts w:ascii="宋体" w:hAnsi="宋体" w:cs="宋体"/>
          <w:sz w:val="24"/>
          <w:highlight w:val="none"/>
        </w:rPr>
      </w:pPr>
    </w:p>
    <w:p>
      <w:pPr>
        <w:pStyle w:val="2"/>
        <w:ind w:firstLine="480"/>
        <w:rPr>
          <w:rFonts w:ascii="宋体" w:hAnsi="宋体" w:cs="宋体"/>
          <w:sz w:val="24"/>
          <w:highlight w:val="none"/>
        </w:rPr>
      </w:pPr>
    </w:p>
    <w:p>
      <w:pPr>
        <w:rPr>
          <w:highlight w:val="none"/>
        </w:rPr>
      </w:pPr>
    </w:p>
    <w:p>
      <w:pPr>
        <w:rPr>
          <w:rFonts w:ascii="宋体" w:hAnsi="宋体" w:cs="宋体"/>
          <w:sz w:val="24"/>
          <w:highlight w:val="none"/>
        </w:rPr>
      </w:pPr>
    </w:p>
    <w:p>
      <w:pPr>
        <w:pStyle w:val="2"/>
        <w:ind w:firstLine="480"/>
        <w:rPr>
          <w:rFonts w:ascii="宋体" w:hAnsi="宋体" w:cs="宋体"/>
          <w:sz w:val="24"/>
          <w:highlight w:val="none"/>
        </w:rPr>
      </w:pPr>
    </w:p>
    <w:p>
      <w:pPr>
        <w:rPr>
          <w:highlight w:val="none"/>
        </w:rPr>
      </w:pPr>
    </w:p>
    <w:bookmarkEnd w:id="421"/>
    <w:bookmarkEnd w:id="422"/>
    <w:bookmarkEnd w:id="423"/>
    <w:p>
      <w:pPr>
        <w:pStyle w:val="3"/>
        <w:tabs>
          <w:tab w:val="left" w:pos="0"/>
        </w:tabs>
        <w:spacing w:before="0" w:after="0" w:line="560" w:lineRule="exact"/>
        <w:rPr>
          <w:rFonts w:hAnsi="宋体"/>
          <w:highlight w:val="none"/>
        </w:rPr>
      </w:pPr>
      <w:bookmarkStart w:id="457" w:name="_Toc17426"/>
      <w:bookmarkStart w:id="458" w:name="_Toc16979"/>
      <w:bookmarkStart w:id="459" w:name="_Toc31576"/>
      <w:r>
        <w:rPr>
          <w:rFonts w:hint="eastAsia" w:hAnsi="宋体"/>
          <w:highlight w:val="none"/>
        </w:rPr>
        <w:t>第六章 政府采购合同</w:t>
      </w:r>
      <w:bookmarkEnd w:id="457"/>
      <w:r>
        <w:rPr>
          <w:rFonts w:hint="eastAsia" w:hAnsi="宋体"/>
          <w:highlight w:val="none"/>
        </w:rPr>
        <w:t>格式</w:t>
      </w:r>
      <w:bookmarkEnd w:id="458"/>
      <w:bookmarkEnd w:id="459"/>
    </w:p>
    <w:p>
      <w:pPr>
        <w:pStyle w:val="21"/>
        <w:spacing w:line="480" w:lineRule="exact"/>
        <w:ind w:firstLine="420" w:firstLineChars="200"/>
        <w:rPr>
          <w:bCs/>
          <w:szCs w:val="21"/>
          <w:highlight w:val="none"/>
        </w:rPr>
      </w:pPr>
      <w:bookmarkStart w:id="460" w:name="_Toc355615310"/>
      <w:r>
        <w:rPr>
          <w:rFonts w:hint="eastAsia"/>
          <w:szCs w:val="21"/>
          <w:highlight w:val="none"/>
        </w:rPr>
        <w:t>根据《中华人民共和国政府采购法》、《中华人民共和国民法典》、《中华人民共和国政府采购法实施条例》等法律、法规的规定，为明确甲乙双方责任、权利和义务，经甲、乙双方充分协商，特订立本合同，以资共同遵守。</w:t>
      </w:r>
    </w:p>
    <w:p>
      <w:pPr>
        <w:pStyle w:val="21"/>
        <w:spacing w:line="480" w:lineRule="exact"/>
        <w:ind w:firstLine="422" w:firstLineChars="200"/>
        <w:rPr>
          <w:b/>
          <w:bCs/>
          <w:szCs w:val="21"/>
          <w:highlight w:val="none"/>
        </w:rPr>
      </w:pPr>
      <w:r>
        <w:rPr>
          <w:rFonts w:hint="eastAsia"/>
          <w:b/>
          <w:bCs/>
          <w:szCs w:val="21"/>
          <w:highlight w:val="none"/>
        </w:rPr>
        <w:t>1、本合同由合同文本和下列文件组成：</w:t>
      </w:r>
    </w:p>
    <w:p>
      <w:pPr>
        <w:pStyle w:val="21"/>
        <w:spacing w:line="480" w:lineRule="exact"/>
        <w:ind w:firstLine="420" w:firstLineChars="200"/>
        <w:rPr>
          <w:szCs w:val="21"/>
          <w:highlight w:val="none"/>
        </w:rPr>
      </w:pPr>
      <w:r>
        <w:rPr>
          <w:rFonts w:hint="eastAsia"/>
          <w:szCs w:val="21"/>
          <w:highlight w:val="none"/>
        </w:rPr>
        <w:t>A．成交通知书</w:t>
      </w:r>
    </w:p>
    <w:p>
      <w:pPr>
        <w:pStyle w:val="21"/>
        <w:spacing w:line="480" w:lineRule="exact"/>
        <w:ind w:firstLine="420" w:firstLineChars="200"/>
        <w:rPr>
          <w:szCs w:val="21"/>
          <w:highlight w:val="none"/>
        </w:rPr>
      </w:pPr>
      <w:r>
        <w:rPr>
          <w:rFonts w:hint="eastAsia"/>
          <w:szCs w:val="21"/>
          <w:highlight w:val="none"/>
        </w:rPr>
        <w:t>B．报价文件                   （见报价文件）</w:t>
      </w:r>
    </w:p>
    <w:p>
      <w:pPr>
        <w:pStyle w:val="21"/>
        <w:spacing w:line="480" w:lineRule="exact"/>
        <w:ind w:firstLine="420" w:firstLineChars="200"/>
        <w:rPr>
          <w:szCs w:val="21"/>
          <w:highlight w:val="none"/>
        </w:rPr>
      </w:pPr>
      <w:r>
        <w:rPr>
          <w:rFonts w:hint="eastAsia"/>
          <w:szCs w:val="21"/>
          <w:highlight w:val="none"/>
        </w:rPr>
        <w:t>C．报价价格表                 （见报价文件）</w:t>
      </w:r>
    </w:p>
    <w:p>
      <w:pPr>
        <w:pStyle w:val="21"/>
        <w:spacing w:line="480" w:lineRule="exact"/>
        <w:ind w:firstLine="420" w:firstLineChars="200"/>
        <w:rPr>
          <w:szCs w:val="21"/>
          <w:highlight w:val="none"/>
        </w:rPr>
      </w:pPr>
      <w:r>
        <w:rPr>
          <w:rFonts w:hint="eastAsia"/>
          <w:szCs w:val="21"/>
          <w:highlight w:val="none"/>
        </w:rPr>
        <w:t>D．项目内容及要求         （见谈判文件第三部分）</w:t>
      </w:r>
    </w:p>
    <w:p>
      <w:pPr>
        <w:pStyle w:val="21"/>
        <w:spacing w:line="480" w:lineRule="exact"/>
        <w:ind w:firstLine="420" w:firstLineChars="200"/>
        <w:rPr>
          <w:szCs w:val="21"/>
          <w:highlight w:val="none"/>
        </w:rPr>
      </w:pPr>
      <w:r>
        <w:rPr>
          <w:rFonts w:hint="eastAsia"/>
          <w:szCs w:val="21"/>
          <w:highlight w:val="none"/>
        </w:rPr>
        <w:t>E.</w:t>
      </w:r>
      <w:r>
        <w:rPr>
          <w:szCs w:val="21"/>
          <w:highlight w:val="none"/>
        </w:rPr>
        <w:t xml:space="preserve"> </w:t>
      </w:r>
      <w:r>
        <w:rPr>
          <w:rFonts w:hint="eastAsia"/>
          <w:szCs w:val="21"/>
          <w:highlight w:val="none"/>
        </w:rPr>
        <w:t>合同执行期间经监督部门审核同意的双方达成的书面补充协议</w:t>
      </w:r>
    </w:p>
    <w:p>
      <w:pPr>
        <w:pStyle w:val="21"/>
        <w:spacing w:line="480" w:lineRule="exact"/>
        <w:ind w:firstLine="422" w:firstLineChars="200"/>
        <w:rPr>
          <w:b/>
          <w:bCs/>
          <w:szCs w:val="21"/>
          <w:highlight w:val="none"/>
        </w:rPr>
      </w:pPr>
      <w:r>
        <w:rPr>
          <w:rFonts w:hint="eastAsia"/>
          <w:b/>
          <w:bCs/>
          <w:szCs w:val="21"/>
          <w:highlight w:val="none"/>
        </w:rPr>
        <w:t>2、合同范围</w:t>
      </w:r>
    </w:p>
    <w:p>
      <w:pPr>
        <w:pStyle w:val="21"/>
        <w:spacing w:line="480" w:lineRule="exact"/>
        <w:ind w:firstLine="420" w:firstLineChars="200"/>
        <w:rPr>
          <w:szCs w:val="21"/>
          <w:highlight w:val="none"/>
        </w:rPr>
      </w:pPr>
      <w:r>
        <w:rPr>
          <w:rFonts w:hint="eastAsia"/>
          <w:szCs w:val="21"/>
          <w:highlight w:val="none"/>
        </w:rPr>
        <w:t>本合同的范围和条件与上述合同文件中规定内容一致。</w:t>
      </w:r>
    </w:p>
    <w:bookmarkEnd w:id="460"/>
    <w:p>
      <w:pPr>
        <w:pStyle w:val="21"/>
        <w:spacing w:line="460" w:lineRule="exact"/>
        <w:ind w:firstLine="422" w:firstLineChars="200"/>
        <w:rPr>
          <w:b/>
          <w:szCs w:val="21"/>
          <w:highlight w:val="none"/>
        </w:rPr>
      </w:pPr>
      <w:r>
        <w:rPr>
          <w:rFonts w:hint="eastAsia"/>
          <w:b/>
          <w:szCs w:val="21"/>
          <w:highlight w:val="none"/>
        </w:rPr>
        <w:t>3</w:t>
      </w:r>
      <w:r>
        <w:rPr>
          <w:b/>
          <w:szCs w:val="21"/>
          <w:highlight w:val="none"/>
        </w:rPr>
        <w:t>、</w:t>
      </w:r>
      <w:r>
        <w:rPr>
          <w:rFonts w:hint="eastAsia"/>
          <w:b/>
          <w:szCs w:val="21"/>
          <w:highlight w:val="none"/>
        </w:rPr>
        <w:t>技术</w:t>
      </w:r>
      <w:r>
        <w:rPr>
          <w:b/>
          <w:szCs w:val="21"/>
          <w:highlight w:val="none"/>
        </w:rPr>
        <w:t>服务质量承诺</w:t>
      </w:r>
    </w:p>
    <w:p>
      <w:pPr>
        <w:pStyle w:val="21"/>
        <w:spacing w:line="460" w:lineRule="exact"/>
        <w:ind w:firstLine="420" w:firstLineChars="200"/>
        <w:rPr>
          <w:rFonts w:cs="宋体"/>
          <w:szCs w:val="21"/>
          <w:highlight w:val="none"/>
        </w:rPr>
      </w:pPr>
      <w:r>
        <w:rPr>
          <w:rFonts w:hint="eastAsia" w:cs="宋体"/>
          <w:szCs w:val="21"/>
          <w:highlight w:val="none"/>
        </w:rPr>
        <w:t>3.1本合同要求提供的质量见谈判文件技术要求及乙方报价文件中所做的质量保证等。</w:t>
      </w:r>
    </w:p>
    <w:p>
      <w:pPr>
        <w:pStyle w:val="21"/>
        <w:spacing w:line="460" w:lineRule="exact"/>
        <w:ind w:firstLine="420" w:firstLineChars="200"/>
        <w:rPr>
          <w:bCs/>
          <w:szCs w:val="21"/>
          <w:highlight w:val="none"/>
        </w:rPr>
      </w:pPr>
      <w:r>
        <w:rPr>
          <w:rFonts w:hint="eastAsia" w:cs="宋体"/>
          <w:szCs w:val="21"/>
          <w:highlight w:val="none"/>
        </w:rPr>
        <w:t>3.2采购内容及承诺详见谈判文件相关要求及乙方报价文件中提供的服务内容和承诺。</w:t>
      </w:r>
    </w:p>
    <w:p>
      <w:pPr>
        <w:pStyle w:val="21"/>
        <w:spacing w:line="460" w:lineRule="exact"/>
        <w:ind w:firstLine="413" w:firstLineChars="196"/>
        <w:rPr>
          <w:b/>
          <w:bCs/>
          <w:szCs w:val="21"/>
          <w:highlight w:val="none"/>
        </w:rPr>
      </w:pPr>
      <w:r>
        <w:rPr>
          <w:rFonts w:hint="eastAsia"/>
          <w:b/>
          <w:bCs/>
          <w:szCs w:val="21"/>
          <w:highlight w:val="none"/>
        </w:rPr>
        <w:t>4</w:t>
      </w:r>
      <w:r>
        <w:rPr>
          <w:b/>
          <w:bCs/>
          <w:szCs w:val="21"/>
          <w:highlight w:val="none"/>
        </w:rPr>
        <w:t>、合同价款</w:t>
      </w:r>
    </w:p>
    <w:p>
      <w:pPr>
        <w:pStyle w:val="22"/>
        <w:adjustRightInd w:val="0"/>
        <w:snapToGrid w:val="0"/>
        <w:spacing w:before="0" w:beforeAutospacing="0" w:after="0" w:afterAutospacing="0" w:line="460" w:lineRule="exact"/>
        <w:ind w:firstLine="420" w:firstLineChars="200"/>
        <w:jc w:val="both"/>
        <w:rPr>
          <w:sz w:val="21"/>
          <w:szCs w:val="21"/>
          <w:highlight w:val="none"/>
        </w:rPr>
      </w:pPr>
      <w:r>
        <w:rPr>
          <w:kern w:val="2"/>
          <w:sz w:val="21"/>
          <w:szCs w:val="21"/>
          <w:highlight w:val="none"/>
        </w:rPr>
        <w:t>本合同总价为人民</w:t>
      </w:r>
      <w:r>
        <w:rPr>
          <w:sz w:val="21"/>
          <w:szCs w:val="21"/>
          <w:highlight w:val="none"/>
        </w:rPr>
        <w:t>币大写：           元 ；小写(￥)：         元。</w:t>
      </w:r>
    </w:p>
    <w:p>
      <w:pPr>
        <w:pStyle w:val="21"/>
        <w:spacing w:line="460" w:lineRule="exact"/>
        <w:ind w:firstLine="422" w:firstLineChars="200"/>
        <w:rPr>
          <w:rFonts w:cs="宋体"/>
          <w:b/>
          <w:szCs w:val="21"/>
          <w:highlight w:val="none"/>
        </w:rPr>
      </w:pPr>
      <w:r>
        <w:rPr>
          <w:rFonts w:hint="eastAsia" w:cs="宋体"/>
          <w:b/>
          <w:szCs w:val="21"/>
          <w:highlight w:val="none"/>
        </w:rPr>
        <w:t>5、验收</w:t>
      </w:r>
    </w:p>
    <w:p>
      <w:pPr>
        <w:pStyle w:val="21"/>
        <w:spacing w:line="460" w:lineRule="exact"/>
        <w:ind w:firstLine="420" w:firstLineChars="200"/>
        <w:rPr>
          <w:rFonts w:cs="宋体"/>
          <w:szCs w:val="21"/>
          <w:highlight w:val="none"/>
        </w:rPr>
      </w:pPr>
      <w:r>
        <w:rPr>
          <w:rFonts w:hint="eastAsia" w:cs="宋体"/>
          <w:szCs w:val="21"/>
          <w:highlight w:val="none"/>
        </w:rPr>
        <w:t>验收符合国家相关验收规范要求。</w:t>
      </w:r>
    </w:p>
    <w:p>
      <w:pPr>
        <w:pStyle w:val="21"/>
        <w:spacing w:line="460" w:lineRule="exact"/>
        <w:ind w:firstLine="420" w:firstLineChars="200"/>
        <w:rPr>
          <w:rFonts w:cs="宋体"/>
          <w:szCs w:val="21"/>
          <w:highlight w:val="none"/>
        </w:rPr>
      </w:pPr>
      <w:r>
        <w:rPr>
          <w:rFonts w:hint="eastAsia" w:cs="宋体"/>
          <w:szCs w:val="21"/>
          <w:highlight w:val="none"/>
        </w:rPr>
        <w:t>乙方交货7日内，甲方必须组织对其完成情况进行验收，并签署验收意见；如发现质量不符合要求，甲方有权拒收。</w:t>
      </w:r>
    </w:p>
    <w:p>
      <w:pPr>
        <w:pStyle w:val="21"/>
        <w:spacing w:line="460" w:lineRule="exact"/>
        <w:ind w:firstLine="422" w:firstLineChars="200"/>
        <w:rPr>
          <w:rFonts w:cs="宋体"/>
          <w:b/>
          <w:bCs/>
          <w:szCs w:val="21"/>
          <w:highlight w:val="none"/>
        </w:rPr>
      </w:pPr>
      <w:r>
        <w:rPr>
          <w:rFonts w:hint="eastAsia" w:cs="宋体"/>
          <w:b/>
          <w:bCs/>
          <w:szCs w:val="21"/>
          <w:highlight w:val="none"/>
        </w:rPr>
        <w:t>6、付款方式</w:t>
      </w:r>
    </w:p>
    <w:p>
      <w:pPr>
        <w:spacing w:line="560" w:lineRule="exact"/>
        <w:ind w:firstLine="422" w:firstLineChars="200"/>
        <w:rPr>
          <w:rFonts w:ascii="宋体" w:hAnsi="宋体"/>
          <w:b/>
          <w:szCs w:val="21"/>
          <w:highlight w:val="none"/>
        </w:rPr>
      </w:pPr>
      <w:r>
        <w:rPr>
          <w:rFonts w:hint="eastAsia" w:ascii="宋体" w:hAnsi="宋体"/>
          <w:b/>
          <w:szCs w:val="21"/>
          <w:highlight w:val="none"/>
        </w:rPr>
        <w:t>付款方式：合同签订并供货完毕，支付不超过合同金额30%的货款；经验收合格后，付至结算金额的30％一70%，剩余资金按财政资金计划支付。资金支付自2023年起执行。</w:t>
      </w:r>
    </w:p>
    <w:p>
      <w:pPr>
        <w:spacing w:line="480" w:lineRule="exact"/>
        <w:ind w:left="105" w:leftChars="50" w:right="105" w:rightChars="50" w:firstLine="420" w:firstLineChars="200"/>
        <w:rPr>
          <w:rFonts w:ascii="宋体" w:hAnsi="宋体" w:cs="仿宋"/>
          <w:b/>
          <w:szCs w:val="21"/>
          <w:highlight w:val="none"/>
          <w:lang w:val="zh-CN"/>
        </w:rPr>
      </w:pPr>
      <w:r>
        <w:rPr>
          <w:rFonts w:hint="eastAsia" w:ascii="宋体" w:hAnsi="宋体" w:cs="宋体"/>
          <w:szCs w:val="21"/>
          <w:highlight w:val="none"/>
        </w:rPr>
        <w:t>本合同为固定单价合同，根据实际供货、安装的产品数量据实结算。</w:t>
      </w:r>
    </w:p>
    <w:p>
      <w:pPr>
        <w:pStyle w:val="21"/>
        <w:spacing w:line="460" w:lineRule="exact"/>
        <w:ind w:firstLine="422" w:firstLineChars="200"/>
        <w:rPr>
          <w:rFonts w:cs="宋体"/>
          <w:b/>
          <w:bCs/>
          <w:szCs w:val="21"/>
          <w:highlight w:val="none"/>
        </w:rPr>
      </w:pPr>
      <w:r>
        <w:rPr>
          <w:rFonts w:hint="eastAsia" w:cs="宋体"/>
          <w:b/>
          <w:bCs/>
          <w:szCs w:val="21"/>
          <w:highlight w:val="none"/>
        </w:rPr>
        <w:t>7、项目地点、服务期限</w:t>
      </w:r>
    </w:p>
    <w:p>
      <w:pPr>
        <w:pStyle w:val="21"/>
        <w:spacing w:line="460" w:lineRule="exact"/>
        <w:ind w:firstLine="420" w:firstLineChars="200"/>
        <w:rPr>
          <w:rFonts w:cs="宋体"/>
          <w:szCs w:val="21"/>
          <w:highlight w:val="none"/>
        </w:rPr>
      </w:pPr>
      <w:r>
        <w:rPr>
          <w:rFonts w:hint="eastAsia" w:cs="宋体"/>
          <w:szCs w:val="21"/>
          <w:highlight w:val="none"/>
        </w:rPr>
        <w:t>地点：甲方指定地点。</w:t>
      </w:r>
    </w:p>
    <w:p>
      <w:pPr>
        <w:spacing w:line="460" w:lineRule="exact"/>
        <w:ind w:firstLine="420" w:firstLineChars="200"/>
        <w:rPr>
          <w:rFonts w:ascii="宋体" w:hAnsi="宋体" w:cs="宋体"/>
          <w:szCs w:val="21"/>
          <w:highlight w:val="none"/>
        </w:rPr>
      </w:pPr>
      <w:r>
        <w:rPr>
          <w:rFonts w:ascii="宋体" w:hAnsi="宋体" w:cs="宋体"/>
          <w:szCs w:val="21"/>
          <w:highlight w:val="none"/>
        </w:rPr>
        <w:t>供货期限：</w:t>
      </w:r>
      <w:r>
        <w:rPr>
          <w:rFonts w:hint="eastAsia" w:ascii="宋体" w:hAnsi="宋体"/>
          <w:szCs w:val="21"/>
          <w:highlight w:val="none"/>
          <w:u w:val="single"/>
        </w:rPr>
        <w:t xml:space="preserve">               </w:t>
      </w:r>
      <w:r>
        <w:rPr>
          <w:rFonts w:hint="eastAsia" w:ascii="宋体" w:hAnsi="宋体"/>
          <w:szCs w:val="21"/>
          <w:highlight w:val="none"/>
        </w:rPr>
        <w:t xml:space="preserve">  </w:t>
      </w:r>
    </w:p>
    <w:p>
      <w:pPr>
        <w:pStyle w:val="21"/>
        <w:spacing w:line="460" w:lineRule="exact"/>
        <w:ind w:firstLine="422" w:firstLineChars="200"/>
        <w:rPr>
          <w:rFonts w:cs="宋体"/>
          <w:b/>
          <w:szCs w:val="21"/>
          <w:highlight w:val="none"/>
        </w:rPr>
      </w:pPr>
      <w:r>
        <w:rPr>
          <w:rFonts w:hint="eastAsia" w:cs="宋体"/>
          <w:b/>
          <w:szCs w:val="21"/>
          <w:highlight w:val="none"/>
        </w:rPr>
        <w:t>8、违约责任</w:t>
      </w:r>
    </w:p>
    <w:p>
      <w:pPr>
        <w:pStyle w:val="21"/>
        <w:spacing w:line="460" w:lineRule="exact"/>
        <w:ind w:firstLine="420" w:firstLineChars="200"/>
        <w:rPr>
          <w:rFonts w:cs="宋体"/>
          <w:bCs/>
          <w:szCs w:val="21"/>
          <w:highlight w:val="none"/>
        </w:rPr>
      </w:pPr>
      <w:r>
        <w:rPr>
          <w:rFonts w:hint="eastAsia" w:cs="宋体"/>
          <w:bCs/>
          <w:szCs w:val="21"/>
          <w:highlight w:val="none"/>
        </w:rPr>
        <w:t xml:space="preserve"> 合同生效后，如甲方违约，则甲方按合同价款的日万分之五向乙方支付违约金；如乙方违约（包括不履行本合同义务或者履行义务不符合约定等），甲方有权终止合同或要求乙方继续履行，甲方终止合同的，剩余合同款不再支付，并由乙方赔偿甲方本次和再次采购所发生的所有费用及由此给甲方造成一切损失；甲方要求乙方继续履行合同的，甲方有权要求乙方返工，直至达到合同要求为止，因此发生的所有费用由乙方承担，造成成果交付时间延误的，每迟延一日，乙方应按合同价款的日万分之五向甲方支付违约金。</w:t>
      </w:r>
    </w:p>
    <w:p>
      <w:pPr>
        <w:pStyle w:val="21"/>
        <w:widowControl/>
        <w:numPr>
          <w:ilvl w:val="0"/>
          <w:numId w:val="5"/>
        </w:numPr>
        <w:spacing w:line="460" w:lineRule="exact"/>
        <w:ind w:firstLine="422" w:firstLineChars="200"/>
        <w:jc w:val="left"/>
        <w:rPr>
          <w:rFonts w:cs="宋体"/>
          <w:b/>
          <w:szCs w:val="21"/>
          <w:highlight w:val="none"/>
        </w:rPr>
      </w:pPr>
      <w:r>
        <w:rPr>
          <w:rFonts w:hint="eastAsia" w:cs="宋体"/>
          <w:b/>
          <w:szCs w:val="21"/>
          <w:highlight w:val="none"/>
        </w:rPr>
        <w:t>合同的变更、终止出现下列情形，可变更、终止本合同的履行</w:t>
      </w:r>
    </w:p>
    <w:p>
      <w:pPr>
        <w:pStyle w:val="21"/>
        <w:spacing w:line="480" w:lineRule="exact"/>
        <w:ind w:firstLine="420" w:firstLineChars="200"/>
        <w:rPr>
          <w:szCs w:val="21"/>
          <w:highlight w:val="none"/>
        </w:rPr>
      </w:pPr>
      <w:r>
        <w:rPr>
          <w:rFonts w:hint="eastAsia"/>
          <w:szCs w:val="21"/>
          <w:highlight w:val="none"/>
        </w:rPr>
        <w:t>9.1本合同期限届满，另行招投标事宜。</w:t>
      </w:r>
    </w:p>
    <w:p>
      <w:pPr>
        <w:pStyle w:val="21"/>
        <w:spacing w:line="480" w:lineRule="exact"/>
        <w:ind w:firstLine="420" w:firstLineChars="200"/>
        <w:rPr>
          <w:szCs w:val="21"/>
          <w:highlight w:val="none"/>
        </w:rPr>
      </w:pPr>
      <w:r>
        <w:rPr>
          <w:rFonts w:hint="eastAsia"/>
          <w:szCs w:val="21"/>
          <w:highlight w:val="none"/>
        </w:rPr>
        <w:t>9.2经甲、乙双方协商一致另行签订补充协议。</w:t>
      </w:r>
    </w:p>
    <w:p>
      <w:pPr>
        <w:pStyle w:val="21"/>
        <w:spacing w:line="480" w:lineRule="exact"/>
        <w:ind w:firstLine="420" w:firstLineChars="200"/>
        <w:rPr>
          <w:szCs w:val="21"/>
          <w:highlight w:val="none"/>
        </w:rPr>
      </w:pPr>
      <w:r>
        <w:rPr>
          <w:rFonts w:hint="eastAsia"/>
          <w:szCs w:val="21"/>
          <w:highlight w:val="none"/>
        </w:rPr>
        <w:t>9.3因乙方提供服务不符合合同约定或者因乙方原因导致本合同内容实际无法履行，甲方可变更、终止本合同的履行。</w:t>
      </w:r>
    </w:p>
    <w:p>
      <w:pPr>
        <w:pStyle w:val="21"/>
        <w:spacing w:line="480" w:lineRule="exact"/>
        <w:ind w:firstLine="420" w:firstLineChars="200"/>
        <w:rPr>
          <w:szCs w:val="21"/>
          <w:highlight w:val="none"/>
        </w:rPr>
      </w:pPr>
      <w:r>
        <w:rPr>
          <w:rFonts w:hint="eastAsia"/>
          <w:szCs w:val="21"/>
          <w:highlight w:val="none"/>
        </w:rPr>
        <w:t>9.4因法律、法规、规章、政策的重大调整或者由于维护社会公共利益的需要，甲方有权变更、终止本合同的履行，由此造成对乙方合法权益损害的，甲方予以相应补偿。甲方基于上述事项变更、终止合同的不构成违约，不承担违约责任。</w:t>
      </w:r>
    </w:p>
    <w:p>
      <w:pPr>
        <w:pStyle w:val="21"/>
        <w:spacing w:line="460" w:lineRule="exact"/>
        <w:ind w:firstLine="422" w:firstLineChars="200"/>
        <w:rPr>
          <w:rFonts w:cs="宋体"/>
          <w:b/>
          <w:szCs w:val="21"/>
          <w:highlight w:val="none"/>
        </w:rPr>
      </w:pPr>
      <w:r>
        <w:rPr>
          <w:rFonts w:hint="eastAsia" w:cs="宋体"/>
          <w:b/>
          <w:szCs w:val="21"/>
          <w:highlight w:val="none"/>
        </w:rPr>
        <w:t>10、争议解决</w:t>
      </w:r>
    </w:p>
    <w:p>
      <w:pPr>
        <w:pStyle w:val="21"/>
        <w:spacing w:line="480" w:lineRule="exact"/>
        <w:ind w:firstLine="420" w:firstLineChars="200"/>
        <w:rPr>
          <w:szCs w:val="21"/>
          <w:highlight w:val="none"/>
        </w:rPr>
      </w:pPr>
      <w:r>
        <w:rPr>
          <w:rFonts w:hint="eastAsia"/>
          <w:szCs w:val="21"/>
          <w:highlight w:val="none"/>
        </w:rPr>
        <w:t>10.1本合同在履行过程中发生争议，甲乙双方协商解决，双方均可向项目所在地的人民法院提起诉讼。</w:t>
      </w:r>
    </w:p>
    <w:p>
      <w:pPr>
        <w:pStyle w:val="21"/>
        <w:spacing w:line="480" w:lineRule="exact"/>
        <w:ind w:firstLine="420" w:firstLineChars="200"/>
        <w:rPr>
          <w:szCs w:val="21"/>
          <w:highlight w:val="none"/>
        </w:rPr>
      </w:pPr>
      <w:r>
        <w:rPr>
          <w:rFonts w:hint="eastAsia"/>
          <w:szCs w:val="21"/>
          <w:highlight w:val="none"/>
        </w:rPr>
        <w:t>10.2除有争议部分外，本合同其他部分仍应按合同条款继续履行。</w:t>
      </w:r>
    </w:p>
    <w:p>
      <w:pPr>
        <w:pStyle w:val="21"/>
        <w:spacing w:line="460" w:lineRule="exact"/>
        <w:ind w:firstLine="422" w:firstLineChars="200"/>
        <w:rPr>
          <w:rFonts w:cs="宋体"/>
          <w:b/>
          <w:bCs/>
          <w:szCs w:val="21"/>
          <w:highlight w:val="none"/>
        </w:rPr>
      </w:pPr>
      <w:r>
        <w:rPr>
          <w:rFonts w:hint="eastAsia" w:cs="宋体"/>
          <w:b/>
          <w:bCs/>
          <w:szCs w:val="21"/>
          <w:highlight w:val="none"/>
        </w:rPr>
        <w:t>11、保密责任</w:t>
      </w:r>
    </w:p>
    <w:p>
      <w:pPr>
        <w:pStyle w:val="21"/>
        <w:spacing w:line="480" w:lineRule="exact"/>
        <w:ind w:firstLine="420" w:firstLineChars="200"/>
        <w:rPr>
          <w:szCs w:val="21"/>
          <w:highlight w:val="none"/>
        </w:rPr>
      </w:pPr>
      <w:r>
        <w:rPr>
          <w:szCs w:val="21"/>
          <w:highlight w:val="none"/>
        </w:rPr>
        <w:t>双方均应保护对方的知识产权，未经对方同意，任何一方均不得对对方的资料及文件擅自修改、复制或向第三人转让或用于本合同项目外的项目，对于乙方参与项目实施的人员必须签订甲方同意的信息保密协议。如发生以上情况，泄密方承担一切由此引起的后果并承担赔偿责任。</w:t>
      </w:r>
    </w:p>
    <w:p>
      <w:pPr>
        <w:pStyle w:val="21"/>
        <w:spacing w:line="460" w:lineRule="exact"/>
        <w:ind w:firstLine="422" w:firstLineChars="200"/>
        <w:rPr>
          <w:rFonts w:cs="宋体"/>
          <w:b/>
          <w:bCs/>
          <w:szCs w:val="21"/>
          <w:highlight w:val="none"/>
        </w:rPr>
      </w:pPr>
      <w:r>
        <w:rPr>
          <w:rFonts w:hint="eastAsia" w:cs="宋体"/>
          <w:b/>
          <w:bCs/>
          <w:szCs w:val="21"/>
          <w:highlight w:val="none"/>
        </w:rPr>
        <w:t xml:space="preserve">12、禁止转、分包 </w:t>
      </w:r>
    </w:p>
    <w:p>
      <w:pPr>
        <w:pStyle w:val="21"/>
        <w:spacing w:line="480" w:lineRule="exact"/>
        <w:ind w:firstLine="420" w:firstLineChars="200"/>
        <w:rPr>
          <w:szCs w:val="21"/>
          <w:highlight w:val="none"/>
        </w:rPr>
      </w:pPr>
      <w:r>
        <w:rPr>
          <w:szCs w:val="21"/>
          <w:highlight w:val="none"/>
        </w:rPr>
        <w:t>乙方不得擅自将本合同项下内容进行转包、分包，如乙方擅自进行转包、分包，甲方有权解除合同，由乙方承担甲方因此而遭受的一切损失。</w:t>
      </w:r>
    </w:p>
    <w:p>
      <w:pPr>
        <w:pStyle w:val="21"/>
        <w:spacing w:line="460" w:lineRule="exact"/>
        <w:ind w:firstLine="422" w:firstLineChars="200"/>
        <w:rPr>
          <w:rFonts w:cs="宋体"/>
          <w:b/>
          <w:bCs/>
          <w:szCs w:val="21"/>
          <w:highlight w:val="none"/>
        </w:rPr>
      </w:pPr>
      <w:r>
        <w:rPr>
          <w:rFonts w:hint="eastAsia" w:cs="宋体"/>
          <w:b/>
          <w:bCs/>
          <w:szCs w:val="21"/>
          <w:highlight w:val="none"/>
        </w:rPr>
        <w:t>13、合同的生效</w:t>
      </w:r>
    </w:p>
    <w:p>
      <w:pPr>
        <w:pStyle w:val="21"/>
        <w:spacing w:line="480" w:lineRule="exact"/>
        <w:ind w:firstLine="420" w:firstLineChars="200"/>
        <w:rPr>
          <w:szCs w:val="21"/>
          <w:highlight w:val="none"/>
        </w:rPr>
      </w:pPr>
      <w:r>
        <w:rPr>
          <w:szCs w:val="21"/>
          <w:highlight w:val="none"/>
        </w:rPr>
        <w:t>本合同经双方代表签字盖章后生效，合同执行期内，甲乙双方均不得随意变更或解除合同。</w:t>
      </w:r>
    </w:p>
    <w:p>
      <w:pPr>
        <w:pStyle w:val="21"/>
        <w:spacing w:line="480" w:lineRule="exact"/>
        <w:ind w:firstLine="420" w:firstLineChars="200"/>
        <w:rPr>
          <w:szCs w:val="21"/>
          <w:highlight w:val="none"/>
        </w:rPr>
      </w:pPr>
      <w:r>
        <w:rPr>
          <w:szCs w:val="21"/>
          <w:highlight w:val="none"/>
        </w:rPr>
        <w:t>本合同双方签字盖章即生效，一式六份，甲方执三份，乙方执一份，采购代理机构执一份，政府采购办公室备案一份。</w:t>
      </w:r>
    </w:p>
    <w:p>
      <w:pPr>
        <w:spacing w:line="460" w:lineRule="exact"/>
        <w:ind w:firstLine="420" w:firstLineChars="200"/>
        <w:rPr>
          <w:rFonts w:ascii="宋体" w:hAnsi="宋体" w:cs="宋体"/>
          <w:szCs w:val="21"/>
          <w:highlight w:val="none"/>
        </w:rPr>
      </w:pPr>
    </w:p>
    <w:p>
      <w:pPr>
        <w:spacing w:line="460" w:lineRule="exact"/>
        <w:ind w:firstLine="420" w:firstLineChars="200"/>
        <w:rPr>
          <w:rFonts w:ascii="宋体" w:hAnsi="宋体" w:cs="宋体"/>
          <w:szCs w:val="21"/>
          <w:highlight w:val="none"/>
        </w:rPr>
      </w:pPr>
      <w:r>
        <w:rPr>
          <w:rFonts w:ascii="宋体" w:hAnsi="宋体" w:cs="宋体"/>
          <w:szCs w:val="21"/>
          <w:highlight w:val="none"/>
        </w:rPr>
        <w:t xml:space="preserve">甲      方：（盖章）                乙      方：（盖章）                 </w:t>
      </w:r>
    </w:p>
    <w:p>
      <w:pPr>
        <w:spacing w:line="460" w:lineRule="exact"/>
        <w:ind w:firstLine="420" w:firstLineChars="200"/>
        <w:rPr>
          <w:rFonts w:ascii="宋体" w:hAnsi="宋体" w:cs="宋体"/>
          <w:szCs w:val="21"/>
          <w:highlight w:val="none"/>
        </w:rPr>
      </w:pPr>
      <w:r>
        <w:rPr>
          <w:rFonts w:ascii="宋体" w:hAnsi="宋体" w:cs="宋体"/>
          <w:szCs w:val="21"/>
          <w:highlight w:val="none"/>
        </w:rPr>
        <w:t>法定代表人或                        法定代表人或</w:t>
      </w:r>
    </w:p>
    <w:p>
      <w:pPr>
        <w:spacing w:line="460" w:lineRule="exact"/>
        <w:ind w:firstLine="420" w:firstLineChars="200"/>
        <w:rPr>
          <w:rFonts w:ascii="宋体" w:hAnsi="宋体" w:cs="宋体"/>
          <w:szCs w:val="21"/>
          <w:highlight w:val="none"/>
        </w:rPr>
      </w:pPr>
      <w:r>
        <w:rPr>
          <w:rFonts w:ascii="宋体" w:hAnsi="宋体" w:cs="宋体"/>
          <w:szCs w:val="21"/>
          <w:highlight w:val="none"/>
        </w:rPr>
        <w:t>授权代表人：（签章）                授权代表人：（签章）</w:t>
      </w:r>
    </w:p>
    <w:p>
      <w:pPr>
        <w:spacing w:line="460" w:lineRule="exact"/>
        <w:ind w:firstLine="420" w:firstLineChars="200"/>
        <w:rPr>
          <w:rFonts w:ascii="宋体" w:hAnsi="宋体" w:cs="宋体"/>
          <w:szCs w:val="21"/>
          <w:highlight w:val="none"/>
        </w:rPr>
      </w:pPr>
      <w:r>
        <w:rPr>
          <w:rFonts w:ascii="宋体" w:hAnsi="宋体" w:cs="宋体"/>
          <w:szCs w:val="21"/>
          <w:highlight w:val="none"/>
        </w:rPr>
        <w:t>项目负责人：（签字）</w:t>
      </w:r>
    </w:p>
    <w:p>
      <w:pPr>
        <w:spacing w:line="460" w:lineRule="exact"/>
        <w:ind w:firstLine="420" w:firstLineChars="200"/>
        <w:rPr>
          <w:rFonts w:ascii="宋体" w:hAnsi="宋体" w:cs="宋体"/>
          <w:szCs w:val="21"/>
          <w:highlight w:val="none"/>
        </w:rPr>
      </w:pPr>
      <w:r>
        <w:rPr>
          <w:rFonts w:ascii="宋体" w:hAnsi="宋体" w:cs="宋体"/>
          <w:szCs w:val="21"/>
          <w:highlight w:val="none"/>
        </w:rPr>
        <w:t>地      址：                        地      址：</w:t>
      </w:r>
    </w:p>
    <w:p>
      <w:pPr>
        <w:spacing w:line="460" w:lineRule="exact"/>
        <w:ind w:firstLine="420" w:firstLineChars="200"/>
        <w:rPr>
          <w:highlight w:val="none"/>
        </w:rPr>
      </w:pPr>
      <w:r>
        <w:rPr>
          <w:rFonts w:ascii="宋体" w:hAnsi="宋体" w:cs="宋体"/>
          <w:szCs w:val="21"/>
          <w:highlight w:val="none"/>
        </w:rPr>
        <w:t>电      话：                        电      话</w:t>
      </w:r>
      <w:r>
        <w:rPr>
          <w:rFonts w:hint="eastAsia" w:ascii="宋体" w:hAnsi="宋体" w:cs="宋体"/>
          <w:szCs w:val="21"/>
          <w:highlight w:val="none"/>
        </w:rPr>
        <w:t>：</w:t>
      </w:r>
    </w:p>
    <w:p>
      <w:pPr>
        <w:spacing w:line="560" w:lineRule="exact"/>
        <w:rPr>
          <w:rFonts w:ascii="宋体" w:hAnsi="宋体" w:cs="宋体"/>
          <w:i/>
          <w:iCs/>
          <w:highlight w:val="none"/>
        </w:rPr>
      </w:pPr>
    </w:p>
    <w:sectPr>
      <w:headerReference r:id="rId13" w:type="default"/>
      <w:footerReference r:id="rId14" w:type="default"/>
      <w:pgSz w:w="11906" w:h="16838"/>
      <w:pgMar w:top="1440" w:right="1797"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宋体-简">
    <w:altName w:val="宋体"/>
    <w:panose1 w:val="00000000000000000000"/>
    <w:charset w:val="00"/>
    <w:family w:val="auto"/>
    <w:pitch w:val="default"/>
    <w:sig w:usb0="00000000" w:usb1="00000000" w:usb2="00000000" w:usb3="00000000" w:csb0="00000000"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MingLiU_HKSCS">
    <w:panose1 w:val="02020500000000000000"/>
    <w:charset w:val="88"/>
    <w:family w:val="roman"/>
    <w:pitch w:val="default"/>
    <w:sig w:usb0="A00002FF" w:usb1="3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rPr>
        <w:rFonts w:hint="eastAsia"/>
      </w:rPr>
      <w:t xml:space="preserve">  </w:t>
    </w:r>
  </w:p>
  <w:p>
    <w:pPr>
      <w:pStyle w:val="14"/>
      <w:ind w:right="360"/>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center" w:y="1"/>
      <w:rPr>
        <w:rStyle w:val="26"/>
      </w:rPr>
    </w:pPr>
    <w:r>
      <w:fldChar w:fldCharType="begin"/>
    </w:r>
    <w:r>
      <w:rPr>
        <w:rStyle w:val="26"/>
      </w:rPr>
      <w:instrText xml:space="preserve">PAGE  </w:instrText>
    </w:r>
    <w:r>
      <w:fldChar w:fldCharType="end"/>
    </w:r>
  </w:p>
  <w:p>
    <w:pPr>
      <w:pStyle w:val="1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pacing w:line="14" w:lineRule="auto"/>
      <w:rPr>
        <w:sz w:val="20"/>
      </w:rPr>
    </w:pPr>
    <w:r>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path/>
          <v:fill on="f" focussize="0,0"/>
          <v:stroke on="f" weight="0.5pt" joinstyle="miter"/>
          <v:imagedata o:title=""/>
          <o:lock v:ext="edit"/>
          <v:textbox inset="0mm,0mm,0mm,0mm" style="mso-fit-shape-to-text:t;">
            <w:txbxContent>
              <w:p>
                <w:pPr>
                  <w:pStyle w:val="14"/>
                </w:pPr>
                <w:r>
                  <w:rPr>
                    <w:rFonts w:hint="eastAsia"/>
                  </w:rPr>
                  <w:fldChar w:fldCharType="begin"/>
                </w:r>
                <w:r>
                  <w:rPr>
                    <w:rFonts w:hint="eastAsia"/>
                  </w:rPr>
                  <w:instrText xml:space="preserve"> PAGE  \* MERGEFORMAT </w:instrText>
                </w:r>
                <w:r>
                  <w:rPr>
                    <w:rFonts w:hint="eastAsia"/>
                  </w:rPr>
                  <w:fldChar w:fldCharType="separate"/>
                </w:r>
                <w:r>
                  <w:t>3</w:t>
                </w:r>
                <w:r>
                  <w:rPr>
                    <w:rFonts w:hint="eastAsia"/>
                  </w:rPr>
                  <w:fldChar w:fldCharType="end"/>
                </w:r>
              </w:p>
            </w:txbxContent>
          </v:textbox>
        </v:shape>
      </w:pict>
    </w:r>
    <w:r>
      <w:pict>
        <v:line id="_x0000_s1029" o:spid="_x0000_s1029" o:spt="20" style="position:absolute;left:0pt;margin-left:90pt;margin-top:752.15pt;height:0pt;width:144pt;mso-position-horizontal-relative:page;mso-position-vertical-relative:page;z-index:-251657216;mso-width-relative:page;mso-height-relative:page;" coordsize="21600,21600" o:gfxdata="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oAYuO1gAA&#10;AA0BAAAPAAAAAAAAAAEAIAAAACIAAABkcnMvZG93bnJldi54bWxQSwECFAAUAAAACACHTuJAp0TA&#10;+ucBAADXAwAADgAAAAAAAAABACAAAAAlAQAAZHJzL2Uyb0RvYy54bWxQSwUGAAAAAAYABgBZAQAA&#10;fgUAAAAA&#10;">
          <v:path arrowok="t"/>
          <v:fill focussize="0,0"/>
          <v:stroke weight="0pt"/>
          <v:imagedata o:title=""/>
          <o:lock v:ext="edit"/>
        </v:lin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right="360" w:firstLine="360"/>
      <w:jc w:val="right"/>
    </w:pPr>
    <w:r>
      <w:pict>
        <v:shape id="_x0000_s1028" o:spid="_x0000_s1028"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path/>
          <v:fill on="f" focussize="0,0"/>
          <v:stroke on="f" weight="0.5pt" joinstyle="miter"/>
          <v:imagedata o:title=""/>
          <o:lock v:ext="edit"/>
          <v:textbox inset="0mm,0mm,0mm,0mm" style="mso-fit-shape-to-text:t;">
            <w:txbxContent>
              <w:p>
                <w:pPr>
                  <w:pStyle w:val="14"/>
                </w:pPr>
                <w:r>
                  <w:rPr>
                    <w:rFonts w:hint="eastAsia"/>
                  </w:rPr>
                  <w:fldChar w:fldCharType="begin"/>
                </w:r>
                <w:r>
                  <w:rPr>
                    <w:rFonts w:hint="eastAsia"/>
                  </w:rPr>
                  <w:instrText xml:space="preserve"> PAGE  \* MERGEFORMAT </w:instrText>
                </w:r>
                <w:r>
                  <w:rPr>
                    <w:rFonts w:hint="eastAsia"/>
                  </w:rPr>
                  <w:fldChar w:fldCharType="separate"/>
                </w:r>
                <w:r>
                  <w:t>57</w:t>
                </w:r>
                <w:r>
                  <w:rPr>
                    <w:rFonts w:hint="eastAsia"/>
                  </w:rP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center" w:y="1"/>
      <w:rPr>
        <w:rStyle w:val="26"/>
      </w:rPr>
    </w:pPr>
    <w:r>
      <w:fldChar w:fldCharType="begin"/>
    </w:r>
    <w:r>
      <w:rPr>
        <w:rStyle w:val="26"/>
      </w:rPr>
      <w:instrText xml:space="preserve">PAGE  </w:instrText>
    </w:r>
    <w:r>
      <w:fldChar w:fldCharType="end"/>
    </w:r>
  </w:p>
  <w:p>
    <w:pPr>
      <w:pStyle w:val="14"/>
      <w:ind w:right="360"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framePr w:wrap="around" w:vAnchor="text" w:hAnchor="margin" w:xAlign="right" w:y="1"/>
      <w:rPr>
        <w:rStyle w:val="26"/>
      </w:rPr>
    </w:pPr>
  </w:p>
  <w:p>
    <w:pPr>
      <w:pStyle w:val="14"/>
      <w:ind w:right="360"/>
      <w:jc w:val="right"/>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jc w:val="center"/>
    </w:pPr>
    <w:r>
      <w:pict>
        <v:shape id="_x0000_s1027" o:spid="_x0000_s1027"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path/>
          <v:fill on="f" focussize="0,0"/>
          <v:stroke on="f" weight="0.5pt" joinstyle="miter"/>
          <v:imagedata o:title=""/>
          <o:lock v:ext="edit"/>
          <v:textbox inset="0mm,0mm,0mm,0mm" style="mso-fit-shape-to-text:t;">
            <w:txbxContent>
              <w:p>
                <w:pPr>
                  <w:pStyle w:val="14"/>
                </w:pPr>
                <w:r>
                  <w:rPr>
                    <w:rFonts w:hint="eastAsia"/>
                  </w:rPr>
                  <w:fldChar w:fldCharType="begin"/>
                </w:r>
                <w:r>
                  <w:rPr>
                    <w:rFonts w:hint="eastAsia"/>
                  </w:rPr>
                  <w:instrText xml:space="preserve"> PAGE  \* MERGEFORMAT </w:instrText>
                </w:r>
                <w:r>
                  <w:rPr>
                    <w:rFonts w:hint="eastAsia"/>
                  </w:rPr>
                  <w:fldChar w:fldCharType="separate"/>
                </w:r>
                <w:r>
                  <w:t>64</w:t>
                </w:r>
                <w:r>
                  <w:rPr>
                    <w:rFonts w:hint="eastAsia"/>
                  </w:rPr>
                  <w:fldChar w:fldCharType="end"/>
                </w:r>
              </w:p>
            </w:txbxContent>
          </v:textbox>
        </v:shape>
      </w:pict>
    </w:r>
  </w:p>
  <w:p>
    <w:pPr>
      <w:pStyle w:val="14"/>
      <w:ind w:right="360"/>
      <w:jc w:val="right"/>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F5F5E8"/>
    <w:multiLevelType w:val="singleLevel"/>
    <w:tmpl w:val="D7F5F5E8"/>
    <w:lvl w:ilvl="0" w:tentative="0">
      <w:start w:val="2"/>
      <w:numFmt w:val="decimal"/>
      <w:lvlText w:val="%1."/>
      <w:lvlJc w:val="left"/>
      <w:pPr>
        <w:tabs>
          <w:tab w:val="left" w:pos="312"/>
        </w:tabs>
      </w:pPr>
    </w:lvl>
  </w:abstractNum>
  <w:abstractNum w:abstractNumId="1">
    <w:nsid w:val="0053208E"/>
    <w:multiLevelType w:val="multilevel"/>
    <w:tmpl w:val="0053208E"/>
    <w:lvl w:ilvl="0" w:tentative="0">
      <w:start w:val="1"/>
      <w:numFmt w:val="decimal"/>
      <w:lvlText w:val="%1."/>
      <w:lvlJc w:val="left"/>
      <w:pPr>
        <w:ind w:left="205" w:hanging="322"/>
        <w:jc w:val="left"/>
      </w:pPr>
      <w:rPr>
        <w:rFonts w:hint="default" w:ascii="仿宋" w:hAnsi="仿宋" w:eastAsia="仿宋" w:cs="仿宋"/>
        <w:spacing w:val="-46"/>
        <w:w w:val="99"/>
        <w:sz w:val="30"/>
        <w:szCs w:val="30"/>
        <w:lang w:val="zh-CN" w:eastAsia="zh-CN" w:bidi="zh-CN"/>
      </w:rPr>
    </w:lvl>
    <w:lvl w:ilvl="1" w:tentative="0">
      <w:start w:val="0"/>
      <w:numFmt w:val="bullet"/>
      <w:lvlText w:val="•"/>
      <w:lvlJc w:val="left"/>
      <w:pPr>
        <w:ind w:left="1074" w:hanging="322"/>
      </w:pPr>
      <w:rPr>
        <w:rFonts w:hint="default"/>
        <w:lang w:val="zh-CN" w:eastAsia="zh-CN" w:bidi="zh-CN"/>
      </w:rPr>
    </w:lvl>
    <w:lvl w:ilvl="2" w:tentative="0">
      <w:start w:val="0"/>
      <w:numFmt w:val="bullet"/>
      <w:lvlText w:val="•"/>
      <w:lvlJc w:val="left"/>
      <w:pPr>
        <w:ind w:left="1949" w:hanging="322"/>
      </w:pPr>
      <w:rPr>
        <w:rFonts w:hint="default"/>
        <w:lang w:val="zh-CN" w:eastAsia="zh-CN" w:bidi="zh-CN"/>
      </w:rPr>
    </w:lvl>
    <w:lvl w:ilvl="3" w:tentative="0">
      <w:start w:val="0"/>
      <w:numFmt w:val="bullet"/>
      <w:lvlText w:val="•"/>
      <w:lvlJc w:val="left"/>
      <w:pPr>
        <w:ind w:left="2823" w:hanging="322"/>
      </w:pPr>
      <w:rPr>
        <w:rFonts w:hint="default"/>
        <w:lang w:val="zh-CN" w:eastAsia="zh-CN" w:bidi="zh-CN"/>
      </w:rPr>
    </w:lvl>
    <w:lvl w:ilvl="4" w:tentative="0">
      <w:start w:val="0"/>
      <w:numFmt w:val="bullet"/>
      <w:lvlText w:val="•"/>
      <w:lvlJc w:val="left"/>
      <w:pPr>
        <w:ind w:left="3698" w:hanging="322"/>
      </w:pPr>
      <w:rPr>
        <w:rFonts w:hint="default"/>
        <w:lang w:val="zh-CN" w:eastAsia="zh-CN" w:bidi="zh-CN"/>
      </w:rPr>
    </w:lvl>
    <w:lvl w:ilvl="5" w:tentative="0">
      <w:start w:val="0"/>
      <w:numFmt w:val="bullet"/>
      <w:lvlText w:val="•"/>
      <w:lvlJc w:val="left"/>
      <w:pPr>
        <w:ind w:left="4573" w:hanging="322"/>
      </w:pPr>
      <w:rPr>
        <w:rFonts w:hint="default"/>
        <w:lang w:val="zh-CN" w:eastAsia="zh-CN" w:bidi="zh-CN"/>
      </w:rPr>
    </w:lvl>
    <w:lvl w:ilvl="6" w:tentative="0">
      <w:start w:val="0"/>
      <w:numFmt w:val="bullet"/>
      <w:lvlText w:val="•"/>
      <w:lvlJc w:val="left"/>
      <w:pPr>
        <w:ind w:left="5447" w:hanging="322"/>
      </w:pPr>
      <w:rPr>
        <w:rFonts w:hint="default"/>
        <w:lang w:val="zh-CN" w:eastAsia="zh-CN" w:bidi="zh-CN"/>
      </w:rPr>
    </w:lvl>
    <w:lvl w:ilvl="7" w:tentative="0">
      <w:start w:val="0"/>
      <w:numFmt w:val="bullet"/>
      <w:lvlText w:val="•"/>
      <w:lvlJc w:val="left"/>
      <w:pPr>
        <w:ind w:left="6322" w:hanging="322"/>
      </w:pPr>
      <w:rPr>
        <w:rFonts w:hint="default"/>
        <w:lang w:val="zh-CN" w:eastAsia="zh-CN" w:bidi="zh-CN"/>
      </w:rPr>
    </w:lvl>
    <w:lvl w:ilvl="8" w:tentative="0">
      <w:start w:val="0"/>
      <w:numFmt w:val="bullet"/>
      <w:lvlText w:val="•"/>
      <w:lvlJc w:val="left"/>
      <w:pPr>
        <w:ind w:left="7196" w:hanging="322"/>
      </w:pPr>
      <w:rPr>
        <w:rFonts w:hint="default"/>
        <w:lang w:val="zh-CN" w:eastAsia="zh-CN" w:bidi="zh-CN"/>
      </w:rPr>
    </w:lvl>
  </w:abstractNum>
  <w:abstractNum w:abstractNumId="2">
    <w:nsid w:val="235C547A"/>
    <w:multiLevelType w:val="singleLevel"/>
    <w:tmpl w:val="235C547A"/>
    <w:lvl w:ilvl="0" w:tentative="0">
      <w:start w:val="1"/>
      <w:numFmt w:val="decimal"/>
      <w:suff w:val="nothing"/>
      <w:lvlText w:val="%1、"/>
      <w:lvlJc w:val="left"/>
    </w:lvl>
  </w:abstractNum>
  <w:abstractNum w:abstractNumId="3">
    <w:nsid w:val="47403DB2"/>
    <w:multiLevelType w:val="singleLevel"/>
    <w:tmpl w:val="47403DB2"/>
    <w:lvl w:ilvl="0" w:tentative="0">
      <w:start w:val="15"/>
      <w:numFmt w:val="decimal"/>
      <w:lvlText w:val="%1."/>
      <w:lvlJc w:val="left"/>
      <w:pPr>
        <w:tabs>
          <w:tab w:val="left" w:pos="312"/>
        </w:tabs>
      </w:pPr>
    </w:lvl>
  </w:abstractNum>
  <w:abstractNum w:abstractNumId="4">
    <w:nsid w:val="59926D61"/>
    <w:multiLevelType w:val="singleLevel"/>
    <w:tmpl w:val="59926D61"/>
    <w:lvl w:ilvl="0" w:tentative="0">
      <w:start w:val="9"/>
      <w:numFmt w:val="decimal"/>
      <w:suff w:val="nothing"/>
      <w:lvlText w:val="%1、"/>
      <w:lvlJc w:val="left"/>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NWU0OThhNGYyOTJmOWExYzE2MmUzMGY1NjRmMTA4YmUifQ=="/>
  </w:docVars>
  <w:rsids>
    <w:rsidRoot w:val="00172A27"/>
    <w:rsid w:val="00000DD4"/>
    <w:rsid w:val="0003301B"/>
    <w:rsid w:val="00053F0E"/>
    <w:rsid w:val="000851EA"/>
    <w:rsid w:val="000C1CEF"/>
    <w:rsid w:val="000D740E"/>
    <w:rsid w:val="00111765"/>
    <w:rsid w:val="00117F32"/>
    <w:rsid w:val="0014392C"/>
    <w:rsid w:val="0014668B"/>
    <w:rsid w:val="001619AD"/>
    <w:rsid w:val="00162275"/>
    <w:rsid w:val="00167A04"/>
    <w:rsid w:val="00172A27"/>
    <w:rsid w:val="00185D8C"/>
    <w:rsid w:val="001E07D1"/>
    <w:rsid w:val="001E084D"/>
    <w:rsid w:val="001E18CE"/>
    <w:rsid w:val="001F5BC2"/>
    <w:rsid w:val="00205F1A"/>
    <w:rsid w:val="0021263A"/>
    <w:rsid w:val="00221223"/>
    <w:rsid w:val="00226229"/>
    <w:rsid w:val="00240C3E"/>
    <w:rsid w:val="0025513E"/>
    <w:rsid w:val="00286F9E"/>
    <w:rsid w:val="00292666"/>
    <w:rsid w:val="002B6586"/>
    <w:rsid w:val="002C384F"/>
    <w:rsid w:val="002D3BED"/>
    <w:rsid w:val="00303F60"/>
    <w:rsid w:val="00311145"/>
    <w:rsid w:val="00324A71"/>
    <w:rsid w:val="00335D89"/>
    <w:rsid w:val="00352481"/>
    <w:rsid w:val="00357293"/>
    <w:rsid w:val="00365F7F"/>
    <w:rsid w:val="00366F37"/>
    <w:rsid w:val="003728DF"/>
    <w:rsid w:val="003C6494"/>
    <w:rsid w:val="003D30D8"/>
    <w:rsid w:val="003D6030"/>
    <w:rsid w:val="003E1425"/>
    <w:rsid w:val="004063C7"/>
    <w:rsid w:val="00422CEF"/>
    <w:rsid w:val="004600E4"/>
    <w:rsid w:val="004B2135"/>
    <w:rsid w:val="004B2876"/>
    <w:rsid w:val="004E1F07"/>
    <w:rsid w:val="00510960"/>
    <w:rsid w:val="00531699"/>
    <w:rsid w:val="0054158B"/>
    <w:rsid w:val="00570A48"/>
    <w:rsid w:val="0059218B"/>
    <w:rsid w:val="005A5335"/>
    <w:rsid w:val="005B1A5D"/>
    <w:rsid w:val="005B386E"/>
    <w:rsid w:val="005B47AB"/>
    <w:rsid w:val="005C0E6E"/>
    <w:rsid w:val="005C12CB"/>
    <w:rsid w:val="005C2A22"/>
    <w:rsid w:val="005F755B"/>
    <w:rsid w:val="006064E5"/>
    <w:rsid w:val="00610312"/>
    <w:rsid w:val="00613F37"/>
    <w:rsid w:val="006230D8"/>
    <w:rsid w:val="00631A02"/>
    <w:rsid w:val="00641454"/>
    <w:rsid w:val="00662F6E"/>
    <w:rsid w:val="0067153F"/>
    <w:rsid w:val="00684979"/>
    <w:rsid w:val="00686E63"/>
    <w:rsid w:val="006977AB"/>
    <w:rsid w:val="006A153D"/>
    <w:rsid w:val="006B5B80"/>
    <w:rsid w:val="006D0611"/>
    <w:rsid w:val="006F4968"/>
    <w:rsid w:val="0070239C"/>
    <w:rsid w:val="00723FDE"/>
    <w:rsid w:val="007555F7"/>
    <w:rsid w:val="00764B9B"/>
    <w:rsid w:val="00782E59"/>
    <w:rsid w:val="007939F3"/>
    <w:rsid w:val="007B219A"/>
    <w:rsid w:val="007C7429"/>
    <w:rsid w:val="007F4D4F"/>
    <w:rsid w:val="00812159"/>
    <w:rsid w:val="00832BC5"/>
    <w:rsid w:val="00835177"/>
    <w:rsid w:val="00844E37"/>
    <w:rsid w:val="008462DB"/>
    <w:rsid w:val="00871354"/>
    <w:rsid w:val="00880E1B"/>
    <w:rsid w:val="00895679"/>
    <w:rsid w:val="008A6052"/>
    <w:rsid w:val="008D6D9C"/>
    <w:rsid w:val="008E56F7"/>
    <w:rsid w:val="00906279"/>
    <w:rsid w:val="009538EC"/>
    <w:rsid w:val="009905C6"/>
    <w:rsid w:val="0099301F"/>
    <w:rsid w:val="00A05162"/>
    <w:rsid w:val="00A056C0"/>
    <w:rsid w:val="00A2736A"/>
    <w:rsid w:val="00A37925"/>
    <w:rsid w:val="00A47BF0"/>
    <w:rsid w:val="00A63025"/>
    <w:rsid w:val="00A63285"/>
    <w:rsid w:val="00A734D3"/>
    <w:rsid w:val="00A8691E"/>
    <w:rsid w:val="00AA40A2"/>
    <w:rsid w:val="00AB06C6"/>
    <w:rsid w:val="00AB4642"/>
    <w:rsid w:val="00AD22F6"/>
    <w:rsid w:val="00B10134"/>
    <w:rsid w:val="00B51360"/>
    <w:rsid w:val="00B5197E"/>
    <w:rsid w:val="00BA4DC0"/>
    <w:rsid w:val="00BA5F85"/>
    <w:rsid w:val="00BE14E4"/>
    <w:rsid w:val="00C019E7"/>
    <w:rsid w:val="00C2203A"/>
    <w:rsid w:val="00C45960"/>
    <w:rsid w:val="00C62F79"/>
    <w:rsid w:val="00C67335"/>
    <w:rsid w:val="00C843D0"/>
    <w:rsid w:val="00C90347"/>
    <w:rsid w:val="00C9528F"/>
    <w:rsid w:val="00C96B70"/>
    <w:rsid w:val="00CA7CEF"/>
    <w:rsid w:val="00CD4FCB"/>
    <w:rsid w:val="00CE088A"/>
    <w:rsid w:val="00CF2A01"/>
    <w:rsid w:val="00D06B85"/>
    <w:rsid w:val="00D06E29"/>
    <w:rsid w:val="00D644CF"/>
    <w:rsid w:val="00D90CE5"/>
    <w:rsid w:val="00DA3110"/>
    <w:rsid w:val="00DE1AEF"/>
    <w:rsid w:val="00DE410B"/>
    <w:rsid w:val="00E204EF"/>
    <w:rsid w:val="00E23B11"/>
    <w:rsid w:val="00E24BE7"/>
    <w:rsid w:val="00E42944"/>
    <w:rsid w:val="00E67A5E"/>
    <w:rsid w:val="00E720F5"/>
    <w:rsid w:val="00EB1944"/>
    <w:rsid w:val="00EF4D30"/>
    <w:rsid w:val="00F03E88"/>
    <w:rsid w:val="00F076AD"/>
    <w:rsid w:val="00F1283B"/>
    <w:rsid w:val="00F351CC"/>
    <w:rsid w:val="00F35B32"/>
    <w:rsid w:val="00FA0149"/>
    <w:rsid w:val="00FA1F56"/>
    <w:rsid w:val="00FA6E48"/>
    <w:rsid w:val="00FA700A"/>
    <w:rsid w:val="00FB2855"/>
    <w:rsid w:val="00FB40D4"/>
    <w:rsid w:val="00FC6DF3"/>
    <w:rsid w:val="00FE4CEA"/>
    <w:rsid w:val="0102672D"/>
    <w:rsid w:val="011A6B89"/>
    <w:rsid w:val="01443DB9"/>
    <w:rsid w:val="014E2CEB"/>
    <w:rsid w:val="022C7C88"/>
    <w:rsid w:val="02410BE3"/>
    <w:rsid w:val="02570954"/>
    <w:rsid w:val="02612581"/>
    <w:rsid w:val="027232BB"/>
    <w:rsid w:val="02DF7EB2"/>
    <w:rsid w:val="030003DF"/>
    <w:rsid w:val="03031BB4"/>
    <w:rsid w:val="03611BEE"/>
    <w:rsid w:val="0419667B"/>
    <w:rsid w:val="043D0FA7"/>
    <w:rsid w:val="04852B72"/>
    <w:rsid w:val="04C6098E"/>
    <w:rsid w:val="04D73B46"/>
    <w:rsid w:val="052447B5"/>
    <w:rsid w:val="06334A31"/>
    <w:rsid w:val="07325A2F"/>
    <w:rsid w:val="073477AA"/>
    <w:rsid w:val="078A5E9F"/>
    <w:rsid w:val="07B01A89"/>
    <w:rsid w:val="07C00FB2"/>
    <w:rsid w:val="083C5909"/>
    <w:rsid w:val="08C3403B"/>
    <w:rsid w:val="093F0D4A"/>
    <w:rsid w:val="096422B6"/>
    <w:rsid w:val="0A0B64D4"/>
    <w:rsid w:val="0AC21C94"/>
    <w:rsid w:val="0AD567A0"/>
    <w:rsid w:val="0B2A71CE"/>
    <w:rsid w:val="0B3D4E0F"/>
    <w:rsid w:val="0B4B55FF"/>
    <w:rsid w:val="0B5E7629"/>
    <w:rsid w:val="0B9F46D6"/>
    <w:rsid w:val="0BB71C77"/>
    <w:rsid w:val="0BD1352B"/>
    <w:rsid w:val="0BE31450"/>
    <w:rsid w:val="0BF675BB"/>
    <w:rsid w:val="0C016147"/>
    <w:rsid w:val="0C4056A8"/>
    <w:rsid w:val="0C492CAE"/>
    <w:rsid w:val="0C804C50"/>
    <w:rsid w:val="0CEF3E5D"/>
    <w:rsid w:val="0D8B399D"/>
    <w:rsid w:val="0E4855F6"/>
    <w:rsid w:val="0E7004C6"/>
    <w:rsid w:val="0EA262AF"/>
    <w:rsid w:val="0EC96A3F"/>
    <w:rsid w:val="0F52196B"/>
    <w:rsid w:val="0F81548D"/>
    <w:rsid w:val="0F865BB8"/>
    <w:rsid w:val="0F9D60BB"/>
    <w:rsid w:val="0FF65768"/>
    <w:rsid w:val="113A42A8"/>
    <w:rsid w:val="11617F25"/>
    <w:rsid w:val="117A3DE5"/>
    <w:rsid w:val="117E4C02"/>
    <w:rsid w:val="119D67AF"/>
    <w:rsid w:val="11D35124"/>
    <w:rsid w:val="11E74650"/>
    <w:rsid w:val="124E243D"/>
    <w:rsid w:val="138A6C37"/>
    <w:rsid w:val="139D35FD"/>
    <w:rsid w:val="13B41BCC"/>
    <w:rsid w:val="147F57B4"/>
    <w:rsid w:val="14B57065"/>
    <w:rsid w:val="15C670FE"/>
    <w:rsid w:val="15F055AC"/>
    <w:rsid w:val="1636260B"/>
    <w:rsid w:val="16477D2E"/>
    <w:rsid w:val="16C4025A"/>
    <w:rsid w:val="170F01A6"/>
    <w:rsid w:val="1729600A"/>
    <w:rsid w:val="173560D8"/>
    <w:rsid w:val="17EC7BD0"/>
    <w:rsid w:val="18332267"/>
    <w:rsid w:val="1A143DE9"/>
    <w:rsid w:val="1A3305B7"/>
    <w:rsid w:val="1A5E097E"/>
    <w:rsid w:val="1A7275B7"/>
    <w:rsid w:val="1A877272"/>
    <w:rsid w:val="1A877CAB"/>
    <w:rsid w:val="1B2D0AF9"/>
    <w:rsid w:val="1B377FC1"/>
    <w:rsid w:val="1B700A62"/>
    <w:rsid w:val="1C944B70"/>
    <w:rsid w:val="1CDF5040"/>
    <w:rsid w:val="1D3F7374"/>
    <w:rsid w:val="1DE21639"/>
    <w:rsid w:val="1E6A3C6A"/>
    <w:rsid w:val="1E7774C1"/>
    <w:rsid w:val="1E7C54A9"/>
    <w:rsid w:val="1EC61592"/>
    <w:rsid w:val="1EF909DF"/>
    <w:rsid w:val="1F0E185C"/>
    <w:rsid w:val="1FAD730D"/>
    <w:rsid w:val="20806218"/>
    <w:rsid w:val="20B1016A"/>
    <w:rsid w:val="20D2610D"/>
    <w:rsid w:val="21071252"/>
    <w:rsid w:val="211D00CF"/>
    <w:rsid w:val="21776CA2"/>
    <w:rsid w:val="21C84826"/>
    <w:rsid w:val="220C00B0"/>
    <w:rsid w:val="22393A5C"/>
    <w:rsid w:val="22437410"/>
    <w:rsid w:val="225939A1"/>
    <w:rsid w:val="2386382C"/>
    <w:rsid w:val="239D0DA6"/>
    <w:rsid w:val="23A9365A"/>
    <w:rsid w:val="23B60887"/>
    <w:rsid w:val="23EA55EA"/>
    <w:rsid w:val="23EF7A02"/>
    <w:rsid w:val="24BB755C"/>
    <w:rsid w:val="24BC1AA6"/>
    <w:rsid w:val="26116B19"/>
    <w:rsid w:val="262D4BDD"/>
    <w:rsid w:val="268B46F4"/>
    <w:rsid w:val="27114A72"/>
    <w:rsid w:val="27EE71A3"/>
    <w:rsid w:val="28153228"/>
    <w:rsid w:val="28444393"/>
    <w:rsid w:val="284B7A72"/>
    <w:rsid w:val="28710461"/>
    <w:rsid w:val="28BA6ED0"/>
    <w:rsid w:val="29626DE8"/>
    <w:rsid w:val="297D16EE"/>
    <w:rsid w:val="299E3026"/>
    <w:rsid w:val="2A35702E"/>
    <w:rsid w:val="2A7F1D11"/>
    <w:rsid w:val="2BDA70E1"/>
    <w:rsid w:val="2C3266E3"/>
    <w:rsid w:val="2C406804"/>
    <w:rsid w:val="2CA1194A"/>
    <w:rsid w:val="2D146AC7"/>
    <w:rsid w:val="2D96306F"/>
    <w:rsid w:val="2E7B6CC4"/>
    <w:rsid w:val="2E8A168E"/>
    <w:rsid w:val="2ECA494D"/>
    <w:rsid w:val="2ECC7E0B"/>
    <w:rsid w:val="2F496D12"/>
    <w:rsid w:val="2F5660E6"/>
    <w:rsid w:val="2F5C3022"/>
    <w:rsid w:val="2F5D3ABE"/>
    <w:rsid w:val="30190135"/>
    <w:rsid w:val="306B6383"/>
    <w:rsid w:val="306E03A5"/>
    <w:rsid w:val="30912713"/>
    <w:rsid w:val="30CC1916"/>
    <w:rsid w:val="30DE30E5"/>
    <w:rsid w:val="31AA2C4C"/>
    <w:rsid w:val="323972C6"/>
    <w:rsid w:val="3277127D"/>
    <w:rsid w:val="32E16CD8"/>
    <w:rsid w:val="331100E7"/>
    <w:rsid w:val="334311DB"/>
    <w:rsid w:val="35530311"/>
    <w:rsid w:val="35924BA7"/>
    <w:rsid w:val="35BA663B"/>
    <w:rsid w:val="35BB6D0B"/>
    <w:rsid w:val="35D60C23"/>
    <w:rsid w:val="35DA684E"/>
    <w:rsid w:val="35EB5953"/>
    <w:rsid w:val="35F00AA7"/>
    <w:rsid w:val="360958DE"/>
    <w:rsid w:val="36FA4DE1"/>
    <w:rsid w:val="376E5846"/>
    <w:rsid w:val="378E4F89"/>
    <w:rsid w:val="38423EBD"/>
    <w:rsid w:val="39A648B1"/>
    <w:rsid w:val="39D276DC"/>
    <w:rsid w:val="3A1D4C91"/>
    <w:rsid w:val="3A8670A4"/>
    <w:rsid w:val="3AA4768A"/>
    <w:rsid w:val="3AE0761C"/>
    <w:rsid w:val="3B0024F3"/>
    <w:rsid w:val="3B055814"/>
    <w:rsid w:val="3B1C3E91"/>
    <w:rsid w:val="3BC4321F"/>
    <w:rsid w:val="3C183361"/>
    <w:rsid w:val="3C6C0A4C"/>
    <w:rsid w:val="3CAF086F"/>
    <w:rsid w:val="3D7763B5"/>
    <w:rsid w:val="3DDC5FE8"/>
    <w:rsid w:val="3DEE10A9"/>
    <w:rsid w:val="3E65321A"/>
    <w:rsid w:val="3E670C26"/>
    <w:rsid w:val="3E8412E4"/>
    <w:rsid w:val="3E9106A2"/>
    <w:rsid w:val="3EC7406C"/>
    <w:rsid w:val="3EED5CE2"/>
    <w:rsid w:val="3EF20291"/>
    <w:rsid w:val="40AD0C76"/>
    <w:rsid w:val="42245E14"/>
    <w:rsid w:val="425B55E2"/>
    <w:rsid w:val="42CC1519"/>
    <w:rsid w:val="434834C8"/>
    <w:rsid w:val="43EA2390"/>
    <w:rsid w:val="44237DB9"/>
    <w:rsid w:val="443C7FEE"/>
    <w:rsid w:val="4486743B"/>
    <w:rsid w:val="4514340A"/>
    <w:rsid w:val="4522422D"/>
    <w:rsid w:val="452804BB"/>
    <w:rsid w:val="456561D3"/>
    <w:rsid w:val="45D32B69"/>
    <w:rsid w:val="45D71844"/>
    <w:rsid w:val="46594ACB"/>
    <w:rsid w:val="46680211"/>
    <w:rsid w:val="46D77AC6"/>
    <w:rsid w:val="47560305"/>
    <w:rsid w:val="47CB3E73"/>
    <w:rsid w:val="48064403"/>
    <w:rsid w:val="48436FDA"/>
    <w:rsid w:val="48897173"/>
    <w:rsid w:val="48D975D7"/>
    <w:rsid w:val="48EE420B"/>
    <w:rsid w:val="4A00298D"/>
    <w:rsid w:val="4A22216C"/>
    <w:rsid w:val="4A8B73D7"/>
    <w:rsid w:val="4AD22353"/>
    <w:rsid w:val="4AFA69EE"/>
    <w:rsid w:val="4B387B55"/>
    <w:rsid w:val="4B4B51BF"/>
    <w:rsid w:val="4B9F4E11"/>
    <w:rsid w:val="4BB26B3B"/>
    <w:rsid w:val="4BC73832"/>
    <w:rsid w:val="4BD82C1F"/>
    <w:rsid w:val="4BF53D60"/>
    <w:rsid w:val="4C085148"/>
    <w:rsid w:val="4C3443CE"/>
    <w:rsid w:val="4C81207A"/>
    <w:rsid w:val="4DBB4503"/>
    <w:rsid w:val="4E7A05AB"/>
    <w:rsid w:val="4EBF6F45"/>
    <w:rsid w:val="4EC201F0"/>
    <w:rsid w:val="4F0B21E4"/>
    <w:rsid w:val="4F2F0792"/>
    <w:rsid w:val="4F6B4A2D"/>
    <w:rsid w:val="50024953"/>
    <w:rsid w:val="500C33C2"/>
    <w:rsid w:val="508C7992"/>
    <w:rsid w:val="50CC783B"/>
    <w:rsid w:val="50D210C3"/>
    <w:rsid w:val="50FA22D5"/>
    <w:rsid w:val="514123AC"/>
    <w:rsid w:val="51596F95"/>
    <w:rsid w:val="51A272E6"/>
    <w:rsid w:val="51D4385F"/>
    <w:rsid w:val="51ED67A5"/>
    <w:rsid w:val="51FF27DF"/>
    <w:rsid w:val="52240448"/>
    <w:rsid w:val="52347646"/>
    <w:rsid w:val="52EA2EE9"/>
    <w:rsid w:val="533800BC"/>
    <w:rsid w:val="542004E4"/>
    <w:rsid w:val="54582C2B"/>
    <w:rsid w:val="55106732"/>
    <w:rsid w:val="55323A38"/>
    <w:rsid w:val="55554B14"/>
    <w:rsid w:val="55EF63FE"/>
    <w:rsid w:val="56282BD5"/>
    <w:rsid w:val="57280A43"/>
    <w:rsid w:val="57782683"/>
    <w:rsid w:val="57890E06"/>
    <w:rsid w:val="57D6563F"/>
    <w:rsid w:val="57E07887"/>
    <w:rsid w:val="581B104C"/>
    <w:rsid w:val="58281394"/>
    <w:rsid w:val="586A2EEE"/>
    <w:rsid w:val="593578C8"/>
    <w:rsid w:val="59810EC7"/>
    <w:rsid w:val="598D06AE"/>
    <w:rsid w:val="59C21AEA"/>
    <w:rsid w:val="59D13B62"/>
    <w:rsid w:val="59D26A90"/>
    <w:rsid w:val="5A1F1C28"/>
    <w:rsid w:val="5A4B39E2"/>
    <w:rsid w:val="5A550CA1"/>
    <w:rsid w:val="5A585274"/>
    <w:rsid w:val="5A6C467C"/>
    <w:rsid w:val="5AD36434"/>
    <w:rsid w:val="5AE519B6"/>
    <w:rsid w:val="5BC64756"/>
    <w:rsid w:val="5C2F00C3"/>
    <w:rsid w:val="5C2F487A"/>
    <w:rsid w:val="5C86163E"/>
    <w:rsid w:val="5D592B21"/>
    <w:rsid w:val="5E181C7E"/>
    <w:rsid w:val="5E2C4052"/>
    <w:rsid w:val="5E8570EC"/>
    <w:rsid w:val="5F0F2CF1"/>
    <w:rsid w:val="5F147A20"/>
    <w:rsid w:val="5F781673"/>
    <w:rsid w:val="5FE638F2"/>
    <w:rsid w:val="608E205B"/>
    <w:rsid w:val="61051E89"/>
    <w:rsid w:val="61491104"/>
    <w:rsid w:val="61953E4A"/>
    <w:rsid w:val="623A09B3"/>
    <w:rsid w:val="62545076"/>
    <w:rsid w:val="62B40C5B"/>
    <w:rsid w:val="62D006E6"/>
    <w:rsid w:val="62E46BD2"/>
    <w:rsid w:val="62E62260"/>
    <w:rsid w:val="630F2726"/>
    <w:rsid w:val="63BD0450"/>
    <w:rsid w:val="63D719DB"/>
    <w:rsid w:val="63E94AFD"/>
    <w:rsid w:val="63ED00E4"/>
    <w:rsid w:val="646C3855"/>
    <w:rsid w:val="647D2DAA"/>
    <w:rsid w:val="6482221F"/>
    <w:rsid w:val="64AD28E9"/>
    <w:rsid w:val="64FA021B"/>
    <w:rsid w:val="65390F50"/>
    <w:rsid w:val="65CC57CC"/>
    <w:rsid w:val="661B40E7"/>
    <w:rsid w:val="66457F94"/>
    <w:rsid w:val="6658653C"/>
    <w:rsid w:val="66960736"/>
    <w:rsid w:val="671A5A2D"/>
    <w:rsid w:val="672426E8"/>
    <w:rsid w:val="676677EB"/>
    <w:rsid w:val="67C9562E"/>
    <w:rsid w:val="68400ABC"/>
    <w:rsid w:val="686376AA"/>
    <w:rsid w:val="68AC39AA"/>
    <w:rsid w:val="699E28C2"/>
    <w:rsid w:val="69EC2324"/>
    <w:rsid w:val="6A6C1113"/>
    <w:rsid w:val="6A8C0FED"/>
    <w:rsid w:val="6ABA77D6"/>
    <w:rsid w:val="6AD23ECA"/>
    <w:rsid w:val="6AD81E12"/>
    <w:rsid w:val="6B665761"/>
    <w:rsid w:val="6C3F3C9B"/>
    <w:rsid w:val="6C68176D"/>
    <w:rsid w:val="6C7716C8"/>
    <w:rsid w:val="6C77637D"/>
    <w:rsid w:val="6D013D3B"/>
    <w:rsid w:val="6D5A7E24"/>
    <w:rsid w:val="6D7E3AFC"/>
    <w:rsid w:val="6E086C62"/>
    <w:rsid w:val="6E0C3A98"/>
    <w:rsid w:val="6E132974"/>
    <w:rsid w:val="6E16629A"/>
    <w:rsid w:val="6EBD47B7"/>
    <w:rsid w:val="6EC27256"/>
    <w:rsid w:val="6ECF6E0C"/>
    <w:rsid w:val="6F320296"/>
    <w:rsid w:val="700E395D"/>
    <w:rsid w:val="70463949"/>
    <w:rsid w:val="706D7F34"/>
    <w:rsid w:val="717005AA"/>
    <w:rsid w:val="71762E6E"/>
    <w:rsid w:val="71B47093"/>
    <w:rsid w:val="72095623"/>
    <w:rsid w:val="728363B6"/>
    <w:rsid w:val="736328E0"/>
    <w:rsid w:val="73FF4FB0"/>
    <w:rsid w:val="75BC6535"/>
    <w:rsid w:val="76945B9A"/>
    <w:rsid w:val="76CB3AC4"/>
    <w:rsid w:val="77066C6B"/>
    <w:rsid w:val="77A33638"/>
    <w:rsid w:val="77AC7698"/>
    <w:rsid w:val="782A3662"/>
    <w:rsid w:val="785721B0"/>
    <w:rsid w:val="78CD47CC"/>
    <w:rsid w:val="790415B1"/>
    <w:rsid w:val="79201679"/>
    <w:rsid w:val="792B6137"/>
    <w:rsid w:val="793C30C8"/>
    <w:rsid w:val="797906C6"/>
    <w:rsid w:val="79FA27C6"/>
    <w:rsid w:val="7A38049C"/>
    <w:rsid w:val="7A685645"/>
    <w:rsid w:val="7AB627FD"/>
    <w:rsid w:val="7B060946"/>
    <w:rsid w:val="7BBE7CE2"/>
    <w:rsid w:val="7CEC2289"/>
    <w:rsid w:val="7D5A0E1B"/>
    <w:rsid w:val="7DB3663A"/>
    <w:rsid w:val="7E320F3C"/>
    <w:rsid w:val="7EA820B6"/>
    <w:rsid w:val="7EA83F40"/>
    <w:rsid w:val="7ECD3416"/>
    <w:rsid w:val="7F1C7A64"/>
    <w:rsid w:val="7F923D12"/>
    <w:rsid w:val="7F980E94"/>
    <w:rsid w:val="7FE60E89"/>
    <w:rsid w:val="7FF466E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link w:val="33"/>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4">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34"/>
    <w:qFormat/>
    <w:uiPriority w:val="99"/>
    <w:pPr>
      <w:keepNext/>
      <w:keepLines/>
      <w:spacing w:before="280" w:after="290" w:line="376" w:lineRule="auto"/>
      <w:outlineLvl w:val="3"/>
    </w:pPr>
    <w:rPr>
      <w:rFonts w:ascii="Cambria" w:hAnsi="Cambria" w:cs="Cambria"/>
      <w:b/>
      <w:bCs/>
      <w:sz w:val="28"/>
      <w:szCs w:val="28"/>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customStyle="1" w:styleId="2">
    <w:name w:val="列出段落1"/>
    <w:basedOn w:val="1"/>
    <w:next w:val="1"/>
    <w:unhideWhenUsed/>
    <w:qFormat/>
    <w:uiPriority w:val="99"/>
    <w:pPr>
      <w:ind w:firstLine="420" w:firstLineChars="200"/>
    </w:pPr>
  </w:style>
  <w:style w:type="paragraph" w:styleId="7">
    <w:name w:val="toc 7"/>
    <w:basedOn w:val="1"/>
    <w:next w:val="1"/>
    <w:unhideWhenUsed/>
    <w:qFormat/>
    <w:uiPriority w:val="39"/>
    <w:pPr>
      <w:ind w:left="2520" w:leftChars="1200"/>
    </w:pPr>
    <w:rPr>
      <w:rFonts w:asciiTheme="minorHAnsi" w:hAnsiTheme="minorHAnsi" w:eastAsiaTheme="minorEastAsia" w:cstheme="minorBidi"/>
      <w:szCs w:val="22"/>
    </w:rPr>
  </w:style>
  <w:style w:type="paragraph" w:styleId="8">
    <w:name w:val="Normal Indent"/>
    <w:basedOn w:val="1"/>
    <w:qFormat/>
    <w:uiPriority w:val="0"/>
    <w:pPr>
      <w:autoSpaceDE w:val="0"/>
      <w:autoSpaceDN w:val="0"/>
      <w:adjustRightInd w:val="0"/>
      <w:ind w:firstLine="420"/>
      <w:jc w:val="left"/>
    </w:pPr>
    <w:rPr>
      <w:rFonts w:ascii="宋体"/>
      <w:kern w:val="0"/>
      <w:sz w:val="24"/>
      <w:szCs w:val="20"/>
    </w:rPr>
  </w:style>
  <w:style w:type="paragraph" w:styleId="9">
    <w:name w:val="Body Text"/>
    <w:basedOn w:val="1"/>
    <w:link w:val="29"/>
    <w:qFormat/>
    <w:uiPriority w:val="0"/>
    <w:pPr>
      <w:tabs>
        <w:tab w:val="left" w:pos="567"/>
      </w:tabs>
      <w:spacing w:before="120" w:line="22" w:lineRule="atLeast"/>
    </w:pPr>
    <w:rPr>
      <w:rFonts w:ascii="宋体" w:hAnsi="宋体"/>
      <w:sz w:val="24"/>
    </w:rPr>
  </w:style>
  <w:style w:type="paragraph" w:styleId="10">
    <w:name w:val="toc 5"/>
    <w:basedOn w:val="1"/>
    <w:next w:val="1"/>
    <w:unhideWhenUsed/>
    <w:qFormat/>
    <w:uiPriority w:val="39"/>
    <w:pPr>
      <w:ind w:left="1680" w:leftChars="800"/>
    </w:pPr>
    <w:rPr>
      <w:rFonts w:asciiTheme="minorHAnsi" w:hAnsiTheme="minorHAnsi" w:eastAsiaTheme="minorEastAsia" w:cstheme="minorBidi"/>
      <w:szCs w:val="22"/>
    </w:rPr>
  </w:style>
  <w:style w:type="paragraph" w:styleId="11">
    <w:name w:val="toc 3"/>
    <w:basedOn w:val="1"/>
    <w:next w:val="1"/>
    <w:qFormat/>
    <w:uiPriority w:val="39"/>
    <w:pPr>
      <w:tabs>
        <w:tab w:val="left" w:pos="1260"/>
        <w:tab w:val="right" w:leader="dot" w:pos="8630"/>
      </w:tabs>
      <w:ind w:left="840" w:leftChars="400"/>
    </w:pPr>
  </w:style>
  <w:style w:type="paragraph" w:styleId="12">
    <w:name w:val="Plain Text"/>
    <w:basedOn w:val="1"/>
    <w:link w:val="30"/>
    <w:qFormat/>
    <w:uiPriority w:val="0"/>
    <w:rPr>
      <w:rFonts w:ascii="宋体" w:hAnsi="Courier New"/>
      <w:szCs w:val="20"/>
    </w:rPr>
  </w:style>
  <w:style w:type="paragraph" w:styleId="13">
    <w:name w:val="toc 8"/>
    <w:basedOn w:val="1"/>
    <w:next w:val="1"/>
    <w:unhideWhenUsed/>
    <w:qFormat/>
    <w:uiPriority w:val="39"/>
    <w:pPr>
      <w:ind w:left="2940" w:leftChars="1400"/>
    </w:pPr>
    <w:rPr>
      <w:rFonts w:asciiTheme="minorHAnsi" w:hAnsiTheme="minorHAnsi" w:eastAsiaTheme="minorEastAsia" w:cstheme="minorBidi"/>
      <w:szCs w:val="22"/>
    </w:rPr>
  </w:style>
  <w:style w:type="paragraph" w:styleId="14">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39"/>
  </w:style>
  <w:style w:type="paragraph" w:styleId="17">
    <w:name w:val="toc 4"/>
    <w:basedOn w:val="1"/>
    <w:next w:val="1"/>
    <w:unhideWhenUsed/>
    <w:qFormat/>
    <w:uiPriority w:val="39"/>
    <w:pPr>
      <w:ind w:left="1260" w:leftChars="600"/>
    </w:pPr>
    <w:rPr>
      <w:rFonts w:asciiTheme="minorHAnsi" w:hAnsiTheme="minorHAnsi" w:eastAsiaTheme="minorEastAsia" w:cstheme="minorBidi"/>
      <w:szCs w:val="22"/>
    </w:rPr>
  </w:style>
  <w:style w:type="paragraph" w:styleId="18">
    <w:name w:val="toc 6"/>
    <w:basedOn w:val="1"/>
    <w:next w:val="1"/>
    <w:unhideWhenUsed/>
    <w:qFormat/>
    <w:uiPriority w:val="39"/>
    <w:pPr>
      <w:ind w:left="2100" w:leftChars="1000"/>
    </w:pPr>
    <w:rPr>
      <w:rFonts w:asciiTheme="minorHAnsi" w:hAnsiTheme="minorHAnsi" w:eastAsiaTheme="minorEastAsia" w:cstheme="minorBidi"/>
      <w:szCs w:val="22"/>
    </w:rPr>
  </w:style>
  <w:style w:type="paragraph" w:styleId="19">
    <w:name w:val="toc 2"/>
    <w:basedOn w:val="1"/>
    <w:next w:val="1"/>
    <w:qFormat/>
    <w:uiPriority w:val="39"/>
    <w:pPr>
      <w:ind w:left="420" w:leftChars="200"/>
    </w:pPr>
  </w:style>
  <w:style w:type="paragraph" w:styleId="20">
    <w:name w:val="toc 9"/>
    <w:basedOn w:val="1"/>
    <w:next w:val="1"/>
    <w:unhideWhenUsed/>
    <w:qFormat/>
    <w:uiPriority w:val="39"/>
    <w:pPr>
      <w:ind w:left="3360" w:leftChars="1600"/>
    </w:pPr>
    <w:rPr>
      <w:rFonts w:asciiTheme="minorHAnsi" w:hAnsiTheme="minorHAnsi" w:eastAsiaTheme="minorEastAsia" w:cstheme="minorBidi"/>
      <w:szCs w:val="22"/>
    </w:rPr>
  </w:style>
  <w:style w:type="paragraph" w:styleId="21">
    <w:name w:val="Body Text 2"/>
    <w:basedOn w:val="1"/>
    <w:next w:val="1"/>
    <w:qFormat/>
    <w:uiPriority w:val="0"/>
    <w:pPr>
      <w:spacing w:after="120" w:line="480" w:lineRule="auto"/>
    </w:pPr>
  </w:style>
  <w:style w:type="paragraph" w:styleId="22">
    <w:name w:val="Normal (Web)"/>
    <w:basedOn w:val="1"/>
    <w:next w:val="15"/>
    <w:qFormat/>
    <w:uiPriority w:val="0"/>
    <w:pPr>
      <w:spacing w:before="100" w:beforeAutospacing="1" w:after="100" w:afterAutospacing="1"/>
      <w:jc w:val="left"/>
    </w:pPr>
    <w:rPr>
      <w:kern w:val="0"/>
      <w:sz w:val="24"/>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page number"/>
    <w:basedOn w:val="25"/>
    <w:qFormat/>
    <w:uiPriority w:val="0"/>
  </w:style>
  <w:style w:type="character" w:styleId="27">
    <w:name w:val="Hyperlink"/>
    <w:basedOn w:val="25"/>
    <w:qFormat/>
    <w:uiPriority w:val="99"/>
    <w:rPr>
      <w:color w:val="333333"/>
      <w:u w:val="none"/>
    </w:rPr>
  </w:style>
  <w:style w:type="character" w:customStyle="1" w:styleId="28">
    <w:name w:val="fontstyle01"/>
    <w:qFormat/>
    <w:uiPriority w:val="0"/>
    <w:rPr>
      <w:rFonts w:hint="eastAsia" w:ascii="宋体" w:hAnsi="宋体" w:eastAsia="宋体"/>
      <w:color w:val="000000"/>
      <w:sz w:val="22"/>
      <w:szCs w:val="22"/>
    </w:rPr>
  </w:style>
  <w:style w:type="character" w:customStyle="1" w:styleId="29">
    <w:name w:val="正文文本 Char"/>
    <w:link w:val="9"/>
    <w:qFormat/>
    <w:uiPriority w:val="0"/>
    <w:rPr>
      <w:rFonts w:ascii="宋体" w:hAnsi="宋体"/>
      <w:kern w:val="2"/>
      <w:sz w:val="24"/>
      <w:szCs w:val="24"/>
    </w:rPr>
  </w:style>
  <w:style w:type="character" w:customStyle="1" w:styleId="30">
    <w:name w:val="纯文本 Char"/>
    <w:link w:val="12"/>
    <w:qFormat/>
    <w:uiPriority w:val="0"/>
    <w:rPr>
      <w:rFonts w:ascii="宋体" w:hAnsi="Courier New"/>
      <w:kern w:val="2"/>
      <w:sz w:val="21"/>
    </w:rPr>
  </w:style>
  <w:style w:type="character" w:customStyle="1" w:styleId="31">
    <w:name w:val="正文缩进 Char1"/>
    <w:link w:val="32"/>
    <w:qFormat/>
    <w:uiPriority w:val="0"/>
    <w:rPr>
      <w:rFonts w:ascii="宋体"/>
      <w:sz w:val="24"/>
    </w:rPr>
  </w:style>
  <w:style w:type="paragraph" w:customStyle="1" w:styleId="32">
    <w:name w:val="正文缩进1"/>
    <w:basedOn w:val="1"/>
    <w:link w:val="31"/>
    <w:qFormat/>
    <w:uiPriority w:val="0"/>
    <w:pPr>
      <w:autoSpaceDE w:val="0"/>
      <w:autoSpaceDN w:val="0"/>
      <w:adjustRightInd w:val="0"/>
      <w:ind w:firstLine="420"/>
      <w:jc w:val="left"/>
    </w:pPr>
    <w:rPr>
      <w:rFonts w:ascii="宋体"/>
      <w:kern w:val="0"/>
      <w:sz w:val="24"/>
      <w:szCs w:val="20"/>
    </w:rPr>
  </w:style>
  <w:style w:type="character" w:customStyle="1" w:styleId="33">
    <w:name w:val="标题 1 Char"/>
    <w:link w:val="3"/>
    <w:qFormat/>
    <w:uiPriority w:val="0"/>
    <w:rPr>
      <w:rFonts w:ascii="宋体"/>
      <w:b/>
      <w:kern w:val="44"/>
      <w:sz w:val="32"/>
    </w:rPr>
  </w:style>
  <w:style w:type="character" w:customStyle="1" w:styleId="34">
    <w:name w:val="标题 4 Char"/>
    <w:basedOn w:val="25"/>
    <w:link w:val="6"/>
    <w:qFormat/>
    <w:uiPriority w:val="99"/>
    <w:rPr>
      <w:rFonts w:ascii="Cambria" w:hAnsi="Cambria" w:cs="Cambria"/>
      <w:b/>
      <w:bCs/>
      <w:kern w:val="2"/>
      <w:sz w:val="28"/>
      <w:szCs w:val="28"/>
    </w:rPr>
  </w:style>
  <w:style w:type="paragraph" w:customStyle="1" w:styleId="35">
    <w:name w:val="_Style 34"/>
    <w:basedOn w:val="1"/>
    <w:next w:val="36"/>
    <w:qFormat/>
    <w:uiPriority w:val="34"/>
    <w:pPr>
      <w:widowControl/>
      <w:ind w:firstLine="420" w:firstLineChars="200"/>
      <w:jc w:val="left"/>
    </w:pPr>
    <w:rPr>
      <w:rFonts w:ascii="Times New Roman" w:hAnsi="Times New Roman"/>
      <w:kern w:val="0"/>
      <w:sz w:val="24"/>
    </w:rPr>
  </w:style>
  <w:style w:type="paragraph" w:styleId="36">
    <w:name w:val="List Paragraph"/>
    <w:basedOn w:val="1"/>
    <w:next w:val="1"/>
    <w:qFormat/>
    <w:uiPriority w:val="34"/>
    <w:pPr>
      <w:widowControl/>
      <w:ind w:firstLine="420" w:firstLineChars="200"/>
      <w:jc w:val="left"/>
    </w:pPr>
    <w:rPr>
      <w:kern w:val="0"/>
      <w:sz w:val="24"/>
    </w:rPr>
  </w:style>
  <w:style w:type="paragraph" w:customStyle="1" w:styleId="37">
    <w:name w:val="纯文本1"/>
    <w:basedOn w:val="1"/>
    <w:qFormat/>
    <w:uiPriority w:val="0"/>
    <w:rPr>
      <w:rFonts w:ascii="宋体" w:hAnsi="Courier New"/>
    </w:rPr>
  </w:style>
  <w:style w:type="paragraph" w:customStyle="1" w:styleId="38">
    <w:name w:val="_Style 35"/>
    <w:basedOn w:val="1"/>
    <w:next w:val="36"/>
    <w:qFormat/>
    <w:uiPriority w:val="34"/>
    <w:pPr>
      <w:widowControl/>
      <w:ind w:firstLine="420" w:firstLineChars="200"/>
      <w:jc w:val="left"/>
    </w:pPr>
    <w:rPr>
      <w:rFonts w:ascii="Times New Roman" w:hAnsi="Times New Roman"/>
      <w:kern w:val="0"/>
      <w:sz w:val="24"/>
    </w:rPr>
  </w:style>
  <w:style w:type="character" w:customStyle="1" w:styleId="39">
    <w:name w:val="font21"/>
    <w:basedOn w:val="25"/>
    <w:qFormat/>
    <w:uiPriority w:val="0"/>
    <w:rPr>
      <w:rFonts w:hint="default" w:ascii="Calibri" w:hAnsi="Calibri" w:cs="Calibri"/>
      <w:color w:val="000000"/>
      <w:sz w:val="21"/>
      <w:szCs w:val="21"/>
      <w:u w:val="none"/>
    </w:rPr>
  </w:style>
  <w:style w:type="character" w:customStyle="1" w:styleId="40">
    <w:name w:val="font11"/>
    <w:basedOn w:val="25"/>
    <w:qFormat/>
    <w:uiPriority w:val="0"/>
    <w:rPr>
      <w:rFonts w:ascii="宋体-简" w:hAnsi="宋体-简" w:eastAsia="宋体-简" w:cs="宋体-简"/>
      <w:color w:val="000000"/>
      <w:sz w:val="21"/>
      <w:szCs w:val="21"/>
      <w:u w:val="none"/>
    </w:rPr>
  </w:style>
  <w:style w:type="character" w:customStyle="1" w:styleId="41">
    <w:name w:val="font51"/>
    <w:basedOn w:val="25"/>
    <w:qFormat/>
    <w:uiPriority w:val="0"/>
    <w:rPr>
      <w:rFonts w:hint="eastAsia" w:ascii="宋体" w:hAnsi="宋体" w:eastAsia="宋体" w:cs="宋体"/>
      <w:color w:val="000000"/>
      <w:sz w:val="21"/>
      <w:szCs w:val="21"/>
      <w:u w:val="none"/>
    </w:rPr>
  </w:style>
  <w:style w:type="paragraph" w:customStyle="1" w:styleId="42">
    <w:name w:val="正文格式"/>
    <w:basedOn w:val="9"/>
    <w:qFormat/>
    <w:uiPriority w:val="0"/>
    <w:pPr>
      <w:widowControl/>
      <w:adjustRightInd w:val="0"/>
      <w:snapToGrid w:val="0"/>
      <w:spacing w:line="400" w:lineRule="atLeast"/>
      <w:ind w:firstLine="482"/>
      <w:textAlignment w:val="baseline"/>
    </w:pPr>
    <w:rPr>
      <w:rFonts w:ascii="Times New Roman" w:hAnsi="Times New Roman"/>
      <w:kern w:val="0"/>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1029"/>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66</Pages>
  <Words>28871</Words>
  <Characters>31128</Characters>
  <Lines>249</Lines>
  <Paragraphs>70</Paragraphs>
  <TotalTime>0</TotalTime>
  <ScaleCrop>false</ScaleCrop>
  <LinksUpToDate>false</LinksUpToDate>
  <CharactersWithSpaces>33146</CharactersWithSpaces>
  <Application>WPS Office_11.1.0.12302_F1E327BC-269C-435d-A152-05C5408002CA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NTKO</cp:lastModifiedBy>
  <cp:lastPrinted>2022-08-01T00:36:00Z</cp:lastPrinted>
  <dcterms:modified xsi:type="dcterms:W3CDTF">2022-08-16T08:18:54Z</dcterms:modified>
  <cp:revision>105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2052-11.1.0.12302</vt:lpwstr>
  </property>
  <property fmtid="{D5CDD505-2E9C-101B-9397-08002B2CF9AE}" pid="3" name="ICV">
    <vt:lpwstr>8AA85EE772BA4B7BBF89E62B3677D808</vt:lpwstr>
  </property>
</Properties>
</file>