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ind w:left="1080" w:leftChars="257" w:hanging="540"/>
        <w:jc w:val="center"/>
        <w:rPr>
          <w:rFonts w:ascii="宋体" w:hAnsi="宋体" w:cs="宋体"/>
          <w:b/>
          <w:sz w:val="52"/>
          <w:szCs w:val="52"/>
        </w:rPr>
      </w:pPr>
    </w:p>
    <w:p>
      <w:pPr>
        <w:spacing w:line="560" w:lineRule="exact"/>
        <w:ind w:left="1080" w:leftChars="257" w:hanging="540"/>
        <w:jc w:val="center"/>
        <w:rPr>
          <w:rFonts w:ascii="宋体" w:hAnsi="宋体" w:cs="宋体"/>
          <w:b/>
          <w:sz w:val="52"/>
          <w:szCs w:val="52"/>
        </w:rPr>
      </w:pPr>
    </w:p>
    <w:p>
      <w:pPr>
        <w:spacing w:line="560" w:lineRule="exact"/>
        <w:ind w:left="1080" w:leftChars="257" w:hanging="540"/>
        <w:jc w:val="center"/>
        <w:rPr>
          <w:rFonts w:ascii="宋体" w:hAnsi="宋体" w:cs="宋体"/>
          <w:b/>
          <w:sz w:val="52"/>
          <w:szCs w:val="52"/>
        </w:rPr>
      </w:pPr>
    </w:p>
    <w:p>
      <w:pPr>
        <w:ind w:left="1080" w:hanging="540"/>
        <w:jc w:val="center"/>
        <w:outlineLvl w:val="0"/>
        <w:rPr>
          <w:rFonts w:ascii="宋体" w:hAnsi="宋体" w:cs="宋体"/>
          <w:sz w:val="52"/>
        </w:rPr>
      </w:pPr>
      <w:bookmarkStart w:id="0" w:name="_Toc9356"/>
      <w:bookmarkStart w:id="1" w:name="_Toc32128"/>
      <w:bookmarkStart w:id="2" w:name="_Toc32443"/>
      <w:bookmarkStart w:id="3" w:name="_Toc12780"/>
      <w:r>
        <w:rPr>
          <w:rFonts w:hint="eastAsia" w:ascii="宋体" w:hAnsi="宋体" w:cs="宋体"/>
          <w:sz w:val="52"/>
        </w:rPr>
        <w:t>竞争性谈判文件</w:t>
      </w:r>
      <w:bookmarkEnd w:id="0"/>
      <w:bookmarkEnd w:id="1"/>
      <w:bookmarkEnd w:id="2"/>
      <w:bookmarkEnd w:id="3"/>
    </w:p>
    <w:p>
      <w:pPr>
        <w:ind w:left="1080" w:hanging="540"/>
        <w:jc w:val="center"/>
        <w:outlineLvl w:val="0"/>
        <w:rPr>
          <w:rFonts w:ascii="宋体" w:hAnsi="宋体" w:cs="宋体"/>
          <w:b/>
          <w:sz w:val="36"/>
        </w:rPr>
      </w:pPr>
    </w:p>
    <w:p>
      <w:pPr>
        <w:ind w:left="1080" w:hanging="540"/>
        <w:jc w:val="center"/>
        <w:outlineLvl w:val="0"/>
        <w:rPr>
          <w:rFonts w:ascii="宋体" w:hAnsi="宋体" w:cs="宋体"/>
          <w:sz w:val="36"/>
        </w:rPr>
      </w:pPr>
      <w:bookmarkStart w:id="4" w:name="_Toc25268"/>
      <w:bookmarkStart w:id="5" w:name="_Toc7093"/>
      <w:bookmarkStart w:id="6" w:name="_Toc31366"/>
      <w:bookmarkStart w:id="7" w:name="_Toc20325"/>
      <w:r>
        <w:rPr>
          <w:rFonts w:hint="eastAsia" w:ascii="宋体" w:hAnsi="宋体" w:cs="宋体"/>
          <w:b/>
          <w:sz w:val="36"/>
        </w:rPr>
        <w:t>（货物</w:t>
      </w:r>
      <w:r>
        <w:rPr>
          <w:rFonts w:ascii="宋体" w:hAnsi="宋体" w:cs="宋体"/>
          <w:b/>
          <w:sz w:val="36"/>
        </w:rPr>
        <w:t>类</w:t>
      </w:r>
      <w:r>
        <w:rPr>
          <w:rFonts w:hint="eastAsia" w:ascii="宋体" w:hAnsi="宋体" w:cs="宋体"/>
          <w:b/>
          <w:sz w:val="36"/>
        </w:rPr>
        <w:t>）</w:t>
      </w:r>
      <w:bookmarkEnd w:id="4"/>
      <w:bookmarkEnd w:id="5"/>
      <w:bookmarkEnd w:id="6"/>
      <w:bookmarkEnd w:id="7"/>
    </w:p>
    <w:p>
      <w:pPr>
        <w:ind w:left="1080" w:hanging="540"/>
        <w:jc w:val="center"/>
        <w:rPr>
          <w:rFonts w:ascii="宋体" w:hAnsi="宋体" w:cs="宋体"/>
          <w:sz w:val="32"/>
        </w:rPr>
      </w:pPr>
    </w:p>
    <w:p>
      <w:pPr>
        <w:ind w:left="1080" w:hanging="540"/>
        <w:jc w:val="center"/>
        <w:rPr>
          <w:rFonts w:ascii="宋体" w:hAnsi="宋体" w:cs="宋体"/>
          <w:b/>
          <w:sz w:val="32"/>
        </w:rPr>
      </w:pPr>
    </w:p>
    <w:p>
      <w:pPr>
        <w:ind w:left="1080" w:hanging="540"/>
        <w:jc w:val="center"/>
        <w:rPr>
          <w:rFonts w:ascii="宋体" w:hAnsi="宋体" w:cs="宋体"/>
          <w:b/>
          <w:sz w:val="32"/>
        </w:rPr>
      </w:pPr>
    </w:p>
    <w:p>
      <w:pPr>
        <w:pStyle w:val="5"/>
      </w:pPr>
    </w:p>
    <w:p>
      <w:pPr>
        <w:ind w:left="1080" w:hanging="540"/>
        <w:jc w:val="center"/>
        <w:rPr>
          <w:rFonts w:ascii="宋体" w:hAnsi="宋体" w:cs="宋体"/>
          <w:b/>
          <w:sz w:val="32"/>
        </w:rPr>
      </w:pPr>
    </w:p>
    <w:p>
      <w:pPr>
        <w:ind w:left="1080" w:hanging="540"/>
        <w:rPr>
          <w:rFonts w:ascii="宋体" w:hAnsi="宋体" w:cs="宋体"/>
          <w:b/>
          <w:sz w:val="28"/>
        </w:rPr>
      </w:pPr>
    </w:p>
    <w:p>
      <w:pPr>
        <w:ind w:left="1080" w:hanging="540"/>
        <w:jc w:val="center"/>
        <w:rPr>
          <w:rFonts w:ascii="宋体" w:hAnsi="宋体" w:cs="宋体"/>
          <w:b/>
          <w:sz w:val="52"/>
        </w:rPr>
      </w:pPr>
    </w:p>
    <w:p>
      <w:pPr>
        <w:spacing w:line="360" w:lineRule="auto"/>
        <w:ind w:left="645" w:firstLine="904"/>
        <w:jc w:val="left"/>
        <w:outlineLvl w:val="0"/>
        <w:rPr>
          <w:rFonts w:ascii="宋体" w:hAnsi="宋体" w:cs="宋体"/>
          <w:b/>
          <w:sz w:val="30"/>
        </w:rPr>
      </w:pPr>
      <w:bookmarkStart w:id="8" w:name="_Toc6973"/>
      <w:bookmarkStart w:id="9" w:name="_Toc20265"/>
      <w:bookmarkStart w:id="10" w:name="_Toc22031"/>
      <w:bookmarkStart w:id="11" w:name="_Toc7159"/>
      <w:r>
        <w:rPr>
          <w:rFonts w:ascii="宋体" w:hAnsi="宋体" w:cs="宋体"/>
          <w:b/>
          <w:sz w:val="30"/>
        </w:rPr>
        <w:t>项目编号：</w:t>
      </w:r>
      <w:bookmarkEnd w:id="8"/>
      <w:bookmarkEnd w:id="9"/>
      <w:bookmarkEnd w:id="10"/>
      <w:bookmarkEnd w:id="11"/>
      <w:r>
        <w:rPr>
          <w:rFonts w:hint="eastAsia" w:ascii="宋体" w:hAnsi="宋体" w:cs="宋体"/>
          <w:b/>
          <w:sz w:val="30"/>
        </w:rPr>
        <w:t>SDGP370300000202202000552</w:t>
      </w:r>
    </w:p>
    <w:p>
      <w:pPr>
        <w:spacing w:line="360" w:lineRule="auto"/>
        <w:ind w:left="645" w:firstLine="904"/>
        <w:jc w:val="left"/>
        <w:outlineLvl w:val="0"/>
        <w:rPr>
          <w:rFonts w:ascii="宋体" w:hAnsi="宋体" w:cs="宋体"/>
          <w:b/>
          <w:sz w:val="30"/>
          <w:u w:val="single"/>
        </w:rPr>
      </w:pPr>
      <w:bookmarkStart w:id="12" w:name="_Toc30792"/>
      <w:bookmarkStart w:id="13" w:name="_Toc22769"/>
      <w:bookmarkStart w:id="14" w:name="_Toc18174"/>
      <w:bookmarkStart w:id="15" w:name="_Toc26433"/>
      <w:r>
        <w:rPr>
          <w:rFonts w:ascii="宋体" w:hAnsi="宋体" w:cs="宋体"/>
          <w:b/>
          <w:sz w:val="30"/>
        </w:rPr>
        <w:t>项目名称:</w:t>
      </w:r>
      <w:bookmarkEnd w:id="12"/>
      <w:bookmarkEnd w:id="13"/>
      <w:bookmarkEnd w:id="14"/>
      <w:bookmarkEnd w:id="15"/>
      <w:r>
        <w:rPr>
          <w:rFonts w:hint="eastAsia" w:ascii="宋体" w:hAnsi="宋体" w:cs="宋体"/>
          <w:b/>
          <w:sz w:val="30"/>
        </w:rPr>
        <w:t>淄博稷下实验学校功能室配备采购项目</w:t>
      </w:r>
    </w:p>
    <w:p>
      <w:pPr>
        <w:spacing w:line="360" w:lineRule="auto"/>
        <w:ind w:left="645" w:firstLine="904"/>
        <w:jc w:val="left"/>
        <w:outlineLvl w:val="0"/>
        <w:rPr>
          <w:rFonts w:ascii="宋体" w:hAnsi="宋体" w:cs="宋体"/>
          <w:b/>
          <w:sz w:val="30"/>
        </w:rPr>
      </w:pPr>
      <w:bookmarkStart w:id="16" w:name="_Toc21671"/>
      <w:bookmarkStart w:id="17" w:name="_Toc17964"/>
      <w:bookmarkStart w:id="18" w:name="_Toc31083"/>
      <w:bookmarkStart w:id="19" w:name="_Toc10595"/>
      <w:r>
        <w:rPr>
          <w:rFonts w:ascii="宋体" w:hAnsi="宋体" w:cs="宋体"/>
          <w:b/>
          <w:sz w:val="30"/>
        </w:rPr>
        <w:t>项目包号：</w:t>
      </w:r>
      <w:bookmarkEnd w:id="16"/>
      <w:bookmarkEnd w:id="17"/>
      <w:bookmarkEnd w:id="18"/>
      <w:bookmarkEnd w:id="19"/>
      <w:r>
        <w:rPr>
          <w:rFonts w:hint="eastAsia" w:ascii="宋体" w:hAnsi="宋体" w:cs="宋体"/>
          <w:b/>
          <w:sz w:val="30"/>
        </w:rPr>
        <w:t>A</w:t>
      </w:r>
    </w:p>
    <w:p>
      <w:pPr>
        <w:ind w:left="1080" w:hanging="540"/>
        <w:jc w:val="center"/>
        <w:rPr>
          <w:rFonts w:ascii="宋体" w:hAnsi="宋体" w:cs="宋体"/>
          <w:b/>
          <w:sz w:val="52"/>
        </w:rPr>
      </w:pPr>
    </w:p>
    <w:p>
      <w:pPr>
        <w:ind w:left="1080" w:hanging="540"/>
        <w:jc w:val="center"/>
        <w:rPr>
          <w:rFonts w:ascii="宋体" w:hAnsi="宋体" w:cs="宋体"/>
          <w:b/>
          <w:sz w:val="52"/>
        </w:rPr>
      </w:pPr>
    </w:p>
    <w:p>
      <w:pPr>
        <w:ind w:left="1080" w:hanging="540"/>
        <w:jc w:val="center"/>
        <w:rPr>
          <w:rFonts w:ascii="宋体" w:hAnsi="宋体" w:cs="宋体"/>
          <w:b/>
          <w:sz w:val="52"/>
        </w:rPr>
      </w:pPr>
    </w:p>
    <w:p>
      <w:pPr>
        <w:ind w:left="1080" w:hanging="540"/>
        <w:jc w:val="center"/>
        <w:rPr>
          <w:rFonts w:ascii="宋体" w:hAnsi="宋体" w:cs="宋体"/>
          <w:b/>
          <w:sz w:val="52"/>
        </w:rPr>
      </w:pPr>
    </w:p>
    <w:p>
      <w:pPr>
        <w:spacing w:line="360" w:lineRule="auto"/>
        <w:ind w:firstLine="1285" w:firstLineChars="400"/>
        <w:outlineLvl w:val="0"/>
        <w:rPr>
          <w:rFonts w:ascii="宋体" w:hAnsi="宋体" w:cs="宋体"/>
          <w:b/>
          <w:sz w:val="32"/>
        </w:rPr>
      </w:pPr>
      <w:bookmarkStart w:id="20" w:name="_Toc26843"/>
      <w:bookmarkStart w:id="21" w:name="_Toc14789"/>
      <w:bookmarkStart w:id="22" w:name="_Toc31905"/>
      <w:bookmarkStart w:id="23" w:name="_Toc7737"/>
      <w:r>
        <w:rPr>
          <w:rFonts w:ascii="宋体" w:hAnsi="宋体" w:cs="宋体"/>
          <w:b/>
          <w:sz w:val="32"/>
        </w:rPr>
        <w:t>采 购 人:</w:t>
      </w:r>
      <w:bookmarkEnd w:id="20"/>
      <w:bookmarkEnd w:id="21"/>
      <w:bookmarkEnd w:id="22"/>
      <w:bookmarkEnd w:id="23"/>
      <w:r>
        <w:rPr>
          <w:rFonts w:hint="eastAsia" w:ascii="宋体" w:hAnsi="宋体" w:cs="宋体"/>
          <w:b/>
          <w:sz w:val="32"/>
        </w:rPr>
        <w:t>淄博稷下实验学校</w:t>
      </w:r>
    </w:p>
    <w:p>
      <w:pPr>
        <w:spacing w:line="360" w:lineRule="auto"/>
        <w:ind w:firstLine="1285" w:firstLineChars="400"/>
        <w:outlineLvl w:val="0"/>
        <w:rPr>
          <w:rFonts w:ascii="宋体" w:hAnsi="宋体" w:cs="宋体"/>
          <w:b/>
        </w:rPr>
      </w:pPr>
      <w:bookmarkStart w:id="24" w:name="_Toc5710"/>
      <w:bookmarkStart w:id="25" w:name="_Toc9244"/>
      <w:bookmarkStart w:id="26" w:name="_Toc27022"/>
      <w:bookmarkStart w:id="27" w:name="_Toc23101"/>
      <w:r>
        <w:rPr>
          <w:rFonts w:ascii="宋体" w:hAnsi="宋体" w:cs="宋体"/>
          <w:b/>
          <w:sz w:val="32"/>
        </w:rPr>
        <w:t>采购代理机构：</w:t>
      </w:r>
      <w:bookmarkEnd w:id="24"/>
      <w:bookmarkEnd w:id="25"/>
      <w:bookmarkEnd w:id="26"/>
      <w:bookmarkEnd w:id="27"/>
      <w:r>
        <w:rPr>
          <w:rFonts w:hint="eastAsia" w:ascii="宋体" w:hAnsi="宋体" w:cs="宋体"/>
          <w:b/>
          <w:sz w:val="32"/>
        </w:rPr>
        <w:t>山东瀚广建设项目管理有限公司</w:t>
      </w:r>
    </w:p>
    <w:p>
      <w:pPr>
        <w:spacing w:line="360" w:lineRule="auto"/>
        <w:ind w:firstLine="1285" w:firstLineChars="400"/>
        <w:outlineLvl w:val="0"/>
        <w:rPr>
          <w:rFonts w:ascii="宋体" w:hAnsi="宋体" w:cs="宋体"/>
          <w:b/>
        </w:rPr>
      </w:pPr>
      <w:bookmarkStart w:id="28" w:name="_Toc25343"/>
      <w:bookmarkStart w:id="29" w:name="_Toc17364"/>
      <w:bookmarkStart w:id="30" w:name="_Toc24352"/>
      <w:bookmarkStart w:id="31" w:name="_Toc10109"/>
      <w:r>
        <w:rPr>
          <w:rFonts w:ascii="宋体" w:hAnsi="宋体" w:cs="宋体"/>
          <w:b/>
          <w:sz w:val="32"/>
        </w:rPr>
        <w:t>发 出 日 期</w:t>
      </w:r>
      <w:r>
        <w:rPr>
          <w:rFonts w:ascii="宋体" w:hAnsi="宋体" w:cs="宋体"/>
          <w:b/>
          <w:sz w:val="30"/>
        </w:rPr>
        <w:t>：</w:t>
      </w:r>
      <w:r>
        <w:rPr>
          <w:rFonts w:hint="eastAsia" w:ascii="宋体" w:hAnsi="宋体" w:cs="宋体"/>
          <w:b/>
          <w:sz w:val="30"/>
        </w:rPr>
        <w:t>2022</w:t>
      </w:r>
      <w:r>
        <w:rPr>
          <w:rFonts w:ascii="宋体" w:hAnsi="宋体" w:cs="宋体"/>
          <w:b/>
          <w:sz w:val="30"/>
        </w:rPr>
        <w:t>年</w:t>
      </w:r>
      <w:r>
        <w:rPr>
          <w:rFonts w:hint="eastAsia" w:ascii="宋体" w:hAnsi="宋体" w:cs="宋体"/>
          <w:b/>
          <w:sz w:val="30"/>
        </w:rPr>
        <w:t>8</w:t>
      </w:r>
      <w:r>
        <w:rPr>
          <w:rFonts w:ascii="宋体" w:hAnsi="宋体" w:cs="宋体"/>
          <w:b/>
          <w:sz w:val="30"/>
        </w:rPr>
        <w:t>月</w:t>
      </w:r>
      <w:bookmarkEnd w:id="28"/>
      <w:bookmarkEnd w:id="29"/>
      <w:bookmarkEnd w:id="30"/>
      <w:bookmarkEnd w:id="31"/>
    </w:p>
    <w:p>
      <w:pPr>
        <w:jc w:val="center"/>
        <w:rPr>
          <w:rFonts w:ascii="宋体" w:hAnsi="宋体" w:cstheme="minorBidi"/>
          <w:szCs w:val="22"/>
        </w:rPr>
        <w:sectPr>
          <w:footerReference r:id="rId3" w:type="default"/>
          <w:pgSz w:w="11920" w:h="16840"/>
          <w:pgMar w:top="1560" w:right="1580" w:bottom="280" w:left="1580" w:header="720" w:footer="720" w:gutter="0"/>
          <w:pgNumType w:start="1"/>
          <w:cols w:space="720" w:num="1"/>
        </w:sectPr>
      </w:pPr>
    </w:p>
    <w:p>
      <w:pPr>
        <w:spacing w:line="560" w:lineRule="exact"/>
        <w:jc w:val="center"/>
        <w:rPr>
          <w:rFonts w:ascii="宋体" w:hAnsi="宋体" w:cs="宋体"/>
          <w:b/>
          <w:sz w:val="24"/>
        </w:rPr>
      </w:pPr>
      <w:r>
        <w:rPr>
          <w:rFonts w:hint="eastAsia" w:ascii="宋体" w:hAnsi="宋体" w:cs="宋体"/>
          <w:b/>
          <w:sz w:val="32"/>
          <w:szCs w:val="32"/>
        </w:rPr>
        <w:t>目    录</w:t>
      </w:r>
    </w:p>
    <w:p>
      <w:pPr>
        <w:pStyle w:val="16"/>
        <w:tabs>
          <w:tab w:val="right" w:leader="dot" w:pos="8845"/>
        </w:tabs>
        <w:spacing w:line="560" w:lineRule="exact"/>
        <w:rPr>
          <w:rFonts w:ascii="宋体" w:hAnsi="宋体" w:cs="宋体"/>
          <w:sz w:val="24"/>
        </w:rPr>
      </w:pPr>
      <w:r>
        <w:rPr>
          <w:rFonts w:hint="eastAsia" w:ascii="宋体" w:hAnsi="宋体" w:cs="宋体"/>
          <w:kern w:val="0"/>
          <w:sz w:val="24"/>
        </w:rPr>
        <w:fldChar w:fldCharType="begin"/>
      </w:r>
      <w:r>
        <w:rPr>
          <w:rFonts w:hint="eastAsia" w:ascii="宋体" w:hAnsi="宋体" w:cs="宋体"/>
          <w:kern w:val="0"/>
          <w:sz w:val="24"/>
        </w:rPr>
        <w:instrText xml:space="preserve"> TOC \o "1-3" \h \z \u </w:instrText>
      </w:r>
      <w:r>
        <w:rPr>
          <w:rFonts w:hint="eastAsia" w:ascii="宋体" w:hAnsi="宋体" w:cs="宋体"/>
          <w:kern w:val="0"/>
          <w:sz w:val="24"/>
        </w:rPr>
        <w:fldChar w:fldCharType="separate"/>
      </w:r>
    </w:p>
    <w:p>
      <w:pPr>
        <w:pStyle w:val="16"/>
        <w:tabs>
          <w:tab w:val="right" w:leader="dot" w:pos="8845"/>
        </w:tabs>
        <w:spacing w:line="560" w:lineRule="exact"/>
        <w:rPr>
          <w:rFonts w:ascii="宋体" w:hAnsi="宋体" w:cs="宋体"/>
          <w:sz w:val="24"/>
        </w:rPr>
      </w:pPr>
      <w:r>
        <w:fldChar w:fldCharType="begin"/>
      </w:r>
      <w:r>
        <w:instrText xml:space="preserve"> HYPERLINK \l "_Toc4817" </w:instrText>
      </w:r>
      <w:r>
        <w:fldChar w:fldCharType="separate"/>
      </w:r>
      <w:r>
        <w:rPr>
          <w:rFonts w:hint="eastAsia" w:ascii="宋体" w:hAnsi="宋体" w:cs="宋体"/>
          <w:sz w:val="24"/>
        </w:rPr>
        <w:t>第一章  采购邀请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_Toc4817 </w:instrText>
      </w:r>
      <w:r>
        <w:rPr>
          <w:rFonts w:hint="eastAsia" w:ascii="宋体" w:hAnsi="宋体" w:cs="宋体"/>
          <w:sz w:val="24"/>
        </w:rPr>
        <w:fldChar w:fldCharType="separate"/>
      </w:r>
      <w:r>
        <w:rPr>
          <w:rFonts w:hint="eastAsia" w:ascii="宋体" w:hAnsi="宋体" w:cs="宋体"/>
          <w:sz w:val="24"/>
        </w:rPr>
        <w:t>1</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845"/>
        </w:tabs>
        <w:spacing w:line="560" w:lineRule="exact"/>
        <w:rPr>
          <w:rFonts w:ascii="宋体" w:hAnsi="宋体" w:cs="宋体"/>
          <w:sz w:val="24"/>
        </w:rPr>
      </w:pPr>
      <w:r>
        <w:fldChar w:fldCharType="begin"/>
      </w:r>
      <w:r>
        <w:instrText xml:space="preserve"> HYPERLINK \l "_Toc7473" </w:instrText>
      </w:r>
      <w:r>
        <w:fldChar w:fldCharType="separate"/>
      </w:r>
      <w:r>
        <w:rPr>
          <w:rFonts w:hint="eastAsia" w:ascii="宋体" w:hAnsi="宋体" w:cs="宋体"/>
          <w:sz w:val="24"/>
        </w:rPr>
        <w:t>第二章  供应商须知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_Toc7473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845"/>
        </w:tabs>
        <w:spacing w:line="560" w:lineRule="exact"/>
        <w:rPr>
          <w:rFonts w:ascii="宋体" w:hAnsi="宋体" w:cs="宋体"/>
          <w:sz w:val="24"/>
        </w:rPr>
      </w:pPr>
      <w:r>
        <w:fldChar w:fldCharType="begin"/>
      </w:r>
      <w:r>
        <w:instrText xml:space="preserve"> HYPERLINK \l "_Toc17976" </w:instrText>
      </w:r>
      <w:r>
        <w:fldChar w:fldCharType="separate"/>
      </w:r>
      <w:r>
        <w:rPr>
          <w:rFonts w:hint="eastAsia" w:ascii="宋体" w:hAnsi="宋体" w:cs="宋体"/>
          <w:sz w:val="24"/>
        </w:rPr>
        <w:t>第三章  货物需求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_Toc17976 </w:instrText>
      </w:r>
      <w:r>
        <w:rPr>
          <w:rFonts w:hint="eastAsia" w:ascii="宋体" w:hAnsi="宋体" w:cs="宋体"/>
          <w:sz w:val="24"/>
        </w:rPr>
        <w:fldChar w:fldCharType="separate"/>
      </w:r>
      <w:r>
        <w:rPr>
          <w:rFonts w:hint="eastAsia" w:ascii="宋体" w:hAnsi="宋体" w:cs="宋体"/>
          <w:sz w:val="24"/>
        </w:rPr>
        <w:t>35</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845"/>
        </w:tabs>
        <w:spacing w:line="560" w:lineRule="exact"/>
        <w:rPr>
          <w:rFonts w:ascii="宋体" w:hAnsi="宋体" w:cs="宋体"/>
          <w:sz w:val="24"/>
        </w:rPr>
      </w:pPr>
      <w:r>
        <w:fldChar w:fldCharType="begin"/>
      </w:r>
      <w:r>
        <w:instrText xml:space="preserve"> HYPERLINK \l "_Toc11322" </w:instrText>
      </w:r>
      <w:r>
        <w:fldChar w:fldCharType="separate"/>
      </w:r>
      <w:r>
        <w:rPr>
          <w:rFonts w:hint="eastAsia" w:ascii="宋体" w:hAnsi="宋体" w:cs="宋体"/>
          <w:sz w:val="24"/>
        </w:rPr>
        <w:t>第四章  评审方法和标准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_Toc11322 </w:instrText>
      </w:r>
      <w:r>
        <w:rPr>
          <w:rFonts w:hint="eastAsia" w:ascii="宋体" w:hAnsi="宋体" w:cs="宋体"/>
          <w:sz w:val="24"/>
        </w:rPr>
        <w:fldChar w:fldCharType="separate"/>
      </w:r>
      <w:r>
        <w:rPr>
          <w:rFonts w:hint="eastAsia" w:ascii="宋体" w:hAnsi="宋体" w:cs="宋体"/>
          <w:sz w:val="24"/>
        </w:rPr>
        <w:t>48</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845"/>
        </w:tabs>
        <w:spacing w:line="560" w:lineRule="exact"/>
        <w:rPr>
          <w:rFonts w:ascii="宋体" w:hAnsi="宋体" w:cs="宋体"/>
          <w:sz w:val="24"/>
        </w:rPr>
      </w:pPr>
      <w:r>
        <w:fldChar w:fldCharType="begin"/>
      </w:r>
      <w:r>
        <w:instrText xml:space="preserve"> HYPERLINK \l "_Toc19807" </w:instrText>
      </w:r>
      <w:r>
        <w:fldChar w:fldCharType="separate"/>
      </w:r>
      <w:r>
        <w:rPr>
          <w:rFonts w:hint="eastAsia" w:ascii="宋体" w:hAnsi="宋体" w:cs="宋体"/>
          <w:sz w:val="24"/>
        </w:rPr>
        <w:t>第五章 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_Toc19807 </w:instrText>
      </w:r>
      <w:r>
        <w:rPr>
          <w:rFonts w:hint="eastAsia" w:ascii="宋体" w:hAnsi="宋体" w:cs="宋体"/>
          <w:sz w:val="24"/>
        </w:rPr>
        <w:fldChar w:fldCharType="separate"/>
      </w:r>
      <w:r>
        <w:rPr>
          <w:rFonts w:hint="eastAsia" w:ascii="宋体" w:hAnsi="宋体" w:cs="宋体"/>
          <w:sz w:val="24"/>
        </w:rPr>
        <w:t>53</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845"/>
        </w:tabs>
        <w:spacing w:line="560" w:lineRule="exact"/>
        <w:rPr>
          <w:rFonts w:ascii="宋体" w:hAnsi="宋体" w:cs="宋体"/>
          <w:sz w:val="24"/>
        </w:rPr>
      </w:pPr>
      <w:r>
        <w:fldChar w:fldCharType="begin"/>
      </w:r>
      <w:r>
        <w:instrText xml:space="preserve"> HYPERLINK \l "_Toc31576" </w:instrText>
      </w:r>
      <w:r>
        <w:fldChar w:fldCharType="separate"/>
      </w:r>
      <w:r>
        <w:rPr>
          <w:rFonts w:hint="eastAsia" w:ascii="宋体" w:hAnsi="宋体" w:cs="宋体"/>
          <w:sz w:val="24"/>
        </w:rPr>
        <w:t>第六章 政府采购合同格式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_Toc31576 </w:instrText>
      </w:r>
      <w:r>
        <w:rPr>
          <w:rFonts w:hint="eastAsia" w:ascii="宋体" w:hAnsi="宋体" w:cs="宋体"/>
          <w:sz w:val="24"/>
        </w:rPr>
        <w:fldChar w:fldCharType="separate"/>
      </w:r>
      <w:r>
        <w:rPr>
          <w:rFonts w:hint="eastAsia" w:ascii="宋体" w:hAnsi="宋体" w:cs="宋体"/>
          <w:sz w:val="24"/>
        </w:rPr>
        <w:t>69</w:t>
      </w:r>
      <w:r>
        <w:rPr>
          <w:rFonts w:hint="eastAsia" w:ascii="宋体" w:hAnsi="宋体" w:cs="宋体"/>
          <w:sz w:val="24"/>
        </w:rPr>
        <w:fldChar w:fldCharType="end"/>
      </w:r>
      <w:r>
        <w:rPr>
          <w:rFonts w:hint="eastAsia" w:ascii="宋体" w:hAnsi="宋体" w:cs="宋体"/>
          <w:sz w:val="24"/>
        </w:rPr>
        <w:fldChar w:fldCharType="end"/>
      </w:r>
    </w:p>
    <w:p>
      <w:pPr>
        <w:spacing w:line="560" w:lineRule="exact"/>
        <w:rPr>
          <w:rFonts w:ascii="宋体" w:hAnsi="宋体" w:cs="宋体"/>
          <w:kern w:val="0"/>
          <w:sz w:val="24"/>
        </w:rPr>
      </w:pPr>
      <w:r>
        <w:rPr>
          <w:rFonts w:hint="eastAsia" w:ascii="宋体" w:hAnsi="宋体" w:cs="宋体"/>
          <w:kern w:val="0"/>
          <w:sz w:val="24"/>
        </w:rPr>
        <w:fldChar w:fldCharType="end"/>
      </w:r>
      <w:bookmarkStart w:id="32" w:name="_Toc17230"/>
      <w:bookmarkStart w:id="33" w:name="_Toc22782"/>
      <w:bookmarkStart w:id="34" w:name="_Toc216582804"/>
    </w:p>
    <w:p>
      <w:pPr>
        <w:spacing w:line="560" w:lineRule="exact"/>
        <w:rPr>
          <w:rFonts w:ascii="宋体" w:hAnsi="宋体" w:cs="宋体"/>
          <w:kern w:val="0"/>
          <w:sz w:val="24"/>
        </w:rPr>
      </w:pPr>
    </w:p>
    <w:p>
      <w:pPr>
        <w:pStyle w:val="5"/>
        <w:spacing w:line="560" w:lineRule="exact"/>
        <w:rPr>
          <w:rFonts w:hAnsi="宋体" w:cs="宋体"/>
          <w:szCs w:val="24"/>
        </w:rPr>
      </w:pPr>
    </w:p>
    <w:p>
      <w:pPr>
        <w:spacing w:line="560" w:lineRule="exact"/>
        <w:rPr>
          <w:rFonts w:ascii="宋体" w:hAnsi="宋体" w:cs="宋体"/>
          <w:kern w:val="0"/>
          <w:sz w:val="24"/>
        </w:rPr>
      </w:pPr>
    </w:p>
    <w:p>
      <w:pPr>
        <w:pStyle w:val="3"/>
        <w:tabs>
          <w:tab w:val="left" w:pos="0"/>
        </w:tabs>
        <w:spacing w:before="0" w:after="0" w:line="560" w:lineRule="exact"/>
        <w:rPr>
          <w:rFonts w:hAnsi="宋体" w:cs="宋体"/>
          <w:sz w:val="24"/>
          <w:szCs w:val="24"/>
        </w:rPr>
        <w:sectPr>
          <w:headerReference r:id="rId4" w:type="default"/>
          <w:footerReference r:id="rId6" w:type="default"/>
          <w:headerReference r:id="rId5" w:type="even"/>
          <w:footerReference r:id="rId7" w:type="even"/>
          <w:pgSz w:w="11906" w:h="16838"/>
          <w:pgMar w:top="2098" w:right="1474" w:bottom="1984" w:left="1587" w:header="851" w:footer="992" w:gutter="0"/>
          <w:cols w:space="0" w:num="1"/>
          <w:docGrid w:linePitch="312" w:charSpace="0"/>
        </w:sectPr>
      </w:pPr>
    </w:p>
    <w:p>
      <w:pPr>
        <w:pStyle w:val="3"/>
        <w:tabs>
          <w:tab w:val="left" w:pos="0"/>
        </w:tabs>
        <w:spacing w:before="0" w:after="0" w:line="560" w:lineRule="exact"/>
        <w:rPr>
          <w:rFonts w:hAnsi="宋体" w:cs="宋体"/>
        </w:rPr>
      </w:pPr>
      <w:bookmarkStart w:id="35" w:name="_Toc4817"/>
      <w:r>
        <w:rPr>
          <w:rFonts w:hint="eastAsia" w:hAnsi="宋体" w:cs="宋体"/>
        </w:rPr>
        <w:t xml:space="preserve">第一章  </w:t>
      </w:r>
      <w:bookmarkStart w:id="36" w:name="_Toc4766813"/>
      <w:r>
        <w:rPr>
          <w:rFonts w:hint="eastAsia" w:hAnsi="宋体" w:cs="宋体"/>
        </w:rPr>
        <w:t>采购邀请</w:t>
      </w:r>
      <w:bookmarkEnd w:id="35"/>
      <w:bookmarkEnd w:id="36"/>
    </w:p>
    <w:p>
      <w:pPr>
        <w:spacing w:line="560" w:lineRule="exact"/>
        <w:rPr>
          <w:rFonts w:ascii="宋体" w:hAnsi="宋体" w:cs="宋体"/>
        </w:rPr>
      </w:pPr>
    </w:p>
    <w:p>
      <w:pPr>
        <w:pBdr>
          <w:top w:val="single" w:color="auto" w:sz="4" w:space="1"/>
          <w:left w:val="single" w:color="auto" w:sz="4" w:space="4"/>
          <w:bottom w:val="single" w:color="auto" w:sz="4" w:space="1"/>
          <w:right w:val="single" w:color="auto" w:sz="4" w:space="4"/>
        </w:pBdr>
        <w:spacing w:line="560" w:lineRule="exact"/>
        <w:rPr>
          <w:rFonts w:asciiTheme="majorEastAsia" w:hAnsiTheme="majorEastAsia" w:eastAsiaTheme="majorEastAsia" w:cstheme="majorEastAsia"/>
          <w:sz w:val="24"/>
        </w:rPr>
      </w:pPr>
      <w:bookmarkStart w:id="37" w:name="_Toc512937850"/>
      <w:r>
        <w:rPr>
          <w:rFonts w:hint="eastAsia" w:asciiTheme="majorEastAsia" w:hAnsiTheme="majorEastAsia" w:eastAsiaTheme="majorEastAsia" w:cstheme="majorEastAsia"/>
          <w:sz w:val="24"/>
        </w:rPr>
        <w:t>项目概况</w:t>
      </w:r>
    </w:p>
    <w:p>
      <w:pPr>
        <w:pBdr>
          <w:top w:val="single" w:color="auto" w:sz="4" w:space="1"/>
          <w:left w:val="single" w:color="auto" w:sz="4" w:space="4"/>
          <w:bottom w:val="single" w:color="auto" w:sz="4" w:space="1"/>
          <w:right w:val="single" w:color="auto" w:sz="4" w:space="4"/>
        </w:pBdr>
        <w:spacing w:line="56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u w:val="single"/>
        </w:rPr>
        <w:t>淄博稷下实验学校功能室配备采购项目</w:t>
      </w:r>
      <w:r>
        <w:rPr>
          <w:rFonts w:hint="eastAsia" w:asciiTheme="majorEastAsia" w:hAnsiTheme="majorEastAsia" w:eastAsiaTheme="majorEastAsia" w:cstheme="majorEastAsia"/>
          <w:sz w:val="24"/>
        </w:rPr>
        <w:t>项目的供应商应</w:t>
      </w:r>
      <w:r>
        <w:rPr>
          <w:rFonts w:hint="eastAsia" w:asciiTheme="majorEastAsia" w:hAnsiTheme="majorEastAsia" w:eastAsiaTheme="majorEastAsia" w:cstheme="majorEastAsia"/>
          <w:b/>
          <w:bCs/>
          <w:sz w:val="24"/>
        </w:rPr>
        <w:t>登录淄博市公共资源交易平台</w:t>
      </w:r>
      <w:r>
        <w:rPr>
          <w:rFonts w:asciiTheme="majorEastAsia" w:hAnsiTheme="majorEastAsia" w:eastAsiaTheme="majorEastAsia" w:cstheme="majorEastAsia"/>
          <w:b/>
          <w:bCs/>
          <w:sz w:val="24"/>
        </w:rPr>
        <w:t>系统</w:t>
      </w:r>
      <w:r>
        <w:rPr>
          <w:rFonts w:hint="eastAsia" w:asciiTheme="majorEastAsia" w:hAnsiTheme="majorEastAsia" w:eastAsiaTheme="majorEastAsia" w:cstheme="majorEastAsia"/>
          <w:sz w:val="24"/>
        </w:rPr>
        <w:t>获取采购文件，并于</w:t>
      </w:r>
      <w:r>
        <w:rPr>
          <w:rFonts w:hint="eastAsia" w:asciiTheme="majorEastAsia" w:hAnsiTheme="majorEastAsia" w:eastAsiaTheme="majorEastAsia" w:cstheme="majorEastAsia"/>
          <w:sz w:val="24"/>
          <w:u w:val="single"/>
        </w:rPr>
        <w:t>2022</w:t>
      </w:r>
      <w:r>
        <w:rPr>
          <w:rFonts w:hint="eastAsia" w:asciiTheme="majorEastAsia" w:hAnsiTheme="majorEastAsia" w:eastAsiaTheme="majorEastAsia" w:cstheme="majorEastAsia"/>
          <w:bCs/>
          <w:sz w:val="24"/>
          <w:u w:val="single"/>
        </w:rPr>
        <w:t>年8月</w:t>
      </w:r>
      <w:r>
        <w:rPr>
          <w:rFonts w:hint="eastAsia" w:asciiTheme="majorEastAsia" w:hAnsiTheme="majorEastAsia" w:eastAsiaTheme="majorEastAsia" w:cstheme="majorEastAsia"/>
          <w:bCs/>
          <w:sz w:val="24"/>
          <w:u w:val="single"/>
          <w:lang w:val="en-US" w:eastAsia="zh-CN"/>
        </w:rPr>
        <w:t>15</w:t>
      </w:r>
      <w:r>
        <w:rPr>
          <w:rFonts w:hint="eastAsia" w:asciiTheme="majorEastAsia" w:hAnsiTheme="majorEastAsia" w:eastAsiaTheme="majorEastAsia" w:cstheme="majorEastAsia"/>
          <w:bCs/>
          <w:sz w:val="24"/>
          <w:u w:val="single"/>
        </w:rPr>
        <w:t>日</w:t>
      </w:r>
      <w:r>
        <w:rPr>
          <w:rFonts w:hint="eastAsia" w:asciiTheme="majorEastAsia" w:hAnsiTheme="majorEastAsia" w:eastAsiaTheme="majorEastAsia" w:cstheme="majorEastAsia"/>
          <w:bCs/>
          <w:sz w:val="24"/>
          <w:u w:val="single"/>
          <w:lang w:val="en-US" w:eastAsia="zh-CN"/>
        </w:rPr>
        <w:t>9</w:t>
      </w:r>
      <w:r>
        <w:rPr>
          <w:rFonts w:hint="eastAsia" w:asciiTheme="majorEastAsia" w:hAnsiTheme="majorEastAsia" w:eastAsiaTheme="majorEastAsia" w:cstheme="majorEastAsia"/>
          <w:bCs/>
          <w:sz w:val="24"/>
          <w:u w:val="single"/>
        </w:rPr>
        <w:t>点</w:t>
      </w:r>
      <w:r>
        <w:rPr>
          <w:rFonts w:hint="eastAsia" w:asciiTheme="majorEastAsia" w:hAnsiTheme="majorEastAsia" w:eastAsiaTheme="majorEastAsia" w:cstheme="majorEastAsia"/>
          <w:bCs/>
          <w:sz w:val="24"/>
          <w:u w:val="single"/>
          <w:lang w:val="en-US" w:eastAsia="zh-CN"/>
        </w:rPr>
        <w:t>00</w:t>
      </w:r>
      <w:r>
        <w:rPr>
          <w:rFonts w:hint="eastAsia" w:asciiTheme="majorEastAsia" w:hAnsiTheme="majorEastAsia" w:eastAsiaTheme="majorEastAsia" w:cstheme="majorEastAsia"/>
          <w:bCs/>
          <w:sz w:val="24"/>
          <w:u w:val="single"/>
        </w:rPr>
        <w:t>分</w:t>
      </w:r>
      <w:r>
        <w:rPr>
          <w:rFonts w:hint="eastAsia" w:asciiTheme="majorEastAsia" w:hAnsiTheme="majorEastAsia" w:eastAsiaTheme="majorEastAsia" w:cstheme="majorEastAsia"/>
          <w:bCs/>
          <w:sz w:val="24"/>
        </w:rPr>
        <w:t>（北京时间）前提交响应文件</w:t>
      </w:r>
      <w:r>
        <w:rPr>
          <w:rFonts w:hint="eastAsia" w:asciiTheme="majorEastAsia" w:hAnsiTheme="majorEastAsia" w:eastAsiaTheme="majorEastAsia" w:cstheme="majorEastAsia"/>
          <w:sz w:val="24"/>
        </w:rPr>
        <w:t>。</w:t>
      </w:r>
    </w:p>
    <w:p>
      <w:pPr>
        <w:pStyle w:val="4"/>
        <w:spacing w:line="560" w:lineRule="exact"/>
        <w:jc w:val="left"/>
        <w:rPr>
          <w:rFonts w:asciiTheme="majorEastAsia" w:hAnsiTheme="majorEastAsia" w:eastAsiaTheme="majorEastAsia" w:cstheme="majorEastAsia"/>
          <w:b w:val="0"/>
          <w:sz w:val="24"/>
          <w:szCs w:val="24"/>
        </w:rPr>
      </w:pPr>
      <w:bookmarkStart w:id="38" w:name="_Toc35393798"/>
      <w:bookmarkStart w:id="39" w:name="_Toc28359012"/>
      <w:bookmarkStart w:id="40" w:name="_Toc19605"/>
      <w:bookmarkStart w:id="41" w:name="_Toc35393629"/>
      <w:bookmarkStart w:id="42" w:name="_Toc28359089"/>
      <w:bookmarkStart w:id="43" w:name="_Toc29593"/>
      <w:r>
        <w:rPr>
          <w:rFonts w:hint="eastAsia" w:asciiTheme="majorEastAsia" w:hAnsiTheme="majorEastAsia" w:eastAsiaTheme="majorEastAsia" w:cstheme="majorEastAsia"/>
          <w:b w:val="0"/>
          <w:sz w:val="24"/>
          <w:szCs w:val="24"/>
        </w:rPr>
        <w:t>一、项目基本情况</w:t>
      </w:r>
      <w:bookmarkEnd w:id="38"/>
      <w:bookmarkEnd w:id="39"/>
      <w:bookmarkEnd w:id="40"/>
      <w:bookmarkEnd w:id="41"/>
      <w:bookmarkEnd w:id="42"/>
      <w:bookmarkEnd w:id="43"/>
    </w:p>
    <w:p>
      <w:pPr>
        <w:spacing w:line="56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项目编号：SDGP370300000202202000552</w:t>
      </w:r>
    </w:p>
    <w:p>
      <w:pPr>
        <w:spacing w:line="560" w:lineRule="exact"/>
        <w:ind w:firstLine="480" w:firstLineChars="200"/>
        <w:rPr>
          <w:rFonts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项目名称：淄博稷下实验学校功能室配备采购项目</w:t>
      </w:r>
    </w:p>
    <w:p>
      <w:pPr>
        <w:spacing w:line="56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采购方式：竞争性谈判</w:t>
      </w:r>
    </w:p>
    <w:p>
      <w:pPr>
        <w:spacing w:line="56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预算金额：52.2674万元</w:t>
      </w:r>
    </w:p>
    <w:p>
      <w:pPr>
        <w:spacing w:line="56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最高限价：52.2674万元</w:t>
      </w:r>
    </w:p>
    <w:p>
      <w:pPr>
        <w:spacing w:line="560" w:lineRule="exact"/>
        <w:ind w:firstLine="480" w:firstLineChars="20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rPr>
        <w:t>采购需求：1、本项目为淄博稷下实验学校功能室配备采购项目，主要包括多媒体讲台、实验桌、收纳柜、博古架、展示柜、办公桌、办公椅等设施采购。所报价格为完成本项目全部货物供货直至采购人验收合格可以正常使用的全部费用；2、质量要求：合格，达到国家及行业相关验收标准；3、供货地点：采购人指定地点；4、</w:t>
      </w:r>
      <w:r>
        <w:rPr>
          <w:rFonts w:hint="eastAsia" w:asciiTheme="majorEastAsia" w:hAnsiTheme="majorEastAsia" w:eastAsiaTheme="majorEastAsia" w:cstheme="majorEastAsia"/>
          <w:sz w:val="24"/>
          <w:highlight w:val="none"/>
        </w:rPr>
        <w:t>合同签订并接到采购人通知后20日内供货并安装调试完毕。货物须运至采购人指定的地点，且按要求安装到位后，经采购人验收合格后方可交货。由成交供应商自身原因造成的时间延误，由成交供应商负全部责任，如发现不合格产品或不符合合同质量要求等，采购人有权拒绝验收，由此导致的供货时间延误、费用的增加由成交供应商全部承担，造成的损失采购人保留索赔的权利；5、质保期：自验收合格之日起质保不低于2年，自验收合格之日起开始计算；6、质量要求：所有产品及零部件应是全新的、未使用过的，完全符合采购规定的质量、规格和性能的要求，且须保证其所出售的上述货物没有侵犯任何第三人的知识产权和商业秘密等权利，如采购人使用成交供应商货物构成上述侵权的，则由成交供应商承担全部责任。所供货物的生产、制造、安装等各项技术标准，应当符合国家（强制性）标准、各项规范要求；国家没有相应标准、规范的，可使用行业标准、规定；非标设备按招标约定的技术要求和规范，如因供应商包装不当以及其他原因造成损坏或丢失，应由供应商负责修复或补缺。如发现货物短缺、质次、损坏、产地和规格不符等问题，应作详细记录，由供应商立即无条件为采购人调换或补齐，同时由供应商承担因此而产生的一切后果。</w:t>
      </w:r>
    </w:p>
    <w:p>
      <w:pPr>
        <w:spacing w:line="560" w:lineRule="exact"/>
        <w:ind w:firstLine="480" w:firstLineChars="200"/>
        <w:rPr>
          <w:rFonts w:asciiTheme="majorEastAsia" w:hAnsiTheme="majorEastAsia" w:eastAsiaTheme="majorEastAsia" w:cstheme="majorEastAsia"/>
          <w:sz w:val="24"/>
          <w:u w:val="single"/>
        </w:rPr>
      </w:pPr>
      <w:r>
        <w:rPr>
          <w:rFonts w:hint="eastAsia" w:asciiTheme="majorEastAsia" w:hAnsiTheme="majorEastAsia" w:eastAsiaTheme="majorEastAsia" w:cstheme="majorEastAsia"/>
          <w:sz w:val="24"/>
          <w:highlight w:val="none"/>
        </w:rPr>
        <w:t>合同履行期限：自接到采购人通知之日起20日历天内供货安装调试完毕</w:t>
      </w:r>
      <w:r>
        <w:rPr>
          <w:rFonts w:hint="eastAsia" w:asciiTheme="majorEastAsia" w:hAnsiTheme="majorEastAsia" w:eastAsiaTheme="majorEastAsia" w:cstheme="majorEastAsia"/>
          <w:sz w:val="24"/>
        </w:rPr>
        <w:t>并验收合格（具体供货日期以采购人通知为准）。</w:t>
      </w:r>
    </w:p>
    <w:p>
      <w:pPr>
        <w:spacing w:line="56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本项目不接受联合体。</w:t>
      </w:r>
    </w:p>
    <w:p>
      <w:pPr>
        <w:pStyle w:val="4"/>
        <w:spacing w:line="560" w:lineRule="exact"/>
        <w:jc w:val="left"/>
        <w:rPr>
          <w:rFonts w:asciiTheme="majorEastAsia" w:hAnsiTheme="majorEastAsia" w:eastAsiaTheme="majorEastAsia" w:cstheme="majorEastAsia"/>
          <w:b w:val="0"/>
          <w:sz w:val="24"/>
          <w:szCs w:val="24"/>
        </w:rPr>
      </w:pPr>
      <w:bookmarkStart w:id="44" w:name="_Toc35393630"/>
      <w:bookmarkStart w:id="45" w:name="_Toc28359013"/>
      <w:bookmarkStart w:id="46" w:name="_Toc35393799"/>
      <w:bookmarkStart w:id="47" w:name="_Toc29526"/>
      <w:bookmarkStart w:id="48" w:name="_Toc28359090"/>
      <w:bookmarkStart w:id="49" w:name="_Toc29298"/>
      <w:r>
        <w:rPr>
          <w:rFonts w:hint="eastAsia" w:asciiTheme="majorEastAsia" w:hAnsiTheme="majorEastAsia" w:eastAsiaTheme="majorEastAsia" w:cstheme="majorEastAsia"/>
          <w:b w:val="0"/>
          <w:sz w:val="24"/>
          <w:szCs w:val="24"/>
        </w:rPr>
        <w:t>二、申请人的资格要求：</w:t>
      </w:r>
      <w:bookmarkEnd w:id="44"/>
      <w:bookmarkEnd w:id="45"/>
      <w:bookmarkEnd w:id="46"/>
      <w:bookmarkEnd w:id="47"/>
      <w:bookmarkEnd w:id="48"/>
      <w:bookmarkEnd w:id="49"/>
    </w:p>
    <w:p>
      <w:pPr>
        <w:spacing w:line="56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1.满足《中华人民共和国政府采购法》第二十二条规定；</w:t>
      </w:r>
    </w:p>
    <w:p>
      <w:pPr>
        <w:spacing w:line="560" w:lineRule="exact"/>
        <w:ind w:firstLine="480" w:firstLineChars="200"/>
        <w:rPr>
          <w:rFonts w:asciiTheme="majorEastAsia" w:hAnsiTheme="majorEastAsia" w:eastAsiaTheme="majorEastAsia" w:cstheme="majorEastAsia"/>
          <w:sz w:val="24"/>
        </w:rPr>
      </w:pPr>
      <w:bookmarkStart w:id="50" w:name="_Toc28359091"/>
      <w:bookmarkStart w:id="51" w:name="_Toc28359014"/>
      <w:r>
        <w:rPr>
          <w:rFonts w:hint="eastAsia" w:asciiTheme="majorEastAsia" w:hAnsiTheme="majorEastAsia" w:eastAsiaTheme="majorEastAsia" w:cstheme="majorEastAsia"/>
          <w:sz w:val="24"/>
        </w:rPr>
        <w:t>2.落实政府采购政策需满足的资格要求：</w:t>
      </w:r>
      <w:r>
        <w:rPr>
          <w:rFonts w:hint="eastAsia" w:asciiTheme="majorEastAsia" w:hAnsiTheme="majorEastAsia" w:eastAsiaTheme="majorEastAsia" w:cstheme="majorEastAsia"/>
          <w:sz w:val="24"/>
          <w:u w:val="single"/>
        </w:rPr>
        <w:t>谈判文件落实政府采购政采，包括支持节能环保、中小微企业、监狱企业、残疾人福利性单位等政府采购政策</w:t>
      </w:r>
      <w:r>
        <w:rPr>
          <w:rFonts w:hint="eastAsia" w:asciiTheme="majorEastAsia" w:hAnsiTheme="majorEastAsia" w:eastAsiaTheme="majorEastAsia" w:cstheme="majorEastAsia"/>
          <w:sz w:val="24"/>
        </w:rPr>
        <w:t>。</w:t>
      </w:r>
    </w:p>
    <w:p>
      <w:pPr>
        <w:spacing w:line="560" w:lineRule="exact"/>
        <w:ind w:firstLine="480" w:firstLineChars="200"/>
        <w:rPr>
          <w:rFonts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3.本项目的特定资格要求：</w:t>
      </w:r>
      <w:r>
        <w:rPr>
          <w:rFonts w:hint="eastAsia" w:asciiTheme="majorEastAsia" w:hAnsiTheme="majorEastAsia" w:eastAsiaTheme="majorEastAsia" w:cstheme="majorEastAsia"/>
          <w:sz w:val="24"/>
          <w:u w:val="single"/>
        </w:rPr>
        <w:t>（1）具备加载有统一社会信用代码的《营业执照》或其他组织有效证件；（2）参加政府采购活动近三年内无行贿犯罪记录、重大税收违法记录；（3）符合《中华人民共和国政府采购法》第二十二条规定且应为未被列入信用中国网站(www.creditchina.gov.cn)、中国政府采购网(www.ccgp.gov.cn)渠道信用记录失信被执行人、重大税收违法案件当事人名单、政府采购严重违法失信行为记录名单的供应商；（4）本项目不接受联合体报价。</w:t>
      </w:r>
    </w:p>
    <w:p>
      <w:pPr>
        <w:pStyle w:val="4"/>
        <w:spacing w:line="560" w:lineRule="exact"/>
        <w:jc w:val="left"/>
        <w:rPr>
          <w:rFonts w:asciiTheme="majorEastAsia" w:hAnsiTheme="majorEastAsia" w:eastAsiaTheme="majorEastAsia" w:cstheme="majorEastAsia"/>
          <w:b w:val="0"/>
          <w:sz w:val="24"/>
          <w:szCs w:val="24"/>
        </w:rPr>
      </w:pPr>
      <w:bookmarkStart w:id="52" w:name="_Toc9096"/>
      <w:bookmarkStart w:id="53" w:name="_Toc13062"/>
      <w:bookmarkStart w:id="54" w:name="_Toc35393631"/>
      <w:bookmarkStart w:id="55" w:name="_Toc35393800"/>
      <w:r>
        <w:rPr>
          <w:rFonts w:hint="eastAsia" w:asciiTheme="majorEastAsia" w:hAnsiTheme="majorEastAsia" w:eastAsiaTheme="majorEastAsia" w:cstheme="majorEastAsia"/>
          <w:b w:val="0"/>
          <w:sz w:val="24"/>
          <w:szCs w:val="24"/>
        </w:rPr>
        <w:t>三、获取采购文件</w:t>
      </w:r>
      <w:bookmarkEnd w:id="50"/>
      <w:bookmarkEnd w:id="51"/>
      <w:bookmarkEnd w:id="52"/>
      <w:bookmarkEnd w:id="53"/>
      <w:bookmarkEnd w:id="54"/>
      <w:bookmarkEnd w:id="55"/>
    </w:p>
    <w:p>
      <w:pPr>
        <w:spacing w:line="560" w:lineRule="exact"/>
        <w:ind w:firstLine="540"/>
        <w:rPr>
          <w:rFonts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时间：</w:t>
      </w:r>
      <w:r>
        <w:rPr>
          <w:rFonts w:hint="eastAsia" w:asciiTheme="majorEastAsia" w:hAnsiTheme="majorEastAsia" w:eastAsiaTheme="majorEastAsia" w:cstheme="majorEastAsia"/>
          <w:sz w:val="24"/>
          <w:u w:val="single"/>
        </w:rPr>
        <w:t>截止到2022年8月</w:t>
      </w:r>
      <w:r>
        <w:rPr>
          <w:rFonts w:hint="eastAsia" w:asciiTheme="majorEastAsia" w:hAnsiTheme="majorEastAsia" w:eastAsiaTheme="majorEastAsia" w:cstheme="majorEastAsia"/>
          <w:sz w:val="24"/>
          <w:u w:val="single"/>
          <w:lang w:val="en-US" w:eastAsia="zh-CN"/>
        </w:rPr>
        <w:t>14</w:t>
      </w:r>
      <w:r>
        <w:rPr>
          <w:rFonts w:hint="eastAsia" w:asciiTheme="majorEastAsia" w:hAnsiTheme="majorEastAsia" w:eastAsiaTheme="majorEastAsia" w:cstheme="majorEastAsia"/>
          <w:sz w:val="24"/>
          <w:u w:val="single"/>
        </w:rPr>
        <w:t>日</w:t>
      </w:r>
      <w:r>
        <w:rPr>
          <w:rFonts w:hint="eastAsia" w:asciiTheme="majorEastAsia" w:hAnsiTheme="majorEastAsia" w:eastAsiaTheme="majorEastAsia" w:cstheme="majorEastAsia"/>
          <w:sz w:val="24"/>
          <w:u w:val="single"/>
          <w:lang w:val="en-US" w:eastAsia="zh-CN"/>
        </w:rPr>
        <w:t>9</w:t>
      </w:r>
      <w:r>
        <w:rPr>
          <w:rFonts w:hint="eastAsia" w:asciiTheme="majorEastAsia" w:hAnsiTheme="majorEastAsia" w:eastAsiaTheme="majorEastAsia" w:cstheme="majorEastAsia"/>
          <w:sz w:val="24"/>
          <w:u w:val="single"/>
        </w:rPr>
        <w:t>点</w:t>
      </w:r>
      <w:r>
        <w:rPr>
          <w:rFonts w:hint="eastAsia" w:asciiTheme="majorEastAsia" w:hAnsiTheme="majorEastAsia" w:eastAsiaTheme="majorEastAsia" w:cstheme="majorEastAsia"/>
          <w:sz w:val="24"/>
          <w:u w:val="single"/>
          <w:lang w:val="en-US" w:eastAsia="zh-CN"/>
        </w:rPr>
        <w:t>00</w:t>
      </w:r>
      <w:r>
        <w:rPr>
          <w:rFonts w:hint="eastAsia" w:asciiTheme="majorEastAsia" w:hAnsiTheme="majorEastAsia" w:eastAsiaTheme="majorEastAsia" w:cstheme="majorEastAsia"/>
          <w:sz w:val="24"/>
          <w:u w:val="single"/>
        </w:rPr>
        <w:t>分</w:t>
      </w:r>
      <w:r>
        <w:rPr>
          <w:rFonts w:hint="eastAsia" w:asciiTheme="majorEastAsia" w:hAnsiTheme="majorEastAsia" w:eastAsiaTheme="majorEastAsia" w:cstheme="majorEastAsia"/>
          <w:sz w:val="24"/>
        </w:rPr>
        <w:t>（北京时间）</w:t>
      </w:r>
    </w:p>
    <w:p>
      <w:pPr>
        <w:spacing w:line="560" w:lineRule="exact"/>
        <w:ind w:firstLine="54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地点：淄博市公共资源交易网（http://ggzyjy.zibo.gov.cn/）</w:t>
      </w:r>
    </w:p>
    <w:p>
      <w:pPr>
        <w:spacing w:line="560" w:lineRule="exact"/>
        <w:ind w:firstLine="54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方式：①已在淄博市公共资源交易网（http://ggzyjy.zibo.gov.cn/）注册的供应商可直接点击淄博市公共资源交易网首页“新系统登录入口”登录系统</w:t>
      </w:r>
      <w:r>
        <w:rPr>
          <w:rFonts w:hint="eastAsia" w:asciiTheme="majorEastAsia" w:hAnsiTheme="majorEastAsia" w:eastAsiaTheme="majorEastAsia" w:cstheme="majorEastAsia"/>
          <w:b/>
          <w:bCs/>
          <w:sz w:val="24"/>
        </w:rPr>
        <w:t>免费</w:t>
      </w:r>
      <w:r>
        <w:rPr>
          <w:rFonts w:hint="eastAsia" w:asciiTheme="majorEastAsia" w:hAnsiTheme="majorEastAsia" w:eastAsiaTheme="majorEastAsia" w:cstheme="majorEastAsia"/>
          <w:sz w:val="24"/>
        </w:rPr>
        <w:t>下载采购文件。②</w:t>
      </w:r>
      <w:bookmarkStart w:id="56" w:name="_Toc35393632"/>
      <w:bookmarkStart w:id="57" w:name="_Toc28359092"/>
      <w:bookmarkStart w:id="58" w:name="_Toc28359015"/>
      <w:bookmarkStart w:id="59" w:name="_Toc35393801"/>
      <w:r>
        <w:rPr>
          <w:rFonts w:hint="eastAsia" w:asciiTheme="majorEastAsia" w:hAnsiTheme="majorEastAsia" w:eastAsiaTheme="majorEastAsia" w:cstheme="majorEastAsia"/>
          <w:sz w:val="24"/>
        </w:rPr>
        <w:t>未注册的供应商请到淄博市公共资源交易网（http://ggzyjy.zibo.gov.cn:8082/）在网站首页点击“新系统登录入口”（http://ggzyjy.zibo.gov.cn:9181/TPBidder）根据页面提示进行注册（注册类型：交易乙方）。咨询电话：0533-2270020、2270010、2270050，咨询时间：北京时间8：30-12：00，13：30-17：00（法定公休日、法定节假日除外）。技术咨询电话：400-998-0000。③为满足信息公开和供应商诚信体系建设需要，供应商还需同时在中国山东政府采购网（http://www.ccgp-shandong.gov.cn/）进行注册。未注册的供应商须登录中国山东政府采购网点击首页右侧“系统入口”模块的“供应商注册”进行注册。</w:t>
      </w:r>
    </w:p>
    <w:p>
      <w:pPr>
        <w:pStyle w:val="4"/>
        <w:spacing w:line="560" w:lineRule="exact"/>
        <w:jc w:val="left"/>
        <w:rPr>
          <w:rFonts w:asciiTheme="majorEastAsia" w:hAnsiTheme="majorEastAsia" w:eastAsiaTheme="majorEastAsia" w:cstheme="majorEastAsia"/>
          <w:b w:val="0"/>
          <w:sz w:val="24"/>
          <w:szCs w:val="24"/>
        </w:rPr>
      </w:pPr>
      <w:bookmarkStart w:id="60" w:name="_Toc26813"/>
      <w:bookmarkStart w:id="61" w:name="_Toc6110"/>
      <w:r>
        <w:rPr>
          <w:rFonts w:hint="eastAsia" w:asciiTheme="majorEastAsia" w:hAnsiTheme="majorEastAsia" w:eastAsiaTheme="majorEastAsia" w:cstheme="majorEastAsia"/>
          <w:b w:val="0"/>
          <w:sz w:val="24"/>
          <w:szCs w:val="24"/>
        </w:rPr>
        <w:t>四、响应文件提交</w:t>
      </w:r>
      <w:bookmarkEnd w:id="56"/>
      <w:bookmarkEnd w:id="57"/>
      <w:bookmarkEnd w:id="58"/>
      <w:bookmarkEnd w:id="59"/>
      <w:bookmarkEnd w:id="60"/>
      <w:bookmarkEnd w:id="61"/>
    </w:p>
    <w:p>
      <w:pPr>
        <w:spacing w:line="560" w:lineRule="exact"/>
        <w:ind w:firstLine="480" w:firstLineChars="200"/>
        <w:rPr>
          <w:rFonts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截止时间：</w:t>
      </w:r>
      <w:r>
        <w:rPr>
          <w:rFonts w:hint="eastAsia" w:asciiTheme="majorEastAsia" w:hAnsiTheme="majorEastAsia" w:eastAsiaTheme="majorEastAsia" w:cstheme="majorEastAsia"/>
          <w:sz w:val="24"/>
          <w:u w:val="single"/>
        </w:rPr>
        <w:t>2022</w:t>
      </w:r>
      <w:r>
        <w:rPr>
          <w:rFonts w:hint="eastAsia" w:asciiTheme="majorEastAsia" w:hAnsiTheme="majorEastAsia" w:eastAsiaTheme="majorEastAsia" w:cstheme="majorEastAsia"/>
          <w:bCs/>
          <w:sz w:val="24"/>
          <w:u w:val="single"/>
        </w:rPr>
        <w:t>年8月</w:t>
      </w:r>
      <w:r>
        <w:rPr>
          <w:rFonts w:hint="eastAsia" w:asciiTheme="majorEastAsia" w:hAnsiTheme="majorEastAsia" w:eastAsiaTheme="majorEastAsia" w:cstheme="majorEastAsia"/>
          <w:bCs/>
          <w:sz w:val="24"/>
          <w:u w:val="single"/>
          <w:lang w:val="en-US" w:eastAsia="zh-CN"/>
        </w:rPr>
        <w:t>15</w:t>
      </w:r>
      <w:r>
        <w:rPr>
          <w:rFonts w:hint="eastAsia" w:asciiTheme="majorEastAsia" w:hAnsiTheme="majorEastAsia" w:eastAsiaTheme="majorEastAsia" w:cstheme="majorEastAsia"/>
          <w:bCs/>
          <w:sz w:val="24"/>
          <w:u w:val="single"/>
        </w:rPr>
        <w:t>日</w:t>
      </w:r>
      <w:r>
        <w:rPr>
          <w:rFonts w:hint="eastAsia" w:asciiTheme="majorEastAsia" w:hAnsiTheme="majorEastAsia" w:eastAsiaTheme="majorEastAsia" w:cstheme="majorEastAsia"/>
          <w:bCs/>
          <w:sz w:val="24"/>
          <w:u w:val="single"/>
          <w:lang w:val="en-US" w:eastAsia="zh-CN"/>
        </w:rPr>
        <w:t>9</w:t>
      </w:r>
      <w:r>
        <w:rPr>
          <w:rFonts w:hint="eastAsia" w:asciiTheme="majorEastAsia" w:hAnsiTheme="majorEastAsia" w:eastAsiaTheme="majorEastAsia" w:cstheme="majorEastAsia"/>
          <w:bCs/>
          <w:sz w:val="24"/>
          <w:u w:val="single"/>
        </w:rPr>
        <w:t>点</w:t>
      </w:r>
      <w:r>
        <w:rPr>
          <w:rFonts w:hint="eastAsia" w:asciiTheme="majorEastAsia" w:hAnsiTheme="majorEastAsia" w:eastAsiaTheme="majorEastAsia" w:cstheme="majorEastAsia"/>
          <w:bCs/>
          <w:sz w:val="24"/>
          <w:u w:val="single"/>
          <w:lang w:val="en-US" w:eastAsia="zh-CN"/>
        </w:rPr>
        <w:t>00</w:t>
      </w:r>
      <w:r>
        <w:rPr>
          <w:rFonts w:hint="eastAsia" w:asciiTheme="majorEastAsia" w:hAnsiTheme="majorEastAsia" w:eastAsiaTheme="majorEastAsia" w:cstheme="majorEastAsia"/>
          <w:bCs/>
          <w:sz w:val="24"/>
          <w:u w:val="single"/>
        </w:rPr>
        <w:t>分</w:t>
      </w:r>
      <w:r>
        <w:rPr>
          <w:rFonts w:hint="eastAsia" w:asciiTheme="majorEastAsia" w:hAnsiTheme="majorEastAsia" w:eastAsiaTheme="majorEastAsia" w:cstheme="majorEastAsia"/>
          <w:bCs/>
          <w:sz w:val="24"/>
        </w:rPr>
        <w:t>（北京时间）</w:t>
      </w:r>
    </w:p>
    <w:p>
      <w:pPr>
        <w:spacing w:line="560" w:lineRule="exact"/>
        <w:ind w:firstLine="54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地点：淄博市公共资源交易网（http://ggzyjy.zibo.gov.cn/）</w:t>
      </w:r>
    </w:p>
    <w:p>
      <w:pPr>
        <w:spacing w:line="56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方式：将加密的电子报价文件在截止时间前通过淄博市公共资源交易网 “上传投标文件”栏目上传完成。①拟参加本项目的供应商须办理并取得数字证书（电子签章）后，方可加密生成及上传电子报价文件。请各供应商仔细阅读《数字证书办理注意事项及相关资料下载》（淄博公共资源交易网→办事指南→服务指南）并按照须知要求办理。②供应商可到淄博市公共资源交易中心一楼大厅办理数字证书，也可网上办理。山东CA（山东省数字证书认证管理有限公司）证书办理电话为400-607-8966，CFCA（中金金融认证中心有限公司）证书办理电话为0533-3590310。其他具体操作请参考“新点投标文件制作软件（淄博版）操作视频-采购类”（淄博市公共资源交易中心网站→办事指南→服务指南），技术咨询电话：400-998-0000。 </w:t>
      </w:r>
    </w:p>
    <w:p>
      <w:pPr>
        <w:spacing w:line="560" w:lineRule="exact"/>
        <w:ind w:firstLine="480" w:firstLineChars="200"/>
        <w:rPr>
          <w:rFonts w:asciiTheme="majorEastAsia" w:hAnsiTheme="majorEastAsia" w:eastAsiaTheme="majorEastAsia" w:cstheme="majorEastAsia"/>
          <w:bCs/>
          <w:sz w:val="24"/>
          <w:u w:val="single"/>
        </w:rPr>
      </w:pPr>
      <w:r>
        <w:rPr>
          <w:rFonts w:hint="eastAsia" w:asciiTheme="majorEastAsia" w:hAnsiTheme="majorEastAsia" w:eastAsiaTheme="majorEastAsia" w:cstheme="majorEastAsia"/>
          <w:sz w:val="24"/>
        </w:rPr>
        <w:t>时间：</w:t>
      </w:r>
      <w:r>
        <w:rPr>
          <w:rFonts w:hint="eastAsia" w:asciiTheme="majorEastAsia" w:hAnsiTheme="majorEastAsia" w:eastAsiaTheme="majorEastAsia" w:cstheme="majorEastAsia"/>
          <w:sz w:val="24"/>
          <w:u w:val="single"/>
        </w:rPr>
        <w:t>2022</w:t>
      </w:r>
      <w:r>
        <w:rPr>
          <w:rFonts w:hint="eastAsia" w:asciiTheme="majorEastAsia" w:hAnsiTheme="majorEastAsia" w:eastAsiaTheme="majorEastAsia" w:cstheme="majorEastAsia"/>
          <w:bCs/>
          <w:sz w:val="24"/>
          <w:u w:val="single"/>
        </w:rPr>
        <w:t>年8月</w:t>
      </w:r>
      <w:r>
        <w:rPr>
          <w:rFonts w:hint="eastAsia" w:asciiTheme="majorEastAsia" w:hAnsiTheme="majorEastAsia" w:eastAsiaTheme="majorEastAsia" w:cstheme="majorEastAsia"/>
          <w:bCs/>
          <w:sz w:val="24"/>
          <w:u w:val="single"/>
          <w:lang w:val="en-US" w:eastAsia="zh-CN"/>
        </w:rPr>
        <w:t>15</w:t>
      </w:r>
      <w:r>
        <w:rPr>
          <w:rFonts w:hint="eastAsia" w:asciiTheme="majorEastAsia" w:hAnsiTheme="majorEastAsia" w:eastAsiaTheme="majorEastAsia" w:cstheme="majorEastAsia"/>
          <w:bCs/>
          <w:sz w:val="24"/>
          <w:u w:val="single"/>
        </w:rPr>
        <w:t>日</w:t>
      </w:r>
      <w:r>
        <w:rPr>
          <w:rFonts w:hint="eastAsia" w:asciiTheme="majorEastAsia" w:hAnsiTheme="majorEastAsia" w:eastAsiaTheme="majorEastAsia" w:cstheme="majorEastAsia"/>
          <w:bCs/>
          <w:sz w:val="24"/>
          <w:u w:val="single"/>
          <w:lang w:val="en-US" w:eastAsia="zh-CN"/>
        </w:rPr>
        <w:t>9</w:t>
      </w:r>
      <w:r>
        <w:rPr>
          <w:rFonts w:hint="eastAsia" w:asciiTheme="majorEastAsia" w:hAnsiTheme="majorEastAsia" w:eastAsiaTheme="majorEastAsia" w:cstheme="majorEastAsia"/>
          <w:bCs/>
          <w:sz w:val="24"/>
          <w:u w:val="single"/>
        </w:rPr>
        <w:t>点</w:t>
      </w:r>
      <w:r>
        <w:rPr>
          <w:rFonts w:hint="eastAsia" w:asciiTheme="majorEastAsia" w:hAnsiTheme="majorEastAsia" w:eastAsiaTheme="majorEastAsia" w:cstheme="majorEastAsia"/>
          <w:bCs/>
          <w:sz w:val="24"/>
          <w:u w:val="single"/>
          <w:lang w:val="en-US" w:eastAsia="zh-CN"/>
        </w:rPr>
        <w:t>00</w:t>
      </w:r>
      <w:r>
        <w:rPr>
          <w:rFonts w:hint="eastAsia" w:asciiTheme="majorEastAsia" w:hAnsiTheme="majorEastAsia" w:eastAsiaTheme="majorEastAsia" w:cstheme="majorEastAsia"/>
          <w:bCs/>
          <w:sz w:val="24"/>
          <w:u w:val="single"/>
        </w:rPr>
        <w:t>分</w:t>
      </w:r>
      <w:r>
        <w:rPr>
          <w:rFonts w:hint="eastAsia" w:asciiTheme="majorEastAsia" w:hAnsiTheme="majorEastAsia" w:eastAsiaTheme="majorEastAsia" w:cstheme="majorEastAsia"/>
          <w:bCs/>
          <w:sz w:val="24"/>
        </w:rPr>
        <w:t>（北京时间）</w:t>
      </w:r>
    </w:p>
    <w:p>
      <w:pPr>
        <w:kinsoku w:val="0"/>
        <w:overflowPunct w:val="0"/>
        <w:autoSpaceDE w:val="0"/>
        <w:autoSpaceDN w:val="0"/>
        <w:spacing w:line="560" w:lineRule="exact"/>
        <w:ind w:firstLine="480" w:firstLineChars="200"/>
        <w:rPr>
          <w:rFonts w:asciiTheme="majorEastAsia" w:hAnsiTheme="majorEastAsia" w:eastAsiaTheme="majorEastAsia" w:cstheme="majorEastAsia"/>
          <w:sz w:val="24"/>
        </w:rPr>
      </w:pPr>
      <w:bookmarkStart w:id="62" w:name="_Toc35393803"/>
      <w:bookmarkStart w:id="63" w:name="_Toc35393634"/>
      <w:bookmarkStart w:id="64" w:name="_Toc28359094"/>
      <w:bookmarkStart w:id="65" w:name="_Toc28359017"/>
      <w:r>
        <w:rPr>
          <w:rFonts w:hint="eastAsia" w:asciiTheme="majorEastAsia" w:hAnsiTheme="majorEastAsia" w:eastAsiaTheme="majorEastAsia" w:cstheme="majorEastAsia"/>
          <w:sz w:val="24"/>
        </w:rPr>
        <w:t>地点：网上开标大厅。请各供应商在开标前登录网上开标大厅（http://ggzyjy.zibo.gov.cn:9181/BidOpeningHall/bidopeninghallaction/hall/login）,在线准时参加开标活动并进行响应文件解密、答疑、澄清等。</w:t>
      </w:r>
    </w:p>
    <w:p>
      <w:pPr>
        <w:pStyle w:val="4"/>
        <w:spacing w:line="560" w:lineRule="exact"/>
        <w:jc w:val="left"/>
        <w:rPr>
          <w:rFonts w:asciiTheme="majorEastAsia" w:hAnsiTheme="majorEastAsia" w:eastAsiaTheme="majorEastAsia" w:cstheme="majorEastAsia"/>
          <w:b w:val="0"/>
          <w:sz w:val="24"/>
          <w:szCs w:val="24"/>
        </w:rPr>
      </w:pPr>
      <w:bookmarkStart w:id="66" w:name="_Toc7116"/>
      <w:bookmarkStart w:id="67" w:name="_Toc7008"/>
      <w:r>
        <w:rPr>
          <w:rFonts w:hint="eastAsia" w:asciiTheme="majorEastAsia" w:hAnsiTheme="majorEastAsia" w:eastAsiaTheme="majorEastAsia" w:cstheme="majorEastAsia"/>
          <w:b w:val="0"/>
          <w:sz w:val="24"/>
          <w:szCs w:val="24"/>
        </w:rPr>
        <w:t>五、公告期限</w:t>
      </w:r>
      <w:bookmarkEnd w:id="62"/>
      <w:bookmarkEnd w:id="63"/>
      <w:bookmarkEnd w:id="64"/>
      <w:bookmarkEnd w:id="65"/>
      <w:bookmarkEnd w:id="66"/>
      <w:bookmarkEnd w:id="67"/>
    </w:p>
    <w:p>
      <w:pPr>
        <w:spacing w:line="560" w:lineRule="exact"/>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自本公告发布之日起3个工作日。</w:t>
      </w:r>
    </w:p>
    <w:p>
      <w:pPr>
        <w:pStyle w:val="4"/>
        <w:spacing w:line="560" w:lineRule="exact"/>
        <w:jc w:val="left"/>
        <w:rPr>
          <w:rFonts w:asciiTheme="majorEastAsia" w:hAnsiTheme="majorEastAsia" w:eastAsiaTheme="majorEastAsia" w:cstheme="majorEastAsia"/>
          <w:b w:val="0"/>
          <w:sz w:val="24"/>
          <w:szCs w:val="24"/>
        </w:rPr>
      </w:pPr>
      <w:bookmarkStart w:id="68" w:name="_Toc9522"/>
      <w:bookmarkStart w:id="69" w:name="_Toc35393635"/>
      <w:bookmarkStart w:id="70" w:name="_Toc17940"/>
      <w:bookmarkStart w:id="71" w:name="_Toc35393804"/>
      <w:r>
        <w:rPr>
          <w:rFonts w:hint="eastAsia" w:asciiTheme="majorEastAsia" w:hAnsiTheme="majorEastAsia" w:eastAsiaTheme="majorEastAsia" w:cstheme="majorEastAsia"/>
          <w:b w:val="0"/>
          <w:sz w:val="24"/>
          <w:szCs w:val="24"/>
        </w:rPr>
        <w:t>六、其他补充事宜</w:t>
      </w:r>
      <w:bookmarkEnd w:id="68"/>
      <w:bookmarkEnd w:id="69"/>
      <w:bookmarkEnd w:id="70"/>
      <w:bookmarkEnd w:id="71"/>
    </w:p>
    <w:p>
      <w:pPr>
        <w:spacing w:line="560" w:lineRule="exact"/>
        <w:ind w:firstLine="480" w:firstLineChars="200"/>
        <w:rPr>
          <w:rFonts w:asciiTheme="majorEastAsia" w:hAnsiTheme="majorEastAsia" w:eastAsiaTheme="majorEastAsia" w:cstheme="majorEastAsia"/>
          <w:kern w:val="0"/>
          <w:sz w:val="24"/>
        </w:rPr>
      </w:pPr>
      <w:bookmarkStart w:id="72" w:name="_Toc13739"/>
      <w:bookmarkStart w:id="73" w:name="_Toc28359018"/>
      <w:bookmarkStart w:id="74" w:name="_Toc31926"/>
      <w:bookmarkStart w:id="75" w:name="_Toc35393636"/>
      <w:bookmarkStart w:id="76" w:name="_Toc28359095"/>
      <w:bookmarkStart w:id="77" w:name="_Toc35393805"/>
      <w:r>
        <w:rPr>
          <w:rFonts w:hint="eastAsia" w:asciiTheme="majorEastAsia" w:hAnsiTheme="majorEastAsia" w:eastAsiaTheme="majorEastAsia" w:cstheme="majorEastAsia"/>
          <w:kern w:val="0"/>
          <w:sz w:val="24"/>
        </w:rPr>
        <w:t>本项目共分为义务教育阶段（九年一贯制）及高中两部分，其中义务教育阶段（小学+初中）为淄博稷下实验学校，高中部为淄博市美达菲双语高级中学（拟），淄博市美达菲双语高级中学委托淄博稷下实验学校统一进行采购。</w:t>
      </w:r>
    </w:p>
    <w:p>
      <w:pPr>
        <w:spacing w:line="560" w:lineRule="exact"/>
        <w:ind w:firstLine="480" w:firstLineChars="200"/>
      </w:pPr>
      <w:r>
        <w:rPr>
          <w:rFonts w:hint="eastAsia" w:asciiTheme="majorEastAsia" w:hAnsiTheme="majorEastAsia" w:eastAsiaTheme="majorEastAsia" w:cstheme="majorEastAsia"/>
          <w:kern w:val="0"/>
          <w:sz w:val="24"/>
        </w:rPr>
        <w:t>本项目采用采购人和评审专家分别书面推荐的方式邀请不少于3家符合相应资格条件的供应商参与本次谈判采购活动，拟推荐供应商名单：</w:t>
      </w:r>
      <w:r>
        <w:rPr>
          <w:rFonts w:hint="eastAsia" w:asciiTheme="majorEastAsia" w:hAnsiTheme="majorEastAsia" w:eastAsiaTheme="majorEastAsia" w:cstheme="majorEastAsia"/>
          <w:kern w:val="0"/>
          <w:sz w:val="24"/>
          <w:u w:val="single"/>
          <w:lang w:eastAsia="zh-CN"/>
        </w:rPr>
        <w:t>淄博国风家具有限公司、潍坊荣发家具有限公司、淄博太平洋办公设备有限公司</w:t>
      </w:r>
      <w:r>
        <w:rPr>
          <w:rFonts w:hint="eastAsia" w:asciiTheme="majorEastAsia" w:hAnsiTheme="majorEastAsia" w:eastAsiaTheme="majorEastAsia" w:cstheme="majorEastAsia"/>
          <w:kern w:val="0"/>
          <w:sz w:val="24"/>
        </w:rPr>
        <w:t>。</w:t>
      </w:r>
    </w:p>
    <w:p>
      <w:pPr>
        <w:pStyle w:val="4"/>
        <w:spacing w:line="560" w:lineRule="exact"/>
        <w:jc w:val="left"/>
        <w:rPr>
          <w:rFonts w:asciiTheme="majorEastAsia" w:hAnsiTheme="majorEastAsia" w:eastAsiaTheme="majorEastAsia" w:cstheme="majorEastAsia"/>
          <w:b w:val="0"/>
          <w:sz w:val="24"/>
          <w:szCs w:val="24"/>
        </w:rPr>
      </w:pPr>
      <w:r>
        <w:rPr>
          <w:rFonts w:hint="eastAsia" w:asciiTheme="majorEastAsia" w:hAnsiTheme="majorEastAsia" w:eastAsiaTheme="majorEastAsia" w:cstheme="majorEastAsia"/>
          <w:b w:val="0"/>
          <w:sz w:val="24"/>
          <w:szCs w:val="24"/>
        </w:rPr>
        <w:t>七、凡对本次采购提出询问，请按以下方式联系。</w:t>
      </w:r>
      <w:bookmarkEnd w:id="72"/>
      <w:bookmarkEnd w:id="73"/>
      <w:bookmarkEnd w:id="74"/>
      <w:bookmarkEnd w:id="75"/>
      <w:bookmarkEnd w:id="76"/>
      <w:bookmarkEnd w:id="77"/>
    </w:p>
    <w:p>
      <w:pPr>
        <w:pStyle w:val="4"/>
        <w:spacing w:line="560" w:lineRule="exact"/>
        <w:ind w:firstLine="720" w:firstLineChars="300"/>
        <w:jc w:val="left"/>
        <w:rPr>
          <w:rFonts w:asciiTheme="majorEastAsia" w:hAnsiTheme="majorEastAsia" w:eastAsiaTheme="majorEastAsia" w:cstheme="majorEastAsia"/>
          <w:b w:val="0"/>
          <w:sz w:val="24"/>
          <w:szCs w:val="24"/>
        </w:rPr>
      </w:pPr>
      <w:bookmarkStart w:id="78" w:name="_Toc29011"/>
      <w:bookmarkStart w:id="79" w:name="_Toc28359096"/>
      <w:bookmarkStart w:id="80" w:name="_Toc35393637"/>
      <w:bookmarkStart w:id="81" w:name="_Toc35393806"/>
      <w:bookmarkStart w:id="82" w:name="_Toc29665"/>
      <w:bookmarkStart w:id="83" w:name="_Toc28359019"/>
      <w:r>
        <w:rPr>
          <w:rFonts w:hint="eastAsia" w:asciiTheme="majorEastAsia" w:hAnsiTheme="majorEastAsia" w:eastAsiaTheme="majorEastAsia" w:cstheme="majorEastAsia"/>
          <w:b w:val="0"/>
          <w:sz w:val="24"/>
          <w:szCs w:val="24"/>
        </w:rPr>
        <w:t>1.采购人信息</w:t>
      </w:r>
      <w:bookmarkEnd w:id="78"/>
      <w:bookmarkEnd w:id="79"/>
      <w:bookmarkEnd w:id="80"/>
      <w:bookmarkEnd w:id="81"/>
      <w:bookmarkEnd w:id="82"/>
      <w:bookmarkEnd w:id="83"/>
    </w:p>
    <w:p>
      <w:pPr>
        <w:spacing w:line="560" w:lineRule="exact"/>
        <w:ind w:left="1079" w:leftChars="371" w:hanging="300" w:hangingChars="125"/>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名    称：</w:t>
      </w:r>
      <w:r>
        <w:rPr>
          <w:rFonts w:hint="eastAsia" w:asciiTheme="majorEastAsia" w:hAnsiTheme="majorEastAsia" w:eastAsiaTheme="majorEastAsia" w:cstheme="majorEastAsia"/>
          <w:sz w:val="24"/>
          <w:u w:val="single"/>
        </w:rPr>
        <w:t>淄博稷下实验学校</w:t>
      </w:r>
    </w:p>
    <w:p>
      <w:pPr>
        <w:spacing w:line="560" w:lineRule="exact"/>
        <w:ind w:left="1079" w:leftChars="371" w:hanging="300" w:hangingChars="125"/>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地    址：</w:t>
      </w:r>
      <w:r>
        <w:rPr>
          <w:rFonts w:hint="eastAsia" w:asciiTheme="majorEastAsia" w:hAnsiTheme="majorEastAsia" w:eastAsiaTheme="majorEastAsia" w:cstheme="majorEastAsia"/>
          <w:sz w:val="24"/>
          <w:u w:val="single"/>
        </w:rPr>
        <w:t>淄博市张店区人民西路天润新城南侧</w:t>
      </w:r>
    </w:p>
    <w:p>
      <w:pPr>
        <w:spacing w:line="560" w:lineRule="exact"/>
        <w:ind w:left="1079" w:leftChars="371" w:hanging="300" w:hangingChars="125"/>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联系方式：</w:t>
      </w:r>
      <w:r>
        <w:rPr>
          <w:rFonts w:hint="eastAsia" w:asciiTheme="majorEastAsia" w:hAnsiTheme="majorEastAsia" w:eastAsiaTheme="majorEastAsia" w:cstheme="majorEastAsia"/>
          <w:sz w:val="24"/>
          <w:u w:val="single"/>
        </w:rPr>
        <w:t>0533-2229706</w:t>
      </w:r>
    </w:p>
    <w:p>
      <w:pPr>
        <w:pStyle w:val="4"/>
        <w:spacing w:line="560" w:lineRule="exact"/>
        <w:ind w:firstLine="720" w:firstLineChars="300"/>
        <w:jc w:val="left"/>
        <w:rPr>
          <w:rFonts w:asciiTheme="majorEastAsia" w:hAnsiTheme="majorEastAsia" w:eastAsiaTheme="majorEastAsia" w:cstheme="majorEastAsia"/>
          <w:b w:val="0"/>
          <w:sz w:val="24"/>
          <w:szCs w:val="24"/>
        </w:rPr>
      </w:pPr>
      <w:bookmarkStart w:id="84" w:name="_Toc35393807"/>
      <w:bookmarkStart w:id="85" w:name="_Toc24354"/>
      <w:bookmarkStart w:id="86" w:name="_Toc15885"/>
      <w:bookmarkStart w:id="87" w:name="_Toc28359020"/>
      <w:bookmarkStart w:id="88" w:name="_Toc35393638"/>
      <w:bookmarkStart w:id="89" w:name="_Toc28359097"/>
      <w:r>
        <w:rPr>
          <w:rFonts w:hint="eastAsia" w:asciiTheme="majorEastAsia" w:hAnsiTheme="majorEastAsia" w:eastAsiaTheme="majorEastAsia" w:cstheme="majorEastAsia"/>
          <w:b w:val="0"/>
          <w:sz w:val="24"/>
          <w:szCs w:val="24"/>
        </w:rPr>
        <w:t>2.采购代理机构信息</w:t>
      </w:r>
      <w:bookmarkEnd w:id="84"/>
      <w:bookmarkEnd w:id="85"/>
      <w:bookmarkEnd w:id="86"/>
      <w:bookmarkEnd w:id="87"/>
      <w:bookmarkEnd w:id="88"/>
      <w:bookmarkEnd w:id="89"/>
    </w:p>
    <w:p>
      <w:pPr>
        <w:spacing w:line="560" w:lineRule="exact"/>
        <w:ind w:firstLine="720" w:firstLineChars="3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名    称：</w:t>
      </w:r>
      <w:r>
        <w:rPr>
          <w:rFonts w:hint="eastAsia" w:asciiTheme="majorEastAsia" w:hAnsiTheme="majorEastAsia" w:eastAsiaTheme="majorEastAsia" w:cstheme="majorEastAsia"/>
          <w:sz w:val="24"/>
          <w:u w:val="single"/>
        </w:rPr>
        <w:t>山东瀚广建设项目管理有限公司</w:t>
      </w:r>
    </w:p>
    <w:p>
      <w:pPr>
        <w:spacing w:line="560" w:lineRule="exact"/>
        <w:ind w:firstLine="720" w:firstLineChars="3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地　　址：</w:t>
      </w:r>
      <w:r>
        <w:rPr>
          <w:rFonts w:hint="eastAsia" w:asciiTheme="majorEastAsia" w:hAnsiTheme="majorEastAsia" w:eastAsiaTheme="majorEastAsia" w:cstheme="majorEastAsia"/>
          <w:sz w:val="24"/>
          <w:u w:val="single"/>
        </w:rPr>
        <w:t>淄博高新区中润大道39号九宏大厦三楼</w:t>
      </w:r>
    </w:p>
    <w:p>
      <w:pPr>
        <w:spacing w:line="560" w:lineRule="exact"/>
        <w:ind w:firstLine="720" w:firstLineChars="300"/>
        <w:rPr>
          <w:rFonts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联系方式：</w:t>
      </w:r>
      <w:r>
        <w:rPr>
          <w:rFonts w:hint="eastAsia" w:asciiTheme="majorEastAsia" w:hAnsiTheme="majorEastAsia" w:eastAsiaTheme="majorEastAsia" w:cstheme="majorEastAsia"/>
          <w:sz w:val="24"/>
          <w:u w:val="single"/>
        </w:rPr>
        <w:t>0533-3579588</w:t>
      </w:r>
    </w:p>
    <w:p>
      <w:pPr>
        <w:pStyle w:val="4"/>
        <w:spacing w:line="560" w:lineRule="exact"/>
        <w:ind w:firstLine="720" w:firstLineChars="300"/>
        <w:jc w:val="left"/>
        <w:rPr>
          <w:rFonts w:asciiTheme="majorEastAsia" w:hAnsiTheme="majorEastAsia" w:eastAsiaTheme="majorEastAsia" w:cstheme="majorEastAsia"/>
          <w:b w:val="0"/>
          <w:sz w:val="24"/>
          <w:szCs w:val="24"/>
        </w:rPr>
      </w:pPr>
      <w:bookmarkStart w:id="90" w:name="_Toc5651"/>
      <w:bookmarkStart w:id="91" w:name="_Toc35393639"/>
      <w:bookmarkStart w:id="92" w:name="_Toc13107"/>
      <w:bookmarkStart w:id="93" w:name="_Toc35393808"/>
      <w:bookmarkStart w:id="94" w:name="_Toc28359021"/>
      <w:bookmarkStart w:id="95" w:name="_Toc28359098"/>
      <w:r>
        <w:rPr>
          <w:rFonts w:hint="eastAsia" w:asciiTheme="majorEastAsia" w:hAnsiTheme="majorEastAsia" w:eastAsiaTheme="majorEastAsia" w:cstheme="majorEastAsia"/>
          <w:b w:val="0"/>
          <w:sz w:val="24"/>
          <w:szCs w:val="24"/>
        </w:rPr>
        <w:t>3.项目联系方式</w:t>
      </w:r>
      <w:bookmarkEnd w:id="90"/>
      <w:bookmarkEnd w:id="91"/>
      <w:bookmarkEnd w:id="92"/>
      <w:bookmarkEnd w:id="93"/>
      <w:bookmarkEnd w:id="94"/>
      <w:bookmarkEnd w:id="95"/>
    </w:p>
    <w:p>
      <w:pPr>
        <w:pStyle w:val="37"/>
        <w:spacing w:line="560" w:lineRule="exact"/>
        <w:ind w:firstLine="720" w:firstLineChars="3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项目联系人：</w:t>
      </w:r>
      <w:r>
        <w:rPr>
          <w:rFonts w:hint="eastAsia" w:asciiTheme="majorEastAsia" w:hAnsiTheme="majorEastAsia" w:eastAsiaTheme="majorEastAsia" w:cstheme="majorEastAsia"/>
          <w:sz w:val="24"/>
          <w:u w:val="single"/>
        </w:rPr>
        <w:t>陈康</w:t>
      </w:r>
    </w:p>
    <w:p>
      <w:pPr>
        <w:spacing w:line="560" w:lineRule="exact"/>
        <w:ind w:firstLine="720" w:firstLineChars="300"/>
        <w:rPr>
          <w:rFonts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电　　 话：</w:t>
      </w:r>
      <w:r>
        <w:rPr>
          <w:rFonts w:hint="eastAsia" w:asciiTheme="majorEastAsia" w:hAnsiTheme="majorEastAsia" w:eastAsiaTheme="majorEastAsia" w:cstheme="majorEastAsia"/>
          <w:sz w:val="24"/>
          <w:u w:val="single"/>
        </w:rPr>
        <w:t>0533-3579588</w:t>
      </w:r>
    </w:p>
    <w:p>
      <w:pPr>
        <w:spacing w:line="560" w:lineRule="exact"/>
        <w:rPr>
          <w:rFonts w:ascii="宋体" w:hAnsi="宋体" w:cs="宋体"/>
          <w:i/>
          <w:szCs w:val="21"/>
        </w:rPr>
      </w:pPr>
    </w:p>
    <w:p>
      <w:pPr>
        <w:spacing w:line="560" w:lineRule="exact"/>
        <w:ind w:left="1041" w:leftChars="371" w:hanging="262" w:hangingChars="125"/>
        <w:jc w:val="left"/>
        <w:rPr>
          <w:rFonts w:ascii="宋体" w:hAnsi="宋体" w:cs="宋体"/>
          <w:i/>
          <w:szCs w:val="21"/>
        </w:rPr>
      </w:pPr>
    </w:p>
    <w:p>
      <w:pPr>
        <w:spacing w:line="560" w:lineRule="exact"/>
        <w:jc w:val="left"/>
        <w:rPr>
          <w:rFonts w:ascii="宋体" w:hAnsi="宋体" w:cs="宋体"/>
          <w:sz w:val="24"/>
        </w:rPr>
      </w:pPr>
    </w:p>
    <w:p>
      <w:pPr>
        <w:spacing w:line="560" w:lineRule="exact"/>
        <w:jc w:val="left"/>
        <w:rPr>
          <w:rFonts w:ascii="宋体" w:hAnsi="宋体" w:cs="宋体"/>
          <w:sz w:val="24"/>
        </w:rPr>
      </w:pPr>
    </w:p>
    <w:p>
      <w:pPr>
        <w:pStyle w:val="2"/>
        <w:ind w:firstLine="480"/>
        <w:rPr>
          <w:rFonts w:ascii="宋体" w:hAnsi="宋体" w:cs="宋体"/>
          <w:sz w:val="24"/>
        </w:rPr>
      </w:pPr>
    </w:p>
    <w:p>
      <w:pPr>
        <w:rPr>
          <w:rFonts w:ascii="宋体" w:hAnsi="宋体" w:cs="宋体"/>
          <w:sz w:val="24"/>
        </w:rPr>
      </w:pPr>
    </w:p>
    <w:p>
      <w:pPr>
        <w:pStyle w:val="2"/>
        <w:ind w:firstLine="480"/>
        <w:rPr>
          <w:rFonts w:ascii="宋体" w:hAnsi="宋体" w:cs="宋体"/>
          <w:sz w:val="24"/>
        </w:rPr>
      </w:pPr>
    </w:p>
    <w:p>
      <w:pPr>
        <w:rPr>
          <w:rFonts w:ascii="宋体" w:hAnsi="宋体" w:cs="宋体"/>
          <w:sz w:val="24"/>
        </w:rPr>
      </w:pPr>
    </w:p>
    <w:p>
      <w:pPr>
        <w:pStyle w:val="2"/>
        <w:ind w:firstLine="480"/>
        <w:rPr>
          <w:rFonts w:ascii="宋体" w:hAnsi="宋体" w:cs="宋体"/>
          <w:sz w:val="24"/>
        </w:rPr>
      </w:pPr>
    </w:p>
    <w:p>
      <w:pPr>
        <w:rPr>
          <w:rFonts w:ascii="宋体" w:hAnsi="宋体" w:cs="宋体"/>
          <w:sz w:val="24"/>
        </w:rPr>
      </w:pPr>
    </w:p>
    <w:p>
      <w:pPr>
        <w:pStyle w:val="2"/>
        <w:ind w:firstLine="480"/>
        <w:rPr>
          <w:rFonts w:ascii="宋体" w:hAnsi="宋体" w:cs="宋体"/>
          <w:sz w:val="24"/>
        </w:rPr>
      </w:pPr>
    </w:p>
    <w:p>
      <w:pPr>
        <w:rPr>
          <w:rFonts w:ascii="宋体" w:hAnsi="宋体" w:cs="宋体"/>
          <w:sz w:val="24"/>
        </w:rPr>
      </w:pPr>
    </w:p>
    <w:p>
      <w:pPr>
        <w:pStyle w:val="2"/>
        <w:ind w:firstLine="480"/>
        <w:rPr>
          <w:rFonts w:ascii="宋体" w:hAnsi="宋体" w:cs="宋体"/>
          <w:sz w:val="24"/>
        </w:rPr>
      </w:pPr>
    </w:p>
    <w:p>
      <w:pPr>
        <w:rPr>
          <w:rFonts w:ascii="宋体" w:hAnsi="宋体" w:cs="宋体"/>
          <w:sz w:val="24"/>
        </w:rPr>
      </w:pPr>
    </w:p>
    <w:p>
      <w:pPr>
        <w:pStyle w:val="2"/>
        <w:ind w:firstLine="480"/>
        <w:rPr>
          <w:rFonts w:ascii="宋体" w:hAnsi="宋体" w:cs="宋体"/>
          <w:sz w:val="24"/>
        </w:rPr>
      </w:pPr>
    </w:p>
    <w:p>
      <w:pPr>
        <w:rPr>
          <w:rFonts w:ascii="宋体" w:hAnsi="宋体" w:cs="宋体"/>
          <w:sz w:val="24"/>
        </w:rPr>
      </w:pPr>
    </w:p>
    <w:p>
      <w:pPr>
        <w:pStyle w:val="2"/>
        <w:ind w:firstLine="480"/>
        <w:rPr>
          <w:rFonts w:ascii="宋体" w:hAnsi="宋体" w:cs="宋体"/>
          <w:sz w:val="24"/>
        </w:rPr>
      </w:pPr>
    </w:p>
    <w:p/>
    <w:p>
      <w:pPr>
        <w:pStyle w:val="5"/>
        <w:rPr>
          <w:rFonts w:hAnsi="宋体" w:cs="宋体"/>
        </w:rPr>
      </w:pPr>
    </w:p>
    <w:p>
      <w:pPr>
        <w:rPr>
          <w:rFonts w:ascii="宋体" w:hAnsi="宋体" w:cs="宋体"/>
          <w:sz w:val="24"/>
        </w:rPr>
      </w:pPr>
    </w:p>
    <w:p>
      <w:pPr>
        <w:pStyle w:val="5"/>
        <w:rPr>
          <w:rFonts w:hAnsi="宋体" w:cs="宋体"/>
        </w:rPr>
      </w:pPr>
    </w:p>
    <w:p/>
    <w:p>
      <w:pPr>
        <w:spacing w:line="560" w:lineRule="exact"/>
        <w:rPr>
          <w:rFonts w:hAnsi="宋体" w:cs="宋体"/>
          <w:szCs w:val="32"/>
        </w:rPr>
      </w:pPr>
    </w:p>
    <w:p>
      <w:pPr>
        <w:pStyle w:val="3"/>
        <w:tabs>
          <w:tab w:val="left" w:pos="0"/>
        </w:tabs>
        <w:spacing w:before="0" w:after="0" w:line="560" w:lineRule="exact"/>
        <w:rPr>
          <w:rFonts w:hAnsi="宋体" w:cs="宋体"/>
        </w:rPr>
      </w:pPr>
      <w:bookmarkStart w:id="96" w:name="_Toc7473"/>
      <w:r>
        <w:rPr>
          <w:rFonts w:hint="eastAsia" w:hAnsi="宋体" w:cs="宋体"/>
        </w:rPr>
        <w:t>第二章</w:t>
      </w:r>
      <w:bookmarkStart w:id="97" w:name="_Toc216582823"/>
      <w:bookmarkStart w:id="98" w:name="_Toc4766814"/>
      <w:bookmarkStart w:id="99" w:name="_Toc515647830"/>
      <w:bookmarkStart w:id="100" w:name="_Toc507399903"/>
      <w:bookmarkStart w:id="101" w:name="_Toc31583"/>
      <w:bookmarkStart w:id="102" w:name="_Toc10488"/>
      <w:r>
        <w:rPr>
          <w:rFonts w:hint="eastAsia" w:hAnsi="宋体" w:cs="宋体"/>
        </w:rPr>
        <w:t xml:space="preserve">  供应商须知</w:t>
      </w:r>
      <w:bookmarkEnd w:id="96"/>
      <w:bookmarkEnd w:id="97"/>
      <w:bookmarkEnd w:id="98"/>
      <w:bookmarkEnd w:id="99"/>
      <w:bookmarkEnd w:id="100"/>
      <w:bookmarkEnd w:id="101"/>
      <w:bookmarkEnd w:id="102"/>
    </w:p>
    <w:tbl>
      <w:tblPr>
        <w:tblStyle w:val="23"/>
        <w:tblW w:w="938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21"/>
        <w:gridCol w:w="836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9384" w:type="dxa"/>
            <w:gridSpan w:val="2"/>
            <w:tcBorders>
              <w:top w:val="single" w:color="auto" w:sz="12" w:space="0"/>
              <w:left w:val="single" w:color="auto" w:sz="12" w:space="0"/>
              <w:bottom w:val="single" w:color="auto" w:sz="6" w:space="0"/>
              <w:right w:val="single" w:color="auto" w:sz="12" w:space="0"/>
            </w:tcBorders>
            <w:vAlign w:val="center"/>
          </w:tcPr>
          <w:p>
            <w:pPr>
              <w:spacing w:line="560" w:lineRule="exact"/>
              <w:ind w:left="1080" w:leftChars="257" w:hanging="540"/>
              <w:jc w:val="center"/>
              <w:rPr>
                <w:rFonts w:asciiTheme="minorEastAsia" w:hAnsiTheme="minorEastAsia" w:eastAsiaTheme="minorEastAsia" w:cstheme="minorEastAsia"/>
                <w:sz w:val="24"/>
              </w:rPr>
            </w:pPr>
            <w:r>
              <w:rPr>
                <w:rFonts w:hint="eastAsia" w:ascii="宋体" w:hAnsi="宋体" w:cs="宋体"/>
                <w:b/>
                <w:sz w:val="24"/>
              </w:rPr>
              <w:t>供应商须知资料表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12"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条款号</w:t>
            </w:r>
          </w:p>
        </w:tc>
        <w:tc>
          <w:tcPr>
            <w:tcW w:w="8363" w:type="dxa"/>
            <w:tcBorders>
              <w:top w:val="single" w:color="auto" w:sz="12" w:space="0"/>
              <w:left w:val="single" w:color="auto" w:sz="6" w:space="0"/>
              <w:bottom w:val="single" w:color="auto" w:sz="6" w:space="0"/>
              <w:right w:val="single" w:color="auto" w:sz="12" w:space="0"/>
            </w:tcBorders>
            <w:vAlign w:val="center"/>
          </w:tcPr>
          <w:p>
            <w:pPr>
              <w:spacing w:line="560" w:lineRule="exact"/>
              <w:ind w:left="1080" w:leftChars="257" w:hanging="54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sz w:val="24"/>
                <w:u w:val="single"/>
              </w:rPr>
            </w:pPr>
            <w:r>
              <w:rPr>
                <w:rFonts w:hint="eastAsia" w:ascii="宋体" w:hAnsi="宋体"/>
                <w:sz w:val="24"/>
              </w:rPr>
              <w:t>采购人：淄博稷下实验学校</w:t>
            </w:r>
          </w:p>
          <w:p>
            <w:pPr>
              <w:spacing w:line="560" w:lineRule="exact"/>
              <w:rPr>
                <w:rFonts w:ascii="宋体" w:hAnsi="宋体"/>
                <w:sz w:val="24"/>
              </w:rPr>
            </w:pPr>
            <w:r>
              <w:rPr>
                <w:rFonts w:hint="eastAsia" w:ascii="宋体" w:hAnsi="宋体"/>
                <w:sz w:val="24"/>
              </w:rPr>
              <w:t>地  址：淄博市张店区人民西路天润新城南侧</w:t>
            </w:r>
          </w:p>
          <w:p>
            <w:pPr>
              <w:pStyle w:val="38"/>
              <w:spacing w:line="560" w:lineRule="exact"/>
              <w:ind w:firstLine="0" w:firstLineChars="0"/>
              <w:rPr>
                <w:rFonts w:asciiTheme="minorEastAsia" w:hAnsiTheme="minorEastAsia" w:cstheme="minorEastAsia"/>
              </w:rPr>
            </w:pPr>
            <w:r>
              <w:rPr>
                <w:rFonts w:hint="eastAsia" w:ascii="宋体" w:hAnsi="宋体"/>
              </w:rPr>
              <w:t>电  话：0533-2229706</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sz w:val="24"/>
                <w:u w:val="single"/>
              </w:rPr>
            </w:pPr>
            <w:r>
              <w:rPr>
                <w:rFonts w:hint="eastAsia" w:ascii="宋体" w:hAnsi="宋体"/>
                <w:sz w:val="24"/>
              </w:rPr>
              <w:t>采购代理机构：山东瀚广建设项目管理有限公司</w:t>
            </w:r>
          </w:p>
          <w:p>
            <w:pPr>
              <w:spacing w:line="560" w:lineRule="exact"/>
              <w:rPr>
                <w:rFonts w:ascii="宋体" w:hAnsi="宋体"/>
                <w:sz w:val="24"/>
                <w:u w:val="single"/>
              </w:rPr>
            </w:pPr>
            <w:r>
              <w:rPr>
                <w:rFonts w:hint="eastAsia" w:ascii="宋体" w:hAnsi="宋体"/>
                <w:sz w:val="24"/>
              </w:rPr>
              <w:t>地址：淄博高新区中润大道39号九宏大厦三楼</w:t>
            </w:r>
          </w:p>
          <w:p>
            <w:pPr>
              <w:spacing w:line="560" w:lineRule="exact"/>
              <w:rPr>
                <w:rFonts w:asciiTheme="minorEastAsia" w:hAnsiTheme="minorEastAsia" w:eastAsiaTheme="minorEastAsia" w:cstheme="minorEastAsia"/>
                <w:sz w:val="24"/>
              </w:rPr>
            </w:pPr>
            <w:r>
              <w:rPr>
                <w:rFonts w:hint="eastAsia" w:ascii="宋体" w:hAnsi="宋体"/>
                <w:sz w:val="24"/>
              </w:rPr>
              <w:t>业务联系人：</w:t>
            </w:r>
            <w:r>
              <w:rPr>
                <w:rFonts w:hint="eastAsia" w:ascii="宋体" w:hAnsi="宋体"/>
                <w:sz w:val="24"/>
                <w:u w:val="single"/>
              </w:rPr>
              <w:t>陈康</w:t>
            </w:r>
            <w:r>
              <w:rPr>
                <w:rFonts w:hint="eastAsia" w:ascii="宋体" w:hAnsi="宋体"/>
                <w:sz w:val="24"/>
              </w:rPr>
              <w:t xml:space="preserve">  电话：</w:t>
            </w:r>
            <w:r>
              <w:rPr>
                <w:rFonts w:hint="eastAsia" w:ascii="宋体" w:hAnsi="宋体"/>
                <w:sz w:val="24"/>
                <w:u w:val="single"/>
              </w:rPr>
              <w:t>0533-3579588</w:t>
            </w:r>
            <w:r>
              <w:rPr>
                <w:rFonts w:hint="eastAsia" w:ascii="宋体" w:hAnsi="宋体"/>
                <w:sz w:val="24"/>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1.3.4</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合格供应商的特定资格要求：（1）具备加载有统一社会信用代码的《营业执照》或其他组织有效证件；（2）参加政府采购活动近三年内无行贿犯罪记录、重大税收违法记录；（3）符合《中华人民共和国政府采购法》第二十二条规定且应为未被列入信用中国网站(www.creditchina.gov.cn)、中国政府采购网(www.ccgp.gov.cn)渠道信用记录失信被执行人、重大税收违法案件当事人名单、政府采购严重违法失信行为记录名单的供应商；（4）本项目不接受联合体报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1.3.5</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是否为专门面向中小企</w:t>
            </w:r>
            <w:r>
              <w:rPr>
                <w:rFonts w:hint="eastAsia" w:asciiTheme="minorEastAsia" w:hAnsiTheme="minorEastAsia" w:eastAsiaTheme="minorEastAsia" w:cstheme="minorEastAsia"/>
                <w:sz w:val="24"/>
                <w:highlight w:val="none"/>
              </w:rPr>
              <w:t>业采购：（</w:t>
            </w:r>
            <w:r>
              <w:rPr>
                <w:rFonts w:hint="eastAsia" w:ascii="宋体" w:hAnsi="宋体"/>
                <w:sz w:val="24"/>
                <w:highlight w:val="none"/>
              </w:rPr>
              <w:t xml:space="preserve">是 </w:t>
            </w:r>
            <w:r>
              <w:rPr>
                <w:rFonts w:hint="eastAsia" w:ascii="仿宋_GB2312" w:hAnsi="仿宋_GB2312" w:eastAsia="仿宋_GB2312" w:cs="仿宋_GB2312"/>
                <w:bCs/>
                <w:sz w:val="24"/>
                <w:highlight w:val="none"/>
              </w:rPr>
              <w:t>☑</w:t>
            </w:r>
            <w:r>
              <w:rPr>
                <w:rFonts w:hint="eastAsia" w:ascii="宋体" w:hAnsi="宋体"/>
                <w:sz w:val="24"/>
                <w:highlight w:val="none"/>
              </w:rPr>
              <w:t xml:space="preserve">  否 </w:t>
            </w:r>
            <w:r>
              <w:rPr>
                <w:rFonts w:hint="eastAsia" w:ascii="仿宋_GB2312" w:hAnsi="仿宋_GB2312" w:eastAsia="仿宋_GB2312" w:cs="仿宋_GB2312"/>
                <w:bCs/>
                <w:sz w:val="24"/>
                <w:highlight w:val="none"/>
              </w:rPr>
              <w:t>□</w:t>
            </w:r>
            <w:r>
              <w:rPr>
                <w:rFonts w:hint="eastAsia" w:ascii="宋体" w:hAnsi="宋体"/>
                <w:sz w:val="24"/>
                <w:highlight w:val="none"/>
              </w:rPr>
              <w:t xml:space="preserve"> </w:t>
            </w:r>
            <w:r>
              <w:rPr>
                <w:rFonts w:hint="eastAsia" w:asciiTheme="minorEastAsia" w:hAnsiTheme="minorEastAsia" w:eastAsiaTheme="minorEastAsia" w:cstheme="minorEastAsia"/>
                <w:sz w:val="24"/>
                <w:highlight w:val="non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宋体" w:hAnsi="宋体"/>
                <w:sz w:val="24"/>
              </w:rPr>
              <w:t>1.3.6</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hint="eastAsia" w:eastAsia="宋体" w:asciiTheme="minorEastAsia" w:hAnsiTheme="minorEastAsia" w:cstheme="minorEastAsia"/>
                <w:sz w:val="24"/>
                <w:lang w:eastAsia="zh-CN"/>
              </w:rPr>
            </w:pPr>
            <w:r>
              <w:rPr>
                <w:rFonts w:hint="eastAsia" w:ascii="宋体" w:hAnsi="宋体"/>
                <w:sz w:val="24"/>
              </w:rPr>
              <w:t>采购标的所属行业：</w:t>
            </w:r>
            <w:r>
              <w:rPr>
                <w:rFonts w:hint="eastAsia" w:ascii="宋体" w:hAnsi="宋体"/>
                <w:sz w:val="24"/>
                <w:lang w:eastAsia="zh-CN"/>
              </w:rPr>
              <w:t>工业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1.3.7</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是否允许采购进口产品：（</w:t>
            </w:r>
            <w:r>
              <w:rPr>
                <w:rFonts w:hint="eastAsia" w:ascii="宋体" w:hAnsi="宋体"/>
                <w:sz w:val="24"/>
              </w:rPr>
              <w:t xml:space="preserve">是 </w:t>
            </w:r>
            <w:r>
              <w:rPr>
                <w:rFonts w:hint="eastAsia" w:ascii="仿宋_GB2312" w:hAnsi="仿宋_GB2312" w:eastAsia="仿宋_GB2312" w:cs="仿宋_GB2312"/>
                <w:bCs/>
                <w:sz w:val="24"/>
              </w:rPr>
              <w:t>□</w:t>
            </w:r>
            <w:r>
              <w:rPr>
                <w:rFonts w:hint="eastAsia" w:ascii="宋体" w:hAnsi="宋体"/>
                <w:sz w:val="24"/>
              </w:rPr>
              <w:t xml:space="preserve">  否 </w:t>
            </w:r>
            <w:r>
              <w:rPr>
                <w:rFonts w:hint="eastAsia" w:ascii="仿宋_GB2312" w:hAnsi="仿宋_GB2312" w:eastAsia="仿宋_GB2312" w:cs="仿宋_GB2312"/>
                <w:bCs/>
                <w:sz w:val="24"/>
              </w:rPr>
              <w:t>☑</w:t>
            </w:r>
            <w:r>
              <w:rPr>
                <w:rFonts w:hint="eastAsia" w:ascii="宋体" w:hAnsi="宋体"/>
                <w:sz w:val="24"/>
              </w:rPr>
              <w:t xml:space="preserve"> </w:t>
            </w:r>
            <w:r>
              <w:rPr>
                <w:rFonts w:hint="eastAsia" w:asciiTheme="minorEastAsia" w:hAnsiTheme="minorEastAsia" w:eastAsiaTheme="minorEastAsia" w:cstheme="minorEastAsia"/>
                <w:sz w:val="24"/>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是否允许联合体响应：（</w:t>
            </w:r>
            <w:r>
              <w:rPr>
                <w:rFonts w:hint="eastAsia" w:ascii="宋体" w:hAnsi="宋体"/>
                <w:sz w:val="24"/>
              </w:rPr>
              <w:t xml:space="preserve">是 </w:t>
            </w:r>
            <w:r>
              <w:rPr>
                <w:rFonts w:hint="eastAsia" w:ascii="仿宋_GB2312" w:hAnsi="仿宋_GB2312" w:eastAsia="仿宋_GB2312" w:cs="仿宋_GB2312"/>
                <w:bCs/>
                <w:sz w:val="24"/>
              </w:rPr>
              <w:t>□</w:t>
            </w:r>
            <w:r>
              <w:rPr>
                <w:rFonts w:hint="eastAsia" w:ascii="宋体" w:hAnsi="宋体"/>
                <w:sz w:val="24"/>
              </w:rPr>
              <w:t xml:space="preserve">  否 </w:t>
            </w:r>
            <w:r>
              <w:rPr>
                <w:rFonts w:hint="eastAsia" w:ascii="仿宋_GB2312" w:hAnsi="仿宋_GB2312" w:eastAsia="仿宋_GB2312" w:cs="仿宋_GB2312"/>
                <w:bCs/>
                <w:sz w:val="24"/>
              </w:rPr>
              <w:t>☑</w:t>
            </w:r>
            <w:r>
              <w:rPr>
                <w:rFonts w:hint="eastAsia" w:ascii="宋体" w:hAnsi="宋体"/>
                <w:sz w:val="24"/>
              </w:rPr>
              <w:t xml:space="preserve"> </w:t>
            </w:r>
            <w:r>
              <w:rPr>
                <w:rFonts w:hint="eastAsia" w:asciiTheme="minorEastAsia" w:hAnsiTheme="minorEastAsia" w:eastAsiaTheme="minorEastAsia" w:cstheme="minorEastAsia"/>
                <w:sz w:val="24"/>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1.4.7</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联合体的其他资格要求：无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eastAsia="仿宋_GB2312"/>
                <w:sz w:val="24"/>
                <w:u w:val="single"/>
              </w:rPr>
            </w:pPr>
            <w:r>
              <w:rPr>
                <w:rFonts w:hint="eastAsia" w:ascii="宋体" w:hAnsi="宋体"/>
                <w:sz w:val="24"/>
              </w:rPr>
              <w:t xml:space="preserve">是否有分包：是 </w:t>
            </w:r>
            <w:r>
              <w:rPr>
                <w:rFonts w:hint="eastAsia" w:ascii="仿宋_GB2312" w:hAnsi="仿宋_GB2312" w:eastAsia="仿宋_GB2312" w:cs="仿宋_GB2312"/>
                <w:bCs/>
                <w:sz w:val="24"/>
              </w:rPr>
              <w:t>□</w:t>
            </w:r>
            <w:r>
              <w:rPr>
                <w:rFonts w:hint="eastAsia" w:ascii="宋体" w:hAnsi="宋体"/>
                <w:sz w:val="24"/>
              </w:rPr>
              <w:t xml:space="preserve">  否 </w:t>
            </w:r>
            <w:r>
              <w:rPr>
                <w:rFonts w:hint="eastAsia" w:ascii="仿宋_GB2312" w:hAnsi="仿宋_GB2312" w:eastAsia="仿宋_GB2312" w:cs="仿宋_GB2312"/>
                <w:bCs/>
                <w:sz w:val="24"/>
              </w:rPr>
              <w:t>☑</w:t>
            </w:r>
          </w:p>
          <w:p>
            <w:pPr>
              <w:spacing w:line="560" w:lineRule="exact"/>
              <w:rPr>
                <w:rFonts w:ascii="宋体" w:hAnsi="宋体"/>
                <w:sz w:val="24"/>
              </w:rPr>
            </w:pPr>
            <w:r>
              <w:rPr>
                <w:rFonts w:hint="eastAsia" w:ascii="宋体" w:hAnsi="宋体"/>
                <w:sz w:val="24"/>
              </w:rPr>
              <w:t>本项目（本包）预算额52.2674万元</w:t>
            </w:r>
          </w:p>
          <w:p>
            <w:pPr>
              <w:spacing w:line="560" w:lineRule="exact"/>
              <w:rPr>
                <w:rFonts w:ascii="宋体" w:hAnsi="宋体"/>
                <w:sz w:val="24"/>
              </w:rPr>
            </w:pPr>
            <w:r>
              <w:rPr>
                <w:rFonts w:ascii="宋体" w:hAnsi="宋体"/>
                <w:sz w:val="24"/>
              </w:rPr>
              <w:t>本项目预算属于以下情形：</w:t>
            </w:r>
          </w:p>
          <w:p>
            <w:pPr>
              <w:spacing w:line="560" w:lineRule="exact"/>
              <w:rPr>
                <w:rFonts w:ascii="宋体" w:hAnsi="宋体" w:eastAsia="仿宋_GB2312"/>
                <w:sz w:val="24"/>
              </w:rPr>
            </w:pPr>
            <w:r>
              <w:rPr>
                <w:rFonts w:ascii="宋体" w:hAnsi="宋体"/>
                <w:sz w:val="24"/>
              </w:rPr>
              <w:t>(1)项目为非预</w:t>
            </w:r>
            <w:r>
              <w:rPr>
                <w:rFonts w:ascii="宋体" w:hAnsi="宋体"/>
                <w:sz w:val="24"/>
                <w:highlight w:val="none"/>
              </w:rPr>
              <w:t>采购项目</w:t>
            </w:r>
            <w:r>
              <w:rPr>
                <w:rFonts w:hint="eastAsia" w:ascii="仿宋_GB2312" w:hAnsi="仿宋_GB2312" w:eastAsia="仿宋_GB2312" w:cs="仿宋_GB2312"/>
                <w:bCs/>
                <w:sz w:val="24"/>
                <w:highlight w:val="none"/>
              </w:rPr>
              <w:t>□</w:t>
            </w:r>
            <w:r>
              <w:rPr>
                <w:rFonts w:hint="eastAsia" w:ascii="宋体" w:hAnsi="宋体"/>
                <w:sz w:val="24"/>
                <w:highlight w:val="none"/>
              </w:rPr>
              <w:t xml:space="preserve">  </w:t>
            </w:r>
            <w:r>
              <w:rPr>
                <w:rFonts w:ascii="宋体" w:hAnsi="宋体"/>
                <w:sz w:val="24"/>
                <w:highlight w:val="none"/>
              </w:rPr>
              <w:t>预采购项目</w:t>
            </w:r>
            <w:r>
              <w:rPr>
                <w:rFonts w:hint="eastAsia" w:ascii="仿宋_GB2312" w:hAnsi="仿宋_GB2312" w:eastAsia="仿宋_GB2312" w:cs="仿宋_GB2312"/>
                <w:bCs/>
                <w:sz w:val="24"/>
                <w:highlight w:val="none"/>
              </w:rPr>
              <w:t>☑</w:t>
            </w:r>
          </w:p>
          <w:p>
            <w:pPr>
              <w:spacing w:line="560" w:lineRule="exact"/>
              <w:rPr>
                <w:rFonts w:ascii="宋体" w:hAnsi="宋体" w:eastAsiaTheme="minorEastAsia"/>
                <w:sz w:val="24"/>
              </w:rPr>
            </w:pPr>
            <w:r>
              <w:rPr>
                <w:rFonts w:ascii="宋体" w:hAnsi="宋体"/>
                <w:sz w:val="24"/>
              </w:rPr>
              <w:t>(</w:t>
            </w:r>
            <w:r>
              <w:rPr>
                <w:rFonts w:hint="eastAsia" w:ascii="宋体" w:hAnsi="宋体"/>
                <w:sz w:val="24"/>
              </w:rPr>
              <w:t>2</w:t>
            </w:r>
            <w:r>
              <w:rPr>
                <w:rFonts w:ascii="宋体" w:hAnsi="宋体"/>
                <w:sz w:val="24"/>
              </w:rPr>
              <w:t xml:space="preserve">)项目为跨年度预采购项目，概算总金额      </w:t>
            </w:r>
            <w:r>
              <w:rPr>
                <w:rFonts w:hint="eastAsia" w:ascii="宋体" w:hAnsi="宋体"/>
                <w:sz w:val="24"/>
              </w:rPr>
              <w:t>万</w:t>
            </w:r>
            <w:r>
              <w:rPr>
                <w:rFonts w:ascii="宋体" w:hAnsi="宋体"/>
                <w:sz w:val="24"/>
              </w:rPr>
              <w:t>元，采购年限为</w:t>
            </w:r>
            <w:r>
              <w:rPr>
                <w:rFonts w:hint="eastAsia" w:ascii="宋体" w:hAnsi="宋体"/>
                <w:sz w:val="24"/>
              </w:rPr>
              <w:t xml:space="preserve">   </w:t>
            </w:r>
            <w:r>
              <w:rPr>
                <w:rFonts w:ascii="宋体" w:hAnsi="宋体"/>
                <w:sz w:val="24"/>
              </w:rPr>
              <w:t xml:space="preserve">    年，当年安排数      </w:t>
            </w:r>
            <w:r>
              <w:rPr>
                <w:rFonts w:hint="eastAsia" w:ascii="宋体" w:hAnsi="宋体"/>
                <w:sz w:val="24"/>
              </w:rPr>
              <w:t>万</w:t>
            </w:r>
            <w:r>
              <w:rPr>
                <w:rFonts w:ascii="宋体" w:hAnsi="宋体"/>
                <w:sz w:val="24"/>
              </w:rPr>
              <w:t>元</w:t>
            </w:r>
            <w:r>
              <w:rPr>
                <w:rFonts w:hint="eastAsia" w:ascii="宋体" w:hAnsi="宋体"/>
                <w:sz w:val="24"/>
              </w:rPr>
              <w:t>。</w:t>
            </w:r>
          </w:p>
          <w:p>
            <w:pPr>
              <w:spacing w:line="560" w:lineRule="exact"/>
              <w:jc w:val="left"/>
              <w:rPr>
                <w:rFonts w:asciiTheme="minorEastAsia" w:hAnsiTheme="minorEastAsia" w:eastAsiaTheme="minorEastAsia" w:cstheme="minorEastAsia"/>
                <w:sz w:val="24"/>
              </w:rPr>
            </w:pPr>
            <w:r>
              <w:rPr>
                <w:rFonts w:hint="eastAsia" w:ascii="宋体" w:hAnsi="宋体"/>
                <w:sz w:val="24"/>
              </w:rPr>
              <w:t>根据《转发财政部关于做好政府采购信息公开工作的通知》（鲁财采</w:t>
            </w:r>
            <w:r>
              <w:rPr>
                <w:rFonts w:hint="eastAsia" w:ascii="宋体" w:hAnsi="宋体" w:cs="宋体"/>
                <w:bCs/>
                <w:sz w:val="24"/>
              </w:rPr>
              <w:t>﹝2015﹞</w:t>
            </w:r>
            <w:r>
              <w:rPr>
                <w:rFonts w:ascii="宋体" w:hAnsi="宋体"/>
                <w:sz w:val="24"/>
              </w:rPr>
              <w:t>33号）文件规定，预采购项目有取消和终止采购的可能。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5.6</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是否现场踏勘：（</w:t>
            </w:r>
            <w:r>
              <w:rPr>
                <w:rFonts w:hint="eastAsia" w:ascii="宋体" w:hAnsi="宋体"/>
                <w:sz w:val="24"/>
              </w:rPr>
              <w:t xml:space="preserve">是 </w:t>
            </w:r>
            <w:r>
              <w:rPr>
                <w:rFonts w:hint="eastAsia" w:ascii="仿宋_GB2312" w:hAnsi="仿宋_GB2312" w:eastAsia="仿宋_GB2312" w:cs="仿宋_GB2312"/>
                <w:bCs/>
                <w:sz w:val="24"/>
              </w:rPr>
              <w:t>□</w:t>
            </w:r>
            <w:r>
              <w:rPr>
                <w:rFonts w:hint="eastAsia" w:ascii="宋体" w:hAnsi="宋体"/>
                <w:sz w:val="24"/>
              </w:rPr>
              <w:t xml:space="preserve">  否 </w:t>
            </w:r>
            <w:r>
              <w:rPr>
                <w:rFonts w:hint="eastAsia" w:ascii="仿宋_GB2312" w:hAnsi="仿宋_GB2312" w:eastAsia="仿宋_GB2312" w:cs="仿宋_GB2312"/>
                <w:bCs/>
                <w:sz w:val="24"/>
              </w:rPr>
              <w:t>☑</w:t>
            </w:r>
            <w:r>
              <w:rPr>
                <w:rFonts w:hint="eastAsia" w:ascii="宋体" w:hAnsi="宋体"/>
                <w:sz w:val="24"/>
              </w:rPr>
              <w:t xml:space="preserve"> </w:t>
            </w:r>
            <w:r>
              <w:rPr>
                <w:rFonts w:hint="eastAsia" w:asciiTheme="minorEastAsia" w:hAnsiTheme="minorEastAsia" w:eastAsiaTheme="minorEastAsia" w:cstheme="minorEastAsia"/>
                <w:sz w:val="24"/>
              </w:rPr>
              <w:t xml:space="preserve"> ）</w:t>
            </w:r>
          </w:p>
          <w:p>
            <w:pPr>
              <w:spacing w:line="560" w:lineRule="exact"/>
              <w:ind w:right="311" w:rightChars="148"/>
              <w:jc w:val="left"/>
              <w:rPr>
                <w:rFonts w:eastAsia="仿宋_GB2312" w:asciiTheme="minorEastAsia" w:hAnsiTheme="minorEastAsia" w:cstheme="minorEastAsia"/>
                <w:sz w:val="24"/>
              </w:rPr>
            </w:pPr>
            <w:r>
              <w:rPr>
                <w:rFonts w:hint="eastAsia" w:asciiTheme="minorEastAsia" w:hAnsiTheme="minorEastAsia" w:eastAsiaTheme="minorEastAsia" w:cstheme="minorEastAsia"/>
                <w:sz w:val="24"/>
              </w:rPr>
              <w:t>现场踏勘描述：统一现场考察</w:t>
            </w:r>
            <w:r>
              <w:rPr>
                <w:rFonts w:hint="eastAsia" w:ascii="仿宋_GB2312" w:hAnsi="仿宋_GB2312" w:eastAsia="仿宋_GB2312" w:cs="仿宋_GB2312"/>
                <w:bCs/>
                <w:sz w:val="24"/>
              </w:rPr>
              <w:t>□</w:t>
            </w:r>
            <w:r>
              <w:rPr>
                <w:rFonts w:hint="eastAsia" w:asciiTheme="minorEastAsia" w:hAnsiTheme="minorEastAsia" w:eastAsiaTheme="minorEastAsia" w:cstheme="minorEastAsia"/>
                <w:sz w:val="24"/>
              </w:rPr>
              <w:t xml:space="preserve">    自行踏勘</w:t>
            </w:r>
            <w:r>
              <w:rPr>
                <w:rFonts w:hint="eastAsia" w:ascii="仿宋_GB2312" w:hAnsi="仿宋_GB2312" w:eastAsia="仿宋_GB2312" w:cs="仿宋_GB2312"/>
                <w:bCs/>
                <w:sz w:val="24"/>
              </w:rPr>
              <w:t>☑</w:t>
            </w:r>
          </w:p>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现场踏勘时间：    年   月   日至    年   月   日</w:t>
            </w:r>
          </w:p>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踏勘地点：</w:t>
            </w:r>
          </w:p>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联系人：   联系电话：</w:t>
            </w:r>
          </w:p>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是否答疑会：（</w:t>
            </w:r>
            <w:r>
              <w:rPr>
                <w:rFonts w:hint="eastAsia" w:ascii="宋体" w:hAnsi="宋体"/>
                <w:sz w:val="24"/>
              </w:rPr>
              <w:t xml:space="preserve">是 </w:t>
            </w:r>
            <w:r>
              <w:rPr>
                <w:rFonts w:hint="eastAsia" w:ascii="仿宋_GB2312" w:hAnsi="仿宋_GB2312" w:eastAsia="仿宋_GB2312" w:cs="仿宋_GB2312"/>
                <w:bCs/>
                <w:sz w:val="24"/>
              </w:rPr>
              <w:t>□</w:t>
            </w:r>
            <w:r>
              <w:rPr>
                <w:rFonts w:hint="eastAsia" w:ascii="宋体" w:hAnsi="宋体"/>
                <w:sz w:val="24"/>
              </w:rPr>
              <w:t xml:space="preserve">  否 </w:t>
            </w:r>
            <w:r>
              <w:rPr>
                <w:rFonts w:hint="eastAsia" w:ascii="仿宋_GB2312" w:hAnsi="仿宋_GB2312" w:eastAsia="仿宋_GB2312" w:cs="仿宋_GB2312"/>
                <w:bCs/>
                <w:sz w:val="24"/>
              </w:rPr>
              <w:t>□</w:t>
            </w:r>
            <w:r>
              <w:rPr>
                <w:rFonts w:hint="eastAsia" w:ascii="宋体" w:hAnsi="宋体"/>
                <w:sz w:val="24"/>
              </w:rPr>
              <w:t xml:space="preserve"> </w:t>
            </w:r>
            <w:r>
              <w:rPr>
                <w:rFonts w:hint="eastAsia" w:asciiTheme="minorEastAsia" w:hAnsiTheme="minorEastAsia" w:eastAsiaTheme="minorEastAsia" w:cstheme="minorEastAsia"/>
                <w:sz w:val="24"/>
              </w:rPr>
              <w:t>）</w:t>
            </w:r>
          </w:p>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答疑会描述：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8.5</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sz w:val="24"/>
              </w:rPr>
            </w:pPr>
            <w:r>
              <w:rPr>
                <w:rFonts w:ascii="宋体" w:hAnsi="宋体" w:cs="宋体"/>
                <w:kern w:val="0"/>
                <w:position w:val="-2"/>
                <w:sz w:val="24"/>
              </w:rPr>
              <w:t>是否兼投不兼中</w:t>
            </w:r>
            <w:r>
              <w:rPr>
                <w:rFonts w:hint="eastAsia" w:ascii="宋体" w:hAnsi="宋体" w:cs="宋体"/>
                <w:kern w:val="0"/>
                <w:position w:val="-2"/>
                <w:sz w:val="24"/>
              </w:rPr>
              <w:t>：</w:t>
            </w:r>
            <w:r>
              <w:rPr>
                <w:rFonts w:hint="eastAsia" w:ascii="宋体" w:hAnsi="宋体"/>
                <w:sz w:val="24"/>
              </w:rPr>
              <w:t xml:space="preserve">（是 </w:t>
            </w:r>
            <w:r>
              <w:rPr>
                <w:rFonts w:hint="eastAsia" w:ascii="仿宋_GB2312" w:hAnsi="仿宋_GB2312" w:eastAsia="仿宋_GB2312" w:cs="仿宋_GB2312"/>
                <w:bCs/>
                <w:sz w:val="24"/>
              </w:rPr>
              <w:t>□</w:t>
            </w:r>
            <w:r>
              <w:rPr>
                <w:rFonts w:hint="eastAsia" w:ascii="宋体" w:hAnsi="宋体"/>
                <w:sz w:val="24"/>
              </w:rPr>
              <w:t xml:space="preserve">  否 </w:t>
            </w:r>
            <w:r>
              <w:rPr>
                <w:rFonts w:hint="eastAsia" w:ascii="仿宋_GB2312" w:hAnsi="仿宋_GB2312" w:eastAsia="仿宋_GB2312" w:cs="仿宋_GB2312"/>
                <w:bCs/>
                <w:sz w:val="24"/>
              </w:rPr>
              <w:t>☑</w:t>
            </w:r>
            <w:r>
              <w:rPr>
                <w:rFonts w:hint="eastAsia" w:ascii="宋体" w:hAnsi="宋体"/>
                <w:sz w:val="24"/>
              </w:rPr>
              <w:t xml:space="preserve"> ）</w:t>
            </w:r>
          </w:p>
          <w:p>
            <w:pPr>
              <w:spacing w:line="560" w:lineRule="exact"/>
              <w:jc w:val="left"/>
              <w:rPr>
                <w:rFonts w:asciiTheme="minorEastAsia" w:hAnsiTheme="minorEastAsia" w:eastAsiaTheme="minorEastAsia" w:cstheme="minorEastAsia"/>
                <w:sz w:val="24"/>
                <w:u w:val="single"/>
              </w:rPr>
            </w:pPr>
            <w:r>
              <w:rPr>
                <w:rFonts w:hint="eastAsia" w:ascii="宋体" w:hAnsi="宋体" w:cs="宋体"/>
                <w:bCs/>
                <w:sz w:val="24"/>
              </w:rPr>
              <w:t>说明与要求：本项目不划分包段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rPr>
              <w:t>报价要求：</w:t>
            </w:r>
            <w:r>
              <w:rPr>
                <w:rFonts w:hint="eastAsia" w:asciiTheme="minorEastAsia" w:hAnsiTheme="minorEastAsia" w:eastAsiaTheme="minorEastAsia" w:cstheme="minorEastAsia"/>
                <w:sz w:val="24"/>
                <w:highlight w:val="none"/>
              </w:rPr>
              <w:t>1、所有报价均以人民币报价。</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各供应商按照谈判文件的要求及谈判文件提供的报价表进行报价，报价含货物达到谈判文件要求送至指定地点安装调试完成并经验收合格后的全部费税价格，其内容包括但不仅限于：货物、运输费、装卸费、保险费、保管费、检验检测费、服务管理费、备品备件、备件、安装、调试、售后服务、后期维护、技术支持、验收、连接线路、人员培训、政策性文件规定及合同包含的所有风险责任的各项费用及其他附带服务的费用、技术指导、税金、利润、不可预见费用等一切费用。供应商免费提供的所有选配件、零配件等项目，应注明免费，不计入总价。供应商应充分考虑本项目合同实施期间可能发生的一切费用，并承担由此而带来的风险。凡供应商在报价中未列明但又为本项目达标所必备的项目和遗漏项目等，一律视为已包括在其报价中，在合同执行中将不予考虑。在其他情况下，由于分项报价填报不完整、不清楚或存在其他任何失误，所导致的任何不利后果均应当由供应商自行承担。若有漏报或缺报，视为该项费用已包括在其他项目中，在合同执行过程中将不予考虑。</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3、所报价格应为货物运至现场并安装调试完成验收合格直至采购人可以正常使用的全部税费价格。供应商要按报价表（统一格式）的内容填写价格及其他事项，由全权代表签章并加盖供应商公章。</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4、采购人不接受任何选择性报价，只允许有一个报价和一个方案，任何有选择性地报价和方案将不予接受。</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5、供应商应根据市场价格、自身技术装备、管理水平及资金条件、预期利润等情况自行报价，由此进行的测算和报价采购人不承担任何责任。</w:t>
            </w:r>
          </w:p>
          <w:p>
            <w:pPr>
              <w:spacing w:line="560" w:lineRule="exact"/>
              <w:jc w:val="left"/>
            </w:pPr>
            <w:r>
              <w:rPr>
                <w:rFonts w:hint="eastAsia" w:asciiTheme="minorEastAsia" w:hAnsiTheme="minorEastAsia" w:eastAsiaTheme="minorEastAsia" w:cstheme="minorEastAsia"/>
                <w:sz w:val="24"/>
                <w:highlight w:val="none"/>
              </w:rPr>
              <w:t>6、在评审过程中，谈判小组若发现供应商的报价或个别单价明显高于或低于其他报价的，应当要求该供应商做出说明，其说明报价高或低的理由是否合理，须经谈判小组 2/3 的专家认定；经谈判小组认定为理由不合理的，按照无效报价处理。注：若谈判小组认定供应商的报价明显低于其他通过符合性审查供应商的报价，有可能影响服务质量或者不能诚信履约的，须向谈判小组提供相关证明材料并上传原件扫描件。说明和证明材料应包含:①成本构成。包含服务内容本身成本、人工费用、运输、税收等说明；②较其他供应商且能支撑自己报更低价格的优势说明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11.4</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样品演示    是□  否☑</w:t>
            </w:r>
          </w:p>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演示内容：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响应有效期：60日历日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需自行上传的文件：加密电子响应文件1份。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16.1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响应文件提交截止时间：2022年</w:t>
            </w:r>
            <w:r>
              <w:rPr>
                <w:rFonts w:hint="eastAsia" w:asciiTheme="minorEastAsia" w:hAnsiTheme="minorEastAsia" w:eastAsiaTheme="minorEastAsia" w:cstheme="minorEastAsia"/>
                <w:sz w:val="24"/>
                <w:lang w:val="en-US" w:eastAsia="zh-CN"/>
              </w:rPr>
              <w:t>8</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lang w:val="en-US" w:eastAsia="zh-CN"/>
              </w:rPr>
              <w:t>15</w:t>
            </w:r>
            <w:r>
              <w:rPr>
                <w:rFonts w:hint="eastAsia" w:asciiTheme="minorEastAsia" w:hAnsiTheme="minorEastAsia" w:eastAsiaTheme="minorEastAsia" w:cstheme="minorEastAsia"/>
                <w:sz w:val="24"/>
              </w:rPr>
              <w:t>日</w:t>
            </w:r>
            <w:r>
              <w:rPr>
                <w:rFonts w:hint="eastAsia" w:asciiTheme="minorEastAsia" w:hAnsiTheme="minorEastAsia" w:eastAsiaTheme="minorEastAsia" w:cstheme="minorEastAsia"/>
                <w:sz w:val="24"/>
                <w:lang w:val="en-US" w:eastAsia="zh-CN"/>
              </w:rPr>
              <w:t>9</w:t>
            </w:r>
            <w:r>
              <w:rPr>
                <w:rFonts w:hint="eastAsia" w:asciiTheme="minorEastAsia" w:hAnsiTheme="minorEastAsia" w:eastAsiaTheme="minorEastAsia" w:cstheme="minorEastAsia"/>
                <w:sz w:val="24"/>
              </w:rPr>
              <w:t>时</w:t>
            </w:r>
            <w:r>
              <w:rPr>
                <w:rFonts w:hint="eastAsia" w:asciiTheme="minorEastAsia" w:hAnsiTheme="minorEastAsia" w:eastAsiaTheme="minorEastAsia" w:cstheme="minorEastAsia"/>
                <w:sz w:val="24"/>
                <w:lang w:val="en-US" w:eastAsia="zh-CN"/>
              </w:rPr>
              <w:t>00</w:t>
            </w:r>
            <w:r>
              <w:rPr>
                <w:rFonts w:hint="eastAsia" w:asciiTheme="minorEastAsia" w:hAnsiTheme="minorEastAsia" w:eastAsiaTheme="minorEastAsia" w:cstheme="minorEastAsia"/>
                <w:sz w:val="24"/>
              </w:rPr>
              <w:t>分（北京时间）</w:t>
            </w:r>
          </w:p>
          <w:p>
            <w:pPr>
              <w:spacing w:line="560" w:lineRule="exact"/>
              <w:jc w:val="left"/>
              <w:rPr>
                <w:rFonts w:eastAsiaTheme="minorEastAsia"/>
              </w:rPr>
            </w:pPr>
            <w:bookmarkStart w:id="103" w:name="_Toc12440"/>
            <w:r>
              <w:rPr>
                <w:rFonts w:hint="eastAsia" w:asciiTheme="minorEastAsia" w:hAnsiTheme="minorEastAsia" w:eastAsiaTheme="minorEastAsia" w:cstheme="minorEastAsia"/>
                <w:sz w:val="24"/>
              </w:rPr>
              <w:t>地址：</w:t>
            </w:r>
            <w:bookmarkEnd w:id="103"/>
            <w:r>
              <w:rPr>
                <w:rFonts w:hint="eastAsia" w:asciiTheme="minorEastAsia" w:hAnsiTheme="minorEastAsia" w:eastAsiaTheme="minorEastAsia" w:cstheme="minorEastAsia"/>
                <w:sz w:val="24"/>
              </w:rPr>
              <w:t>淄博市公共资源交易网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18.1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开标时间：2022年</w:t>
            </w:r>
            <w:r>
              <w:rPr>
                <w:rFonts w:hint="eastAsia" w:asciiTheme="minorEastAsia" w:hAnsiTheme="minorEastAsia" w:eastAsiaTheme="minorEastAsia" w:cstheme="minorEastAsia"/>
                <w:sz w:val="24"/>
                <w:lang w:val="en-US" w:eastAsia="zh-CN"/>
              </w:rPr>
              <w:t>8</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lang w:val="en-US" w:eastAsia="zh-CN"/>
              </w:rPr>
              <w:t>15</w:t>
            </w:r>
            <w:r>
              <w:rPr>
                <w:rFonts w:hint="eastAsia" w:asciiTheme="minorEastAsia" w:hAnsiTheme="minorEastAsia" w:eastAsiaTheme="minorEastAsia" w:cstheme="minorEastAsia"/>
                <w:sz w:val="24"/>
              </w:rPr>
              <w:t>日</w:t>
            </w:r>
            <w:r>
              <w:rPr>
                <w:rFonts w:hint="eastAsia" w:asciiTheme="minorEastAsia" w:hAnsiTheme="minorEastAsia" w:eastAsiaTheme="minorEastAsia" w:cstheme="minorEastAsia"/>
                <w:sz w:val="24"/>
                <w:lang w:val="en-US" w:eastAsia="zh-CN"/>
              </w:rPr>
              <w:t>9</w:t>
            </w:r>
            <w:r>
              <w:rPr>
                <w:rFonts w:hint="eastAsia" w:asciiTheme="minorEastAsia" w:hAnsiTheme="minorEastAsia" w:eastAsiaTheme="minorEastAsia" w:cstheme="minorEastAsia"/>
                <w:sz w:val="24"/>
              </w:rPr>
              <w:t>时</w:t>
            </w:r>
            <w:r>
              <w:rPr>
                <w:rFonts w:hint="eastAsia" w:asciiTheme="minorEastAsia" w:hAnsiTheme="minorEastAsia" w:eastAsiaTheme="minorEastAsia" w:cstheme="minorEastAsia"/>
                <w:sz w:val="24"/>
                <w:lang w:val="en-US" w:eastAsia="zh-CN"/>
              </w:rPr>
              <w:t>00</w:t>
            </w:r>
            <w:r>
              <w:rPr>
                <w:rFonts w:hint="eastAsia" w:asciiTheme="minorEastAsia" w:hAnsiTheme="minorEastAsia" w:eastAsiaTheme="minorEastAsia" w:cstheme="minorEastAsia"/>
                <w:sz w:val="24"/>
              </w:rPr>
              <w:t>分（北京时间）</w:t>
            </w:r>
          </w:p>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开标地点：淄博市公共资源交易网网上开标大厅（http://ggzyjy.zibo.gov.cn:9181/BidOpeningHall/bidopeninghallaction/hall/login）</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18.4</w:t>
            </w:r>
          </w:p>
        </w:tc>
        <w:tc>
          <w:tcPr>
            <w:tcW w:w="8363" w:type="dxa"/>
            <w:tcBorders>
              <w:top w:val="single" w:color="auto" w:sz="6" w:space="0"/>
              <w:left w:val="single" w:color="auto" w:sz="6" w:space="0"/>
              <w:bottom w:val="single" w:color="auto" w:sz="6" w:space="0"/>
              <w:right w:val="single" w:color="auto" w:sz="12" w:space="0"/>
            </w:tcBorders>
            <w:vAlign w:val="center"/>
          </w:tcPr>
          <w:p>
            <w:pPr>
              <w:pStyle w:val="36"/>
              <w:widowControl w:val="0"/>
              <w:spacing w:line="560" w:lineRule="exact"/>
              <w:ind w:firstLine="0" w:firstLineChars="0"/>
              <w:rPr>
                <w:rFonts w:ascii="宋体" w:hAnsi="宋体" w:eastAsia="仿宋_GB2312"/>
              </w:rPr>
            </w:pPr>
            <w:r>
              <w:rPr>
                <w:rFonts w:hint="eastAsia" w:ascii="宋体" w:hAnsi="宋体" w:cs="宋体"/>
                <w:bCs/>
                <w:snapToGrid w:val="0"/>
              </w:rPr>
              <w:t>首次响应文件是否唱价：</w:t>
            </w:r>
            <w:r>
              <w:rPr>
                <w:rFonts w:hint="eastAsia" w:ascii="宋体" w:hAnsi="宋体" w:cs="宋体"/>
                <w:bCs/>
                <w:highlight w:val="none"/>
              </w:rPr>
              <w:t>是</w:t>
            </w:r>
            <w:r>
              <w:rPr>
                <w:rFonts w:hint="eastAsia" w:ascii="仿宋_GB2312" w:hAnsi="仿宋_GB2312" w:eastAsia="仿宋_GB2312" w:cs="仿宋_GB2312"/>
                <w:bCs/>
                <w:highlight w:val="none"/>
              </w:rPr>
              <w:t>□</w:t>
            </w:r>
            <w:r>
              <w:rPr>
                <w:rFonts w:hint="eastAsia" w:ascii="宋体" w:hAnsi="宋体" w:cs="宋体"/>
                <w:bCs/>
                <w:highlight w:val="none"/>
              </w:rPr>
              <w:t xml:space="preserve"> 否</w:t>
            </w:r>
            <w:r>
              <w:rPr>
                <w:rFonts w:hint="eastAsia" w:ascii="仿宋_GB2312" w:hAnsi="仿宋_GB2312" w:eastAsia="仿宋_GB2312" w:cs="仿宋_GB2312"/>
                <w:bCs/>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20.2</w:t>
            </w:r>
          </w:p>
        </w:tc>
        <w:tc>
          <w:tcPr>
            <w:tcW w:w="8363" w:type="dxa"/>
            <w:tcBorders>
              <w:top w:val="single" w:color="auto" w:sz="6" w:space="0"/>
              <w:left w:val="single" w:color="auto" w:sz="6" w:space="0"/>
              <w:bottom w:val="single" w:color="auto" w:sz="6" w:space="0"/>
              <w:right w:val="single" w:color="auto" w:sz="12" w:space="0"/>
            </w:tcBorders>
            <w:vAlign w:val="center"/>
          </w:tcPr>
          <w:p>
            <w:pPr>
              <w:pStyle w:val="36"/>
              <w:widowControl w:val="0"/>
              <w:spacing w:line="560" w:lineRule="exact"/>
              <w:ind w:firstLine="0" w:firstLineChars="0"/>
              <w:rPr>
                <w:rFonts w:ascii="宋体" w:hAnsi="宋体"/>
              </w:rPr>
            </w:pPr>
            <w:r>
              <w:rPr>
                <w:rFonts w:hint="eastAsia" w:ascii="宋体" w:hAnsi="宋体"/>
              </w:rPr>
              <w:t>信用查询时间:项目开标仪式结束后，评审会议开始前。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Merge w:val="restart"/>
            <w:tcBorders>
              <w:top w:val="single" w:color="auto" w:sz="6" w:space="0"/>
              <w:left w:val="single" w:color="auto" w:sz="12"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28</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cs="宋体"/>
              </w:rPr>
            </w:pPr>
            <w:r>
              <w:rPr>
                <w:rFonts w:hint="eastAsia" w:ascii="宋体" w:hAnsi="宋体" w:cs="宋体"/>
                <w:bCs/>
                <w:sz w:val="24"/>
              </w:rPr>
              <w:t>采购人是否委托谈判小组直接确定成交供应商：是☑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Merge w:val="continue"/>
            <w:tcBorders>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cs="宋体"/>
              </w:rPr>
            </w:pPr>
            <w:r>
              <w:rPr>
                <w:rFonts w:hint="eastAsia" w:ascii="宋体" w:hAnsi="宋体" w:cs="宋体"/>
                <w:bCs/>
                <w:sz w:val="24"/>
              </w:rPr>
              <w:t>推荐成交候选人的数量：</w:t>
            </w:r>
            <w:r>
              <w:rPr>
                <w:rFonts w:hint="eastAsia" w:ascii="宋体" w:hAnsi="宋体" w:cs="宋体"/>
                <w:b/>
                <w:sz w:val="24"/>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Merge w:val="restart"/>
            <w:tcBorders>
              <w:top w:val="single" w:color="auto" w:sz="6" w:space="0"/>
              <w:left w:val="single" w:color="auto" w:sz="12"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32</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Theme="minorEastAsia" w:hAnsiTheme="minorEastAsia" w:eastAsiaTheme="minorEastAsia" w:cstheme="minorEastAsia"/>
                <w:sz w:val="24"/>
              </w:rPr>
            </w:pPr>
            <w:r>
              <w:rPr>
                <w:rFonts w:hint="eastAsia" w:ascii="宋体" w:hAnsi="宋体"/>
                <w:sz w:val="24"/>
              </w:rPr>
              <w:t>是否提交履约保证：是</w:t>
            </w:r>
            <w:r>
              <w:rPr>
                <w:rFonts w:ascii="宋体" w:hAnsi="宋体"/>
                <w:sz w:val="24"/>
              </w:rPr>
              <w:t>□</w:t>
            </w:r>
            <w:r>
              <w:rPr>
                <w:rFonts w:hint="eastAsia" w:ascii="宋体" w:hAnsi="宋体"/>
                <w:sz w:val="40"/>
              </w:rPr>
              <w:t xml:space="preserve"> </w:t>
            </w:r>
            <w:r>
              <w:rPr>
                <w:rFonts w:hint="eastAsia" w:ascii="宋体" w:hAnsi="宋体"/>
                <w:sz w:val="24"/>
              </w:rPr>
              <w:t xml:space="preserve">否☑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Merge w:val="continue"/>
            <w:tcBorders>
              <w:left w:val="single" w:color="auto" w:sz="12" w:space="0"/>
              <w:right w:val="single" w:color="auto" w:sz="6" w:space="0"/>
            </w:tcBorders>
            <w:vAlign w:val="center"/>
          </w:tcPr>
          <w:p>
            <w:pPr>
              <w:spacing w:line="560" w:lineRule="exact"/>
              <w:jc w:val="center"/>
              <w:rPr>
                <w:rFonts w:asciiTheme="minorEastAsia" w:hAnsiTheme="minorEastAsia" w:eastAsiaTheme="minorEastAsia" w:cstheme="minorEastAsia"/>
                <w:sz w:val="24"/>
              </w:rPr>
            </w:pP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sz w:val="24"/>
              </w:rPr>
            </w:pPr>
            <w:r>
              <w:rPr>
                <w:rFonts w:hint="eastAsia" w:ascii="宋体" w:hAnsi="宋体"/>
                <w:sz w:val="24"/>
              </w:rPr>
              <w:t>履约保证的形式：履约保证金（非现金形式）、履约保函、履约担保函。</w:t>
            </w:r>
          </w:p>
          <w:p>
            <w:pPr>
              <w:spacing w:line="560" w:lineRule="exact"/>
              <w:rPr>
                <w:rFonts w:asciiTheme="minorEastAsia" w:hAnsiTheme="minorEastAsia" w:eastAsiaTheme="minorEastAsia" w:cstheme="minorEastAsia"/>
                <w:sz w:val="24"/>
              </w:rPr>
            </w:pPr>
            <w:r>
              <w:rPr>
                <w:rFonts w:hint="eastAsia" w:ascii="宋体" w:hAnsi="宋体"/>
                <w:sz w:val="24"/>
              </w:rPr>
              <w:t>提交履约保证的时间：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Merge w:val="continue"/>
            <w:tcBorders>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Theme="minorEastAsia" w:hAnsiTheme="minorEastAsia" w:eastAsiaTheme="minorEastAsia" w:cstheme="minorEastAsia"/>
                <w:sz w:val="24"/>
              </w:rPr>
            </w:pPr>
            <w:r>
              <w:rPr>
                <w:rFonts w:hint="eastAsia" w:ascii="宋体" w:hAnsi="宋体"/>
                <w:sz w:val="24"/>
              </w:rPr>
              <w:t>履约保证金额：合同总价的</w:t>
            </w:r>
            <w:r>
              <w:rPr>
                <w:rFonts w:hint="eastAsia" w:ascii="宋体" w:hAnsi="宋体"/>
                <w:sz w:val="24"/>
                <w:u w:val="single"/>
              </w:rPr>
              <w:t>　　　　　</w:t>
            </w:r>
            <w:r>
              <w:rPr>
                <w:rFonts w:hint="eastAsia" w:ascii="宋体" w:hAnsi="宋体"/>
                <w:i/>
                <w:sz w:val="24"/>
              </w:rPr>
              <w:t>（</w:t>
            </w:r>
            <w:r>
              <w:rPr>
                <w:rFonts w:ascii="宋体" w:hAnsi="宋体"/>
                <w:i/>
                <w:sz w:val="24"/>
              </w:rPr>
              <w:t>不得超过政府采购</w:t>
            </w:r>
            <w:r>
              <w:rPr>
                <w:rFonts w:hint="eastAsia" w:ascii="宋体" w:hAnsi="宋体"/>
                <w:i/>
                <w:sz w:val="24"/>
              </w:rPr>
              <w:t>合同</w:t>
            </w:r>
            <w:r>
              <w:rPr>
                <w:rFonts w:ascii="宋体" w:hAnsi="宋体"/>
                <w:i/>
                <w:sz w:val="24"/>
              </w:rPr>
              <w:t>金额的</w:t>
            </w:r>
            <w:r>
              <w:rPr>
                <w:rFonts w:hint="eastAsia" w:ascii="宋体" w:hAnsi="宋体"/>
                <w:i/>
                <w:sz w:val="24"/>
              </w:rPr>
              <w:t>10%）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34</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宋体" w:hAnsi="宋体"/>
                <w:sz w:val="24"/>
              </w:rPr>
              <w:t>是否支付预付款</w:t>
            </w:r>
            <w:r>
              <w:rPr>
                <w:rFonts w:hint="eastAsia" w:ascii="宋体" w:hAnsi="宋体"/>
                <w:sz w:val="24"/>
                <w:highlight w:val="none"/>
              </w:rPr>
              <w:t xml:space="preserve">：否☑  </w:t>
            </w:r>
            <w:r>
              <w:rPr>
                <w:rFonts w:hint="eastAsia" w:ascii="宋体" w:hAnsi="宋体"/>
                <w:sz w:val="24"/>
              </w:rPr>
              <w:t xml:space="preserve">     是□，预付款比例为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35.3</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反腐倡廉监督电话/邮箱：0533-3579588</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37.3</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质疑函接收部门、联系电话和通讯地址：</w:t>
            </w:r>
          </w:p>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联系部门：山东瀚广建设项目管理有限公司</w:t>
            </w:r>
          </w:p>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联系电话：0533-3579588</w:t>
            </w:r>
          </w:p>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通讯地址：淄博高新区中润大道39号九宏大厦三楼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38.1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成交服务费：按差额定率累进计费方式，100万以内按成交金额的1.5%收取，100万-500万按成交金额的1.1%收取。</w:t>
            </w:r>
          </w:p>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支付形式：电汇</w:t>
            </w:r>
          </w:p>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支付时间：由成交供应商在谈判结束后五日内一次性向代理机构支付。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42</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hAnsi="宋体" w:cs="宋体"/>
                <w:sz w:val="24"/>
              </w:rPr>
              <w:t>竞争性谈判文件</w:t>
            </w:r>
            <w:r>
              <w:rPr>
                <w:rFonts w:hint="eastAsia" w:asciiTheme="minorEastAsia" w:hAnsiTheme="minorEastAsia" w:eastAsiaTheme="minorEastAsia" w:cstheme="minorEastAsia"/>
                <w:sz w:val="24"/>
              </w:rPr>
              <w:t>解释权：最终解释权归采购人及采购代理机构所有。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9384" w:type="dxa"/>
            <w:gridSpan w:val="2"/>
            <w:vAlign w:val="center"/>
          </w:tcPr>
          <w:p>
            <w:pPr>
              <w:spacing w:line="560" w:lineRule="exact"/>
              <w:ind w:firstLine="720" w:firstLineChars="30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适用于本供应商须知的额外增加的变动：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8363" w:type="dxa"/>
            <w:vAlign w:val="center"/>
          </w:tcPr>
          <w:p>
            <w:pPr>
              <w:pStyle w:val="5"/>
              <w:spacing w:after="0" w:line="560" w:lineRule="exact"/>
              <w:rPr>
                <w:rFonts w:asciiTheme="minorEastAsia" w:hAnsiTheme="minorEastAsia" w:eastAsiaTheme="minorEastAsia" w:cstheme="minorEastAsia"/>
                <w:b w:val="0"/>
                <w:szCs w:val="24"/>
              </w:rPr>
            </w:pPr>
            <w:bookmarkStart w:id="104" w:name="_Toc62193440"/>
            <w:bookmarkStart w:id="105" w:name="_Toc13940"/>
            <w:bookmarkStart w:id="106" w:name="_Toc18918"/>
            <w:r>
              <w:rPr>
                <w:rFonts w:hint="eastAsia" w:asciiTheme="minorEastAsia" w:hAnsiTheme="minorEastAsia" w:eastAsiaTheme="minorEastAsia" w:cstheme="minorEastAsia"/>
                <w:b w:val="0"/>
                <w:szCs w:val="24"/>
              </w:rPr>
              <w:t>供应商资格条件（提供以下资料扫描件）：</w:t>
            </w:r>
            <w:bookmarkEnd w:id="104"/>
            <w:bookmarkEnd w:id="105"/>
            <w:bookmarkEnd w:id="106"/>
          </w:p>
          <w:p>
            <w:pPr>
              <w:numPr>
                <w:ilvl w:val="0"/>
                <w:numId w:val="1"/>
              </w:numPr>
              <w:spacing w:line="560" w:lineRule="exact"/>
              <w:rPr>
                <w:rFonts w:ascii="宋体" w:hAnsi="宋体" w:cs="宋体"/>
                <w:sz w:val="24"/>
              </w:rPr>
            </w:pPr>
            <w:r>
              <w:rPr>
                <w:rFonts w:hint="eastAsia" w:ascii="宋体" w:hAnsi="宋体" w:cs="宋体"/>
                <w:sz w:val="24"/>
              </w:rPr>
              <w:t>加载有统一社会信用代码的《营业执照》或其他组织有效证件原件扫描件；</w:t>
            </w:r>
          </w:p>
          <w:p>
            <w:pPr>
              <w:numPr>
                <w:ilvl w:val="0"/>
                <w:numId w:val="1"/>
              </w:numPr>
              <w:spacing w:line="560" w:lineRule="exact"/>
              <w:rPr>
                <w:rFonts w:ascii="宋体" w:hAnsi="宋体" w:cs="宋体"/>
                <w:sz w:val="24"/>
              </w:rPr>
            </w:pPr>
            <w:r>
              <w:rPr>
                <w:rFonts w:hint="eastAsia" w:ascii="宋体" w:hAnsi="宋体" w:cs="宋体"/>
                <w:sz w:val="24"/>
              </w:rPr>
              <w:t>法定代表人（非法人组织的负责人）身份证明书或法定代表人（非法人组织的负责人）授权书；</w:t>
            </w:r>
          </w:p>
          <w:p>
            <w:pPr>
              <w:numPr>
                <w:ilvl w:val="0"/>
                <w:numId w:val="1"/>
              </w:numPr>
              <w:spacing w:line="560" w:lineRule="exact"/>
              <w:rPr>
                <w:rFonts w:ascii="宋体" w:hAnsi="宋体" w:cs="宋体"/>
                <w:sz w:val="24"/>
              </w:rPr>
            </w:pPr>
            <w:r>
              <w:rPr>
                <w:rFonts w:hint="eastAsia" w:ascii="宋体" w:hAnsi="宋体" w:cs="宋体"/>
                <w:sz w:val="24"/>
              </w:rPr>
              <w:t>法定代表人（非法人组织的负责人）或其授权代表的身份证扫描件；</w:t>
            </w:r>
          </w:p>
          <w:p>
            <w:pPr>
              <w:numPr>
                <w:ilvl w:val="0"/>
                <w:numId w:val="1"/>
              </w:numPr>
              <w:spacing w:line="560" w:lineRule="exact"/>
              <w:rPr>
                <w:rFonts w:ascii="宋体" w:hAnsi="宋体" w:cs="宋体"/>
                <w:sz w:val="24"/>
              </w:rPr>
            </w:pPr>
            <w:r>
              <w:rPr>
                <w:rFonts w:hint="eastAsia" w:ascii="宋体" w:hAnsi="宋体" w:cs="宋体"/>
                <w:sz w:val="24"/>
              </w:rPr>
              <w:t>政府采购供应商信用承诺书；</w:t>
            </w:r>
          </w:p>
          <w:p>
            <w:pPr>
              <w:spacing w:line="560" w:lineRule="exact"/>
              <w:rPr>
                <w:rFonts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8363" w:type="dxa"/>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是否允许供应商将项目非主体、非关键性工作交由他人完成：</w:t>
            </w:r>
          </w:p>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是□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9384" w:type="dxa"/>
            <w:gridSpan w:val="2"/>
            <w:vAlign w:val="center"/>
          </w:tcPr>
          <w:p>
            <w:pPr>
              <w:spacing w:line="560" w:lineRule="exact"/>
              <w:jc w:val="center"/>
              <w:rPr>
                <w:rFonts w:asciiTheme="minorEastAsia" w:hAnsiTheme="minorEastAsia" w:eastAsiaTheme="minorEastAsia" w:cstheme="minorEastAsia"/>
                <w:sz w:val="24"/>
              </w:rPr>
            </w:pPr>
            <w:r>
              <w:rPr>
                <w:rFonts w:hint="eastAsia" w:ascii="宋体" w:hAnsi="宋体"/>
                <w:sz w:val="24"/>
              </w:rPr>
              <w:t xml:space="preserve"> 其他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8363" w:type="dxa"/>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付款途径：采购人自行支付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8363" w:type="dxa"/>
            <w:vAlign w:val="center"/>
          </w:tcPr>
          <w:p>
            <w:pPr>
              <w:spacing w:line="560" w:lineRule="exact"/>
              <w:jc w:val="left"/>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付款方式：</w:t>
            </w:r>
            <w:r>
              <w:rPr>
                <w:rFonts w:hint="eastAsia" w:asciiTheme="minorEastAsia" w:hAnsiTheme="minorEastAsia" w:eastAsiaTheme="minorEastAsia" w:cstheme="minorEastAsia"/>
                <w:b/>
                <w:bCs/>
                <w:sz w:val="24"/>
                <w:highlight w:val="none"/>
              </w:rPr>
              <w:t>合同签订并供货完毕，支付不超过合同金额30%的货款；经验收合格后，付至结算金额的30％一70%，剩余资金按财政资金计划支付。资金支付自2023年起执行。</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本合同为固定单价合同，根据实际供货、安装的产品数量据实结算</w:t>
            </w:r>
            <w:r>
              <w:rPr>
                <w:rFonts w:hint="eastAsia" w:asciiTheme="minorEastAsia" w:hAnsiTheme="minorEastAsia" w:eastAsiaTheme="minorEastAsia" w:cstheme="minorEastAsia"/>
                <w:sz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8363" w:type="dxa"/>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交付日期（服务期限）：自采购人通知之日起20日历天内供货安装调试完毕并验收合格（具体供货日期以采购人通知为准）。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w:t>
            </w:r>
          </w:p>
        </w:tc>
        <w:tc>
          <w:tcPr>
            <w:tcW w:w="8363" w:type="dxa"/>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交付地点：采购人指定地点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w:t>
            </w:r>
          </w:p>
        </w:tc>
        <w:tc>
          <w:tcPr>
            <w:tcW w:w="8363" w:type="dxa"/>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免费维护期、保修期：本项目所提供设备整体质保年限不低于2年。质保期从验收合格之日起开始计算。成交供应商应提供及时周到的售后服务。成交供应商在接采购人维修通知后应 2 小时作出响应，且在采购人规定的时间内维修完毕，在规定时间内不能及时维修完毕的成交供应商应免费提供备品（机）备件。</w:t>
            </w:r>
          </w:p>
        </w:tc>
      </w:tr>
    </w:tbl>
    <w:p>
      <w:pPr>
        <w:spacing w:line="560" w:lineRule="exact"/>
        <w:rPr>
          <w:rFonts w:ascii="宋体" w:hAnsi="宋体" w:cs="宋体"/>
          <w:sz w:val="24"/>
        </w:rPr>
        <w:sectPr>
          <w:footerReference r:id="rId8" w:type="default"/>
          <w:pgSz w:w="11906" w:h="16838"/>
          <w:pgMar w:top="2098" w:right="1474" w:bottom="1984" w:left="1587" w:header="851" w:footer="992" w:gutter="0"/>
          <w:pgNumType w:start="1"/>
          <w:cols w:space="0" w:num="1"/>
          <w:docGrid w:linePitch="312" w:charSpace="0"/>
        </w:sectPr>
      </w:pPr>
    </w:p>
    <w:bookmarkEnd w:id="32"/>
    <w:bookmarkEnd w:id="33"/>
    <w:bookmarkEnd w:id="34"/>
    <w:bookmarkEnd w:id="37"/>
    <w:p>
      <w:pPr>
        <w:spacing w:line="560" w:lineRule="exact"/>
        <w:rPr>
          <w:rFonts w:ascii="宋体" w:hAnsi="宋体" w:cs="宋体"/>
        </w:rPr>
      </w:pPr>
    </w:p>
    <w:p>
      <w:pPr>
        <w:pStyle w:val="4"/>
        <w:spacing w:before="0" w:line="560" w:lineRule="exact"/>
        <w:ind w:left="565" w:leftChars="12" w:hanging="540"/>
        <w:rPr>
          <w:rFonts w:ascii="宋体" w:hAnsi="宋体" w:eastAsia="宋体" w:cs="宋体"/>
          <w:sz w:val="28"/>
        </w:rPr>
      </w:pPr>
      <w:bookmarkStart w:id="107" w:name="_Toc216582805"/>
      <w:bookmarkStart w:id="108" w:name="_Toc515647757"/>
      <w:bookmarkStart w:id="109" w:name="_Toc520356143"/>
      <w:bookmarkStart w:id="110" w:name="_Toc2073"/>
      <w:bookmarkStart w:id="111" w:name="_Toc21215"/>
      <w:bookmarkStart w:id="112" w:name="_Toc21015"/>
      <w:r>
        <w:rPr>
          <w:rFonts w:hint="eastAsia" w:ascii="宋体" w:hAnsi="宋体" w:eastAsia="宋体" w:cs="宋体"/>
          <w:sz w:val="28"/>
        </w:rPr>
        <w:t>一</w:t>
      </w:r>
      <w:bookmarkEnd w:id="107"/>
      <w:bookmarkEnd w:id="108"/>
      <w:bookmarkEnd w:id="109"/>
      <w:r>
        <w:rPr>
          <w:rFonts w:hint="eastAsia" w:ascii="宋体" w:hAnsi="宋体" w:eastAsia="宋体" w:cs="宋体"/>
          <w:sz w:val="28"/>
        </w:rPr>
        <w:t>、总 则</w:t>
      </w:r>
      <w:bookmarkEnd w:id="110"/>
      <w:bookmarkEnd w:id="111"/>
      <w:bookmarkEnd w:id="112"/>
    </w:p>
    <w:p>
      <w:pPr>
        <w:pStyle w:val="8"/>
        <w:spacing w:line="560" w:lineRule="exact"/>
        <w:rPr>
          <w:rFonts w:hAnsi="宋体" w:cs="宋体"/>
        </w:rPr>
      </w:pPr>
    </w:p>
    <w:p>
      <w:pPr>
        <w:pStyle w:val="5"/>
        <w:spacing w:before="0" w:after="0" w:line="560" w:lineRule="exact"/>
        <w:rPr>
          <w:rFonts w:hAnsi="宋体" w:cs="宋体"/>
          <w:u w:val="none"/>
        </w:rPr>
      </w:pPr>
      <w:bookmarkStart w:id="113" w:name="_Toc520356144"/>
      <w:bookmarkStart w:id="114" w:name="_Toc32623"/>
      <w:bookmarkStart w:id="115" w:name="_Toc515647758"/>
      <w:bookmarkStart w:id="116" w:name="_Toc16173"/>
      <w:bookmarkStart w:id="117" w:name="_Toc32189"/>
      <w:r>
        <w:rPr>
          <w:rFonts w:hint="eastAsia" w:hAnsi="宋体" w:cs="宋体"/>
          <w:u w:val="none"/>
        </w:rPr>
        <w:t>1.采购人、采购代理机构及</w:t>
      </w:r>
      <w:bookmarkEnd w:id="113"/>
      <w:r>
        <w:rPr>
          <w:rFonts w:hint="eastAsia" w:hAnsi="宋体" w:cs="宋体"/>
          <w:u w:val="none"/>
        </w:rPr>
        <w:t>供应商</w:t>
      </w:r>
      <w:bookmarkEnd w:id="114"/>
      <w:bookmarkEnd w:id="115"/>
      <w:bookmarkEnd w:id="116"/>
      <w:bookmarkEnd w:id="117"/>
    </w:p>
    <w:p>
      <w:pPr>
        <w:tabs>
          <w:tab w:val="left" w:pos="0"/>
        </w:tabs>
        <w:spacing w:line="560" w:lineRule="exact"/>
        <w:ind w:firstLine="480" w:firstLineChars="200"/>
        <w:jc w:val="left"/>
        <w:rPr>
          <w:rFonts w:ascii="宋体" w:hAnsi="宋体" w:cs="宋体"/>
          <w:sz w:val="24"/>
        </w:rPr>
      </w:pPr>
      <w:r>
        <w:rPr>
          <w:rFonts w:hint="eastAsia" w:ascii="宋体" w:hAnsi="宋体" w:cs="宋体"/>
          <w:sz w:val="24"/>
        </w:rPr>
        <w:t>1.1采购人：是指依法开展政府采购活动的国家机关、事业单位、团体组织。</w:t>
      </w:r>
    </w:p>
    <w:p>
      <w:pPr>
        <w:tabs>
          <w:tab w:val="left" w:pos="0"/>
        </w:tabs>
        <w:spacing w:line="560" w:lineRule="exact"/>
        <w:ind w:firstLine="480" w:firstLineChars="200"/>
        <w:jc w:val="left"/>
        <w:rPr>
          <w:rFonts w:ascii="宋体" w:hAnsi="宋体" w:cs="宋体"/>
          <w:sz w:val="24"/>
        </w:rPr>
      </w:pPr>
      <w:r>
        <w:rPr>
          <w:rFonts w:hint="eastAsia" w:ascii="宋体" w:hAnsi="宋体" w:cs="宋体"/>
          <w:sz w:val="24"/>
        </w:rPr>
        <w:t>本项目的采购人见</w:t>
      </w:r>
      <w:r>
        <w:rPr>
          <w:rFonts w:hint="eastAsia" w:ascii="宋体" w:hAnsi="宋体" w:cs="宋体"/>
          <w:sz w:val="24"/>
          <w:u w:val="single"/>
        </w:rPr>
        <w:t>供应商须知资料表</w:t>
      </w:r>
      <w:r>
        <w:rPr>
          <w:rFonts w:hint="eastAsia" w:ascii="宋体" w:hAnsi="宋体" w:cs="宋体"/>
          <w:sz w:val="24"/>
        </w:rPr>
        <w:t>。</w:t>
      </w:r>
    </w:p>
    <w:p>
      <w:pPr>
        <w:tabs>
          <w:tab w:val="left" w:pos="0"/>
        </w:tabs>
        <w:spacing w:line="560" w:lineRule="exact"/>
        <w:ind w:firstLine="480" w:firstLineChars="200"/>
        <w:jc w:val="left"/>
        <w:rPr>
          <w:rFonts w:ascii="宋体" w:hAnsi="宋体" w:cs="宋体"/>
          <w:sz w:val="24"/>
        </w:rPr>
      </w:pPr>
      <w:r>
        <w:rPr>
          <w:rFonts w:hint="eastAsia" w:ascii="宋体" w:hAnsi="宋体" w:cs="宋体"/>
          <w:sz w:val="24"/>
        </w:rPr>
        <w:t>1.2采购代理机构：是指集中采购机构或从事采购代理业务的社会中介机构，本项目的采购代理机构见</w:t>
      </w:r>
      <w:r>
        <w:rPr>
          <w:rFonts w:hint="eastAsia" w:ascii="宋体" w:hAnsi="宋体" w:cs="宋体"/>
          <w:sz w:val="24"/>
          <w:u w:val="single"/>
        </w:rPr>
        <w:t>供应商须知资料表</w:t>
      </w:r>
      <w:r>
        <w:rPr>
          <w:rFonts w:hint="eastAsia" w:ascii="宋体" w:hAnsi="宋体" w:cs="宋体"/>
          <w:sz w:val="24"/>
        </w:rPr>
        <w:t>。</w:t>
      </w:r>
    </w:p>
    <w:p>
      <w:pPr>
        <w:spacing w:line="560" w:lineRule="exact"/>
        <w:ind w:firstLine="480" w:firstLineChars="200"/>
        <w:jc w:val="left"/>
        <w:rPr>
          <w:rFonts w:ascii="宋体" w:hAnsi="宋体" w:cs="宋体"/>
          <w:sz w:val="24"/>
        </w:rPr>
      </w:pPr>
      <w:bookmarkStart w:id="118" w:name="_Toc12139"/>
      <w:bookmarkStart w:id="119" w:name="_Toc515647759"/>
      <w:bookmarkStart w:id="120" w:name="_Toc5286"/>
      <w:r>
        <w:rPr>
          <w:rFonts w:hint="eastAsia" w:ascii="宋体" w:hAnsi="宋体" w:cs="宋体"/>
          <w:sz w:val="24"/>
        </w:rPr>
        <w:t>1.3供应商：是指响应谈判、参加报价竞争的法人、其他组织或者自然人。潜在供应商：以竞争性谈判文件规定的方式获取本项目竞争性谈判文件的法人、其他组织或者自然人。</w:t>
      </w:r>
    </w:p>
    <w:p>
      <w:pPr>
        <w:spacing w:line="560" w:lineRule="exact"/>
        <w:ind w:firstLine="480" w:firstLineChars="200"/>
        <w:jc w:val="left"/>
        <w:rPr>
          <w:rFonts w:ascii="宋体" w:hAnsi="宋体" w:cs="宋体"/>
          <w:sz w:val="24"/>
        </w:rPr>
      </w:pPr>
      <w:r>
        <w:rPr>
          <w:rFonts w:hint="eastAsia" w:ascii="宋体" w:hAnsi="宋体" w:cs="宋体"/>
          <w:sz w:val="24"/>
        </w:rPr>
        <w:t>本项目的供应商须满足以下条件：</w:t>
      </w:r>
    </w:p>
    <w:p>
      <w:pPr>
        <w:spacing w:line="560" w:lineRule="exact"/>
        <w:ind w:firstLine="480" w:firstLineChars="200"/>
        <w:jc w:val="left"/>
        <w:rPr>
          <w:rFonts w:ascii="宋体" w:hAnsi="宋体" w:cs="宋体"/>
          <w:sz w:val="24"/>
        </w:rPr>
      </w:pPr>
      <w:r>
        <w:rPr>
          <w:rFonts w:hint="eastAsia" w:ascii="宋体" w:hAnsi="宋体" w:cs="宋体"/>
          <w:sz w:val="24"/>
        </w:rPr>
        <w:t>1.3.1在中华人民共和国境内注册，能够独立承担民事责任，有生产或供应能力的本国供应商。</w:t>
      </w:r>
    </w:p>
    <w:p>
      <w:pPr>
        <w:spacing w:line="560" w:lineRule="exact"/>
        <w:ind w:firstLine="480" w:firstLineChars="200"/>
        <w:jc w:val="left"/>
        <w:rPr>
          <w:rFonts w:ascii="宋体" w:hAnsi="宋体" w:cs="宋体"/>
          <w:sz w:val="24"/>
        </w:rPr>
      </w:pPr>
      <w:r>
        <w:rPr>
          <w:rFonts w:hint="eastAsia" w:ascii="宋体" w:hAnsi="宋体" w:cs="宋体"/>
          <w:sz w:val="24"/>
        </w:rPr>
        <w:t>1.3.2具备《中华人民共和国政府采购法》第二十二条关于供应商条件的规定，遵守本项目采购人本级和上级财政部门政府采购的有关规定。</w:t>
      </w:r>
    </w:p>
    <w:p>
      <w:pPr>
        <w:spacing w:line="560" w:lineRule="exact"/>
        <w:ind w:firstLine="480" w:firstLineChars="200"/>
        <w:jc w:val="left"/>
        <w:rPr>
          <w:rFonts w:ascii="宋体" w:hAnsi="宋体" w:cs="宋体"/>
          <w:sz w:val="24"/>
        </w:rPr>
      </w:pPr>
      <w:r>
        <w:rPr>
          <w:rFonts w:hint="eastAsia" w:ascii="宋体" w:hAnsi="宋体" w:cs="宋体"/>
          <w:sz w:val="24"/>
        </w:rPr>
        <w:t>1.3.3以竞争性谈判文件规定的方式获得了本项目的竞争性谈判文件。</w:t>
      </w:r>
    </w:p>
    <w:p>
      <w:pPr>
        <w:spacing w:line="560" w:lineRule="exact"/>
        <w:ind w:firstLine="480" w:firstLineChars="200"/>
        <w:jc w:val="left"/>
        <w:rPr>
          <w:rFonts w:ascii="宋体" w:hAnsi="宋体" w:cs="宋体"/>
          <w:sz w:val="24"/>
        </w:rPr>
      </w:pPr>
      <w:r>
        <w:rPr>
          <w:rFonts w:hint="eastAsia" w:ascii="宋体" w:hAnsi="宋体" w:cs="宋体"/>
          <w:sz w:val="24"/>
        </w:rPr>
        <w:t>1.3.4符合</w:t>
      </w:r>
      <w:r>
        <w:rPr>
          <w:rFonts w:hint="eastAsia" w:ascii="宋体" w:hAnsi="宋体" w:cs="宋体"/>
          <w:sz w:val="24"/>
          <w:u w:val="single"/>
        </w:rPr>
        <w:t>供应商须知资料表</w:t>
      </w:r>
      <w:r>
        <w:rPr>
          <w:rFonts w:hint="eastAsia" w:ascii="宋体" w:hAnsi="宋体" w:cs="宋体"/>
          <w:sz w:val="24"/>
        </w:rPr>
        <w:t>中规定的其他资格要求。</w:t>
      </w:r>
    </w:p>
    <w:p>
      <w:pPr>
        <w:spacing w:line="560" w:lineRule="exact"/>
        <w:ind w:firstLine="480" w:firstLineChars="200"/>
        <w:jc w:val="left"/>
        <w:rPr>
          <w:rFonts w:ascii="宋体" w:hAnsi="宋体" w:cs="宋体"/>
          <w:sz w:val="24"/>
        </w:rPr>
      </w:pPr>
      <w:r>
        <w:rPr>
          <w:rFonts w:hint="eastAsia" w:ascii="宋体" w:hAnsi="宋体" w:cs="宋体"/>
          <w:sz w:val="24"/>
        </w:rPr>
        <w:t>1.3.5若</w:t>
      </w:r>
      <w:r>
        <w:rPr>
          <w:rFonts w:hint="eastAsia" w:ascii="宋体" w:hAnsi="宋体" w:cs="宋体"/>
          <w:sz w:val="24"/>
          <w:u w:val="single"/>
        </w:rPr>
        <w:t>供应商须知资料表</w:t>
      </w:r>
      <w:r>
        <w:rPr>
          <w:rFonts w:hint="eastAsia" w:ascii="宋体" w:hAnsi="宋体" w:cs="宋体"/>
          <w:sz w:val="24"/>
        </w:rPr>
        <w:t>中写明专门面向中小企业采购的，如供应商为非中小企业，其响应文件将被认定为响应文件无效。</w:t>
      </w:r>
    </w:p>
    <w:p>
      <w:pPr>
        <w:spacing w:line="560" w:lineRule="exact"/>
        <w:ind w:firstLine="480" w:firstLineChars="200"/>
        <w:jc w:val="left"/>
        <w:rPr>
          <w:rFonts w:ascii="宋体" w:hAnsi="宋体" w:cs="宋体"/>
          <w:sz w:val="24"/>
        </w:rPr>
      </w:pPr>
      <w:bookmarkStart w:id="121" w:name="_Toc21719"/>
      <w:r>
        <w:rPr>
          <w:rFonts w:hint="eastAsia" w:ascii="宋体" w:hAnsi="宋体" w:cs="宋体"/>
          <w:sz w:val="24"/>
        </w:rPr>
        <w:t>1.3.6 本次采购标的所属行业详见</w:t>
      </w:r>
      <w:r>
        <w:rPr>
          <w:rFonts w:hint="eastAsia" w:ascii="宋体" w:hAnsi="宋体" w:cs="宋体"/>
          <w:sz w:val="24"/>
          <w:u w:val="single"/>
        </w:rPr>
        <w:t>供应商须知资料表</w:t>
      </w:r>
      <w:r>
        <w:rPr>
          <w:rFonts w:hint="eastAsia" w:ascii="宋体" w:hAnsi="宋体" w:cs="宋体"/>
          <w:sz w:val="24"/>
        </w:rPr>
        <w:t>。</w:t>
      </w:r>
      <w:bookmarkEnd w:id="121"/>
    </w:p>
    <w:p>
      <w:pPr>
        <w:spacing w:line="560" w:lineRule="exact"/>
        <w:ind w:firstLine="480" w:firstLineChars="200"/>
        <w:jc w:val="left"/>
        <w:rPr>
          <w:rFonts w:ascii="宋体" w:hAnsi="宋体" w:cs="宋体"/>
          <w:sz w:val="24"/>
        </w:rPr>
      </w:pPr>
      <w:r>
        <w:rPr>
          <w:rFonts w:hint="eastAsia" w:ascii="宋体" w:hAnsi="宋体" w:cs="宋体"/>
          <w:sz w:val="24"/>
        </w:rPr>
        <w:t>1.3.7进口产品,是指通过中国海关报关验放进入中国境内且产自关境外的产品。若供应商须知资料表中写明允许采购进口产品，供应商应保证所报产品可履行合法报通关手续进入中国关境内。若</w:t>
      </w:r>
      <w:r>
        <w:rPr>
          <w:rFonts w:hint="eastAsia" w:ascii="宋体" w:hAnsi="宋体" w:cs="宋体"/>
          <w:sz w:val="24"/>
          <w:u w:val="single"/>
        </w:rPr>
        <w:t>供应商须知资料表</w:t>
      </w:r>
      <w:r>
        <w:rPr>
          <w:rFonts w:hint="eastAsia" w:ascii="宋体" w:hAnsi="宋体" w:cs="宋体"/>
          <w:sz w:val="24"/>
        </w:rPr>
        <w:t>中未写明允许采购进口产品，如供应商所报产品为进口产品，其响应文件将被认定为无效。</w:t>
      </w:r>
    </w:p>
    <w:p>
      <w:pPr>
        <w:spacing w:line="560" w:lineRule="exact"/>
        <w:ind w:firstLine="480" w:firstLineChars="200"/>
        <w:jc w:val="left"/>
        <w:rPr>
          <w:rFonts w:ascii="宋体" w:hAnsi="宋体" w:cs="宋体"/>
          <w:sz w:val="24"/>
        </w:rPr>
      </w:pPr>
      <w:r>
        <w:rPr>
          <w:rFonts w:hint="eastAsia" w:ascii="宋体" w:hAnsi="宋体" w:cs="宋体"/>
          <w:sz w:val="24"/>
        </w:rPr>
        <w:t>1.4如</w:t>
      </w:r>
      <w:r>
        <w:rPr>
          <w:rFonts w:hint="eastAsia" w:ascii="宋体" w:hAnsi="宋体" w:cs="宋体"/>
          <w:sz w:val="24"/>
          <w:u w:val="single"/>
        </w:rPr>
        <w:t>供应商须知资料表</w:t>
      </w:r>
      <w:r>
        <w:rPr>
          <w:rFonts w:hint="eastAsia" w:ascii="宋体" w:hAnsi="宋体" w:cs="宋体"/>
          <w:sz w:val="24"/>
        </w:rPr>
        <w:t>中允许联合体进行响应，对联合体规定如下：</w:t>
      </w:r>
    </w:p>
    <w:p>
      <w:pPr>
        <w:spacing w:line="560" w:lineRule="exact"/>
        <w:ind w:firstLine="480" w:firstLineChars="200"/>
        <w:jc w:val="left"/>
        <w:rPr>
          <w:rFonts w:ascii="宋体" w:hAnsi="宋体" w:cs="宋体"/>
          <w:sz w:val="24"/>
        </w:rPr>
      </w:pPr>
      <w:r>
        <w:rPr>
          <w:rFonts w:hint="eastAsia" w:ascii="宋体" w:hAnsi="宋体" w:cs="宋体"/>
          <w:sz w:val="24"/>
        </w:rPr>
        <w:t>1.4.1两个以上供应商可以组成一个联合体，以一个供应商的身份响应。</w:t>
      </w:r>
    </w:p>
    <w:p>
      <w:pPr>
        <w:spacing w:line="560" w:lineRule="exact"/>
        <w:ind w:firstLine="480" w:firstLineChars="200"/>
        <w:jc w:val="left"/>
        <w:rPr>
          <w:rFonts w:ascii="宋体" w:hAnsi="宋体" w:cs="宋体"/>
          <w:sz w:val="24"/>
        </w:rPr>
      </w:pPr>
      <w:r>
        <w:rPr>
          <w:rFonts w:hint="eastAsia" w:ascii="宋体" w:hAnsi="宋体" w:cs="宋体"/>
          <w:sz w:val="24"/>
        </w:rPr>
        <w:t>1.4.2联合体各方均应符合1.3.2规定。</w:t>
      </w:r>
    </w:p>
    <w:p>
      <w:pPr>
        <w:spacing w:line="560" w:lineRule="exact"/>
        <w:ind w:firstLine="480" w:firstLineChars="200"/>
        <w:jc w:val="left"/>
        <w:rPr>
          <w:rFonts w:ascii="宋体" w:hAnsi="宋体" w:cs="宋体"/>
          <w:sz w:val="24"/>
        </w:rPr>
      </w:pPr>
      <w:r>
        <w:rPr>
          <w:rFonts w:hint="eastAsia" w:ascii="宋体" w:hAnsi="宋体" w:cs="宋体"/>
          <w:sz w:val="24"/>
        </w:rPr>
        <w:t>1.4.3采购人根据采购项目对供应商的特殊要求，联合体中至少应当有一方符合相关规定。</w:t>
      </w:r>
    </w:p>
    <w:p>
      <w:pPr>
        <w:spacing w:line="560" w:lineRule="exact"/>
        <w:ind w:firstLine="480" w:firstLineChars="200"/>
        <w:jc w:val="left"/>
        <w:rPr>
          <w:rFonts w:ascii="宋体" w:hAnsi="宋体" w:cs="宋体"/>
          <w:sz w:val="24"/>
        </w:rPr>
      </w:pPr>
      <w:r>
        <w:rPr>
          <w:rFonts w:hint="eastAsia" w:ascii="宋体" w:hAnsi="宋体" w:cs="宋体"/>
          <w:sz w:val="24"/>
        </w:rPr>
        <w:t>1.4.4联合体各方应签订共同响应协议，明确约定联合体各方承担的工作和相应的责任，并将共同响应协议连同响应文件一并提交，否则其响应文件将被认定为无效。</w:t>
      </w:r>
    </w:p>
    <w:p>
      <w:pPr>
        <w:spacing w:line="560" w:lineRule="exact"/>
        <w:ind w:firstLine="480" w:firstLineChars="200"/>
        <w:jc w:val="left"/>
        <w:rPr>
          <w:rFonts w:ascii="宋体" w:hAnsi="宋体" w:cs="宋体"/>
          <w:sz w:val="24"/>
        </w:rPr>
      </w:pPr>
      <w:r>
        <w:rPr>
          <w:rFonts w:hint="eastAsia" w:ascii="宋体" w:hAnsi="宋体" w:cs="宋体"/>
          <w:sz w:val="24"/>
        </w:rPr>
        <w:t>1.4.5大中型企业、其他自然人、法人或者其他组织与小型、微型企业组成联合体共同参加响应，共同响应协议中应写明小型、微型企业的协议合同金额占到共同响应协议响应总金额的比例。</w:t>
      </w:r>
    </w:p>
    <w:p>
      <w:pPr>
        <w:spacing w:line="560" w:lineRule="exact"/>
        <w:ind w:firstLine="480" w:firstLineChars="200"/>
        <w:jc w:val="left"/>
        <w:rPr>
          <w:rFonts w:ascii="宋体" w:hAnsi="宋体" w:cs="宋体"/>
          <w:sz w:val="24"/>
        </w:rPr>
      </w:pPr>
      <w:r>
        <w:rPr>
          <w:rFonts w:hint="eastAsia" w:ascii="宋体" w:hAnsi="宋体" w:cs="宋体"/>
          <w:sz w:val="24"/>
        </w:rPr>
        <w:t>1.4.6以联合体形式参加政府采购活动的，联合体各方不得再单独参加或者与其他供应商另外组成联合体参加本项目，否则其响应文件将被认定为无效。</w:t>
      </w:r>
    </w:p>
    <w:p>
      <w:pPr>
        <w:spacing w:line="560" w:lineRule="exact"/>
        <w:ind w:firstLine="480" w:firstLineChars="200"/>
        <w:jc w:val="left"/>
        <w:rPr>
          <w:rFonts w:ascii="宋体" w:hAnsi="宋体" w:cs="宋体"/>
          <w:sz w:val="24"/>
        </w:rPr>
      </w:pPr>
      <w:r>
        <w:rPr>
          <w:rFonts w:hint="eastAsia" w:ascii="宋体" w:hAnsi="宋体" w:cs="宋体"/>
          <w:sz w:val="24"/>
        </w:rPr>
        <w:t>1.4.7对联合体响应的其他资格要求见</w:t>
      </w:r>
      <w:r>
        <w:rPr>
          <w:rFonts w:hint="eastAsia" w:ascii="宋体" w:hAnsi="宋体" w:cs="宋体"/>
          <w:sz w:val="24"/>
          <w:u w:val="single"/>
        </w:rPr>
        <w:t>供应商须知资料表</w:t>
      </w:r>
      <w:r>
        <w:rPr>
          <w:rFonts w:hint="eastAsia" w:ascii="宋体" w:hAnsi="宋体" w:cs="宋体"/>
          <w:sz w:val="24"/>
        </w:rPr>
        <w:t>。</w:t>
      </w:r>
    </w:p>
    <w:p>
      <w:pPr>
        <w:spacing w:line="560" w:lineRule="exact"/>
        <w:ind w:firstLine="480" w:firstLineChars="200"/>
        <w:jc w:val="left"/>
        <w:rPr>
          <w:rFonts w:ascii="宋体" w:hAnsi="宋体" w:cs="宋体"/>
          <w:sz w:val="24"/>
        </w:rPr>
      </w:pPr>
      <w:r>
        <w:rPr>
          <w:rFonts w:hint="eastAsia" w:ascii="宋体" w:hAnsi="宋体" w:cs="宋体"/>
          <w:sz w:val="24"/>
        </w:rPr>
        <w:t>1.5货物：本项目第三章要求的所有产品。</w:t>
      </w:r>
    </w:p>
    <w:p>
      <w:pPr>
        <w:spacing w:line="560" w:lineRule="exact"/>
        <w:ind w:firstLine="480" w:firstLineChars="200"/>
        <w:jc w:val="left"/>
        <w:rPr>
          <w:rFonts w:ascii="宋体" w:hAnsi="宋体" w:cs="宋体"/>
          <w:sz w:val="24"/>
        </w:rPr>
      </w:pPr>
      <w:r>
        <w:rPr>
          <w:rFonts w:hint="eastAsia" w:ascii="宋体" w:hAnsi="宋体" w:cs="宋体"/>
          <w:sz w:val="24"/>
        </w:rPr>
        <w:t>1.6单位负责人为同一人或者存在直接控股、管理关系的不同供应商，不得参加同一合同项下的政府采购活动，否则其相关响应文件均将被认定为</w:t>
      </w:r>
      <w:r>
        <w:rPr>
          <w:rFonts w:hint="eastAsia" w:ascii="宋体" w:hAnsi="宋体" w:cs="宋体"/>
          <w:bCs/>
          <w:sz w:val="24"/>
        </w:rPr>
        <w:t>响应文件无效。</w:t>
      </w:r>
    </w:p>
    <w:p>
      <w:pPr>
        <w:pStyle w:val="5"/>
        <w:spacing w:before="0" w:after="0" w:line="560" w:lineRule="exact"/>
        <w:rPr>
          <w:rFonts w:hAnsi="宋体" w:cs="宋体"/>
          <w:u w:val="none"/>
        </w:rPr>
      </w:pPr>
      <w:bookmarkStart w:id="122" w:name="_Toc26198"/>
      <w:r>
        <w:rPr>
          <w:rFonts w:hint="eastAsia" w:hAnsi="宋体" w:cs="宋体"/>
          <w:u w:val="none"/>
        </w:rPr>
        <w:t>2.资金来源</w:t>
      </w:r>
      <w:bookmarkEnd w:id="118"/>
      <w:bookmarkEnd w:id="119"/>
      <w:bookmarkEnd w:id="120"/>
      <w:bookmarkEnd w:id="122"/>
    </w:p>
    <w:p>
      <w:pPr>
        <w:spacing w:line="560" w:lineRule="exact"/>
        <w:ind w:firstLine="480" w:firstLineChars="200"/>
        <w:jc w:val="left"/>
        <w:rPr>
          <w:rFonts w:ascii="宋体" w:hAnsi="宋体" w:cs="宋体"/>
          <w:sz w:val="24"/>
        </w:rPr>
      </w:pPr>
      <w:r>
        <w:rPr>
          <w:rFonts w:hint="eastAsia" w:ascii="宋体" w:hAnsi="宋体" w:cs="宋体"/>
          <w:sz w:val="24"/>
        </w:rPr>
        <w:t>2.1本项目的采购人已获得足以支付本次谈判后所签订的合同项下的资金（包括财政性资金和本项目采购中无法与财政性资金分割的非财政性资金，预采购项目除外。）。</w:t>
      </w:r>
    </w:p>
    <w:p>
      <w:pPr>
        <w:spacing w:line="560" w:lineRule="exact"/>
        <w:ind w:firstLine="480" w:firstLineChars="200"/>
        <w:jc w:val="left"/>
        <w:rPr>
          <w:rFonts w:ascii="宋体" w:hAnsi="宋体" w:cs="宋体"/>
          <w:sz w:val="24"/>
        </w:rPr>
      </w:pPr>
      <w:r>
        <w:rPr>
          <w:rFonts w:hint="eastAsia" w:ascii="宋体" w:hAnsi="宋体" w:cs="宋体"/>
          <w:sz w:val="24"/>
        </w:rPr>
        <w:t>2.2项目预算金额和分项或分包最高限价</w:t>
      </w:r>
      <w:r>
        <w:rPr>
          <w:rFonts w:hint="eastAsia" w:ascii="宋体" w:hAnsi="宋体" w:cs="宋体"/>
          <w:sz w:val="24"/>
          <w:u w:val="single"/>
        </w:rPr>
        <w:t>见供应商须知资料表</w:t>
      </w:r>
      <w:r>
        <w:rPr>
          <w:rFonts w:hint="eastAsia" w:ascii="宋体" w:hAnsi="宋体" w:cs="宋体"/>
          <w:sz w:val="24"/>
        </w:rPr>
        <w:t>。</w:t>
      </w:r>
    </w:p>
    <w:p>
      <w:pPr>
        <w:pStyle w:val="5"/>
        <w:spacing w:before="0" w:after="0" w:line="560" w:lineRule="exact"/>
        <w:rPr>
          <w:rFonts w:hAnsi="宋体" w:cs="宋体"/>
          <w:u w:val="none"/>
        </w:rPr>
      </w:pPr>
      <w:bookmarkStart w:id="123" w:name="_Toc520356145"/>
      <w:bookmarkStart w:id="124" w:name="_Toc20526"/>
      <w:bookmarkStart w:id="125" w:name="_Toc515647760"/>
      <w:bookmarkStart w:id="126" w:name="_Toc15936"/>
      <w:bookmarkStart w:id="127" w:name="_Toc28888"/>
      <w:r>
        <w:rPr>
          <w:rFonts w:hint="eastAsia" w:hAnsi="宋体" w:cs="宋体"/>
          <w:u w:val="none"/>
        </w:rPr>
        <w:t>3.响应费用</w:t>
      </w:r>
      <w:bookmarkEnd w:id="123"/>
      <w:bookmarkEnd w:id="124"/>
      <w:bookmarkEnd w:id="125"/>
      <w:bookmarkEnd w:id="126"/>
      <w:bookmarkEnd w:id="127"/>
    </w:p>
    <w:p>
      <w:pPr>
        <w:spacing w:line="560" w:lineRule="exact"/>
        <w:ind w:firstLine="480" w:firstLineChars="200"/>
        <w:jc w:val="left"/>
        <w:rPr>
          <w:rFonts w:ascii="宋体" w:hAnsi="宋体" w:cs="宋体"/>
          <w:sz w:val="24"/>
        </w:rPr>
      </w:pPr>
      <w:r>
        <w:rPr>
          <w:rFonts w:hint="eastAsia" w:ascii="宋体" w:hAnsi="宋体" w:cs="宋体"/>
          <w:sz w:val="24"/>
        </w:rPr>
        <w:t>不论响应的结果如何，供应商应承担所有与准备和参加响应有关的费用。</w:t>
      </w:r>
    </w:p>
    <w:p>
      <w:pPr>
        <w:pStyle w:val="5"/>
        <w:spacing w:before="0" w:after="0" w:line="560" w:lineRule="exact"/>
        <w:rPr>
          <w:rFonts w:hAnsi="宋体" w:cs="宋体"/>
          <w:u w:val="none"/>
        </w:rPr>
      </w:pPr>
      <w:bookmarkStart w:id="128" w:name="_Toc6116"/>
      <w:bookmarkStart w:id="129" w:name="_Toc4463"/>
      <w:bookmarkStart w:id="130" w:name="_Toc12547"/>
      <w:bookmarkStart w:id="131" w:name="_Toc515647761"/>
      <w:r>
        <w:rPr>
          <w:rFonts w:hint="eastAsia" w:hAnsi="宋体" w:cs="宋体"/>
          <w:u w:val="none"/>
        </w:rPr>
        <w:t>4.适用法律</w:t>
      </w:r>
      <w:bookmarkEnd w:id="128"/>
      <w:bookmarkEnd w:id="129"/>
      <w:bookmarkEnd w:id="130"/>
      <w:bookmarkEnd w:id="131"/>
    </w:p>
    <w:p>
      <w:pPr>
        <w:spacing w:line="560" w:lineRule="exact"/>
        <w:ind w:firstLine="480" w:firstLineChars="200"/>
        <w:jc w:val="left"/>
        <w:rPr>
          <w:rFonts w:ascii="宋体" w:hAnsi="宋体" w:cs="宋体"/>
          <w:sz w:val="24"/>
        </w:rPr>
      </w:pPr>
      <w:r>
        <w:rPr>
          <w:rFonts w:hint="eastAsia" w:ascii="宋体" w:hAnsi="宋体" w:cs="宋体"/>
          <w:sz w:val="24"/>
        </w:rPr>
        <w:t>本项目采购人、采购代理机构、供应商、谈判小组的相关行为均受《中华人民共和国政府采购法》、《中华人民共和国政府采购法实施条例》、</w:t>
      </w:r>
      <w:r>
        <w:rPr>
          <w:rFonts w:hint="eastAsia" w:ascii="宋体" w:hAnsi="宋体"/>
          <w:sz w:val="24"/>
        </w:rPr>
        <w:t>《政府采购非招标采购方式管理办法》</w:t>
      </w:r>
      <w:r>
        <w:rPr>
          <w:rFonts w:hint="eastAsia" w:ascii="宋体" w:hAnsi="宋体" w:cs="宋体"/>
          <w:sz w:val="24"/>
        </w:rPr>
        <w:t>及本项目本级和上级财政部门政府采购有关规定的约束和保护。</w:t>
      </w:r>
    </w:p>
    <w:p>
      <w:pPr>
        <w:spacing w:line="560" w:lineRule="exact"/>
        <w:ind w:firstLine="480" w:firstLineChars="200"/>
        <w:jc w:val="left"/>
        <w:rPr>
          <w:rFonts w:ascii="宋体" w:hAnsi="宋体" w:cs="宋体"/>
          <w:sz w:val="24"/>
        </w:rPr>
      </w:pPr>
    </w:p>
    <w:p>
      <w:pPr>
        <w:pStyle w:val="4"/>
        <w:spacing w:before="0" w:line="560" w:lineRule="exact"/>
        <w:ind w:firstLine="562" w:firstLineChars="200"/>
        <w:rPr>
          <w:rFonts w:ascii="宋体" w:hAnsi="宋体" w:eastAsia="宋体" w:cs="宋体"/>
          <w:sz w:val="28"/>
        </w:rPr>
      </w:pPr>
      <w:bookmarkStart w:id="132" w:name="_Toc4365"/>
      <w:bookmarkStart w:id="133" w:name="_Toc15198"/>
      <w:bookmarkStart w:id="134" w:name="_Toc520356146"/>
      <w:bookmarkStart w:id="135" w:name="_Toc515647762"/>
      <w:bookmarkStart w:id="136" w:name="_Toc216582806"/>
      <w:bookmarkStart w:id="137" w:name="_Toc21566"/>
      <w:r>
        <w:rPr>
          <w:rFonts w:hint="eastAsia" w:ascii="宋体" w:hAnsi="宋体" w:eastAsia="宋体" w:cs="宋体"/>
          <w:sz w:val="28"/>
        </w:rPr>
        <w:t>二、竞争性谈判文件</w:t>
      </w:r>
      <w:bookmarkEnd w:id="132"/>
      <w:bookmarkEnd w:id="133"/>
      <w:bookmarkEnd w:id="134"/>
      <w:bookmarkEnd w:id="135"/>
      <w:bookmarkEnd w:id="136"/>
      <w:bookmarkEnd w:id="137"/>
    </w:p>
    <w:p>
      <w:pPr>
        <w:pStyle w:val="8"/>
        <w:spacing w:line="560" w:lineRule="exact"/>
        <w:ind w:firstLine="480" w:firstLineChars="200"/>
        <w:rPr>
          <w:rFonts w:hAnsi="宋体" w:cs="宋体"/>
        </w:rPr>
      </w:pPr>
    </w:p>
    <w:p>
      <w:pPr>
        <w:pStyle w:val="5"/>
        <w:spacing w:before="0" w:after="0" w:line="560" w:lineRule="exact"/>
        <w:rPr>
          <w:rFonts w:hAnsi="宋体" w:cs="宋体"/>
          <w:u w:val="none"/>
        </w:rPr>
      </w:pPr>
      <w:bookmarkStart w:id="138" w:name="_Toc515647763"/>
      <w:bookmarkStart w:id="139" w:name="_Toc25743"/>
      <w:bookmarkStart w:id="140" w:name="_Toc520356147"/>
      <w:bookmarkStart w:id="141" w:name="_Toc15852"/>
      <w:bookmarkStart w:id="142" w:name="_Toc14084"/>
      <w:r>
        <w:rPr>
          <w:rFonts w:hint="eastAsia" w:hAnsi="宋体" w:cs="宋体"/>
          <w:u w:val="none"/>
        </w:rPr>
        <w:t>5.竞争性谈判文件构成</w:t>
      </w:r>
      <w:bookmarkEnd w:id="138"/>
      <w:bookmarkEnd w:id="139"/>
      <w:bookmarkEnd w:id="140"/>
      <w:bookmarkEnd w:id="141"/>
      <w:bookmarkEnd w:id="142"/>
    </w:p>
    <w:p>
      <w:pPr>
        <w:spacing w:line="560" w:lineRule="exact"/>
        <w:ind w:firstLine="480" w:firstLineChars="200"/>
        <w:jc w:val="left"/>
        <w:rPr>
          <w:rFonts w:ascii="宋体" w:hAnsi="宋体" w:cs="宋体"/>
          <w:sz w:val="24"/>
        </w:rPr>
      </w:pPr>
      <w:r>
        <w:rPr>
          <w:rFonts w:hint="eastAsia" w:ascii="宋体" w:hAnsi="宋体" w:cs="宋体"/>
          <w:sz w:val="24"/>
        </w:rPr>
        <w:t>5.1竞争性谈判文件共六章，内容如下：</w:t>
      </w:r>
    </w:p>
    <w:p>
      <w:pPr>
        <w:spacing w:line="560" w:lineRule="exact"/>
        <w:ind w:firstLine="480" w:firstLineChars="200"/>
        <w:jc w:val="left"/>
        <w:rPr>
          <w:rFonts w:ascii="宋体" w:hAnsi="宋体" w:cs="宋体"/>
          <w:sz w:val="24"/>
        </w:rPr>
      </w:pPr>
      <w:r>
        <w:rPr>
          <w:rFonts w:hint="eastAsia" w:ascii="宋体" w:hAnsi="宋体" w:cs="宋体"/>
          <w:sz w:val="24"/>
        </w:rPr>
        <w:t>第一章  采购邀请</w:t>
      </w:r>
    </w:p>
    <w:p>
      <w:pPr>
        <w:spacing w:line="560" w:lineRule="exact"/>
        <w:ind w:firstLine="480" w:firstLineChars="200"/>
        <w:jc w:val="left"/>
        <w:rPr>
          <w:rFonts w:ascii="宋体" w:hAnsi="宋体" w:cs="宋体"/>
          <w:sz w:val="24"/>
        </w:rPr>
      </w:pPr>
      <w:r>
        <w:rPr>
          <w:rFonts w:hint="eastAsia" w:ascii="宋体" w:hAnsi="宋体" w:cs="宋体"/>
          <w:sz w:val="24"/>
        </w:rPr>
        <w:t>第二章  供应商须知</w:t>
      </w:r>
    </w:p>
    <w:p>
      <w:pPr>
        <w:spacing w:line="560" w:lineRule="exact"/>
        <w:ind w:firstLine="480" w:firstLineChars="200"/>
        <w:jc w:val="left"/>
        <w:rPr>
          <w:rFonts w:ascii="宋体" w:hAnsi="宋体" w:cs="宋体"/>
          <w:sz w:val="24"/>
        </w:rPr>
      </w:pPr>
      <w:r>
        <w:rPr>
          <w:rFonts w:hint="eastAsia" w:ascii="宋体" w:hAnsi="宋体" w:cs="宋体"/>
          <w:sz w:val="24"/>
        </w:rPr>
        <w:t>第三章  货物需求</w:t>
      </w:r>
    </w:p>
    <w:p>
      <w:pPr>
        <w:spacing w:line="560" w:lineRule="exact"/>
        <w:ind w:firstLine="480" w:firstLineChars="200"/>
        <w:jc w:val="left"/>
        <w:rPr>
          <w:rFonts w:ascii="宋体" w:hAnsi="宋体" w:cs="宋体"/>
          <w:sz w:val="24"/>
        </w:rPr>
      </w:pPr>
      <w:r>
        <w:rPr>
          <w:rFonts w:hint="eastAsia" w:ascii="宋体" w:hAnsi="宋体" w:cs="宋体"/>
          <w:sz w:val="24"/>
        </w:rPr>
        <w:t>第四章  评审办法和标准</w:t>
      </w:r>
    </w:p>
    <w:p>
      <w:pPr>
        <w:spacing w:line="560" w:lineRule="exact"/>
        <w:ind w:firstLine="480" w:firstLineChars="200"/>
        <w:jc w:val="left"/>
        <w:rPr>
          <w:rFonts w:ascii="宋体" w:hAnsi="宋体" w:cs="宋体"/>
          <w:sz w:val="24"/>
        </w:rPr>
      </w:pPr>
      <w:r>
        <w:rPr>
          <w:rFonts w:hint="eastAsia" w:ascii="宋体" w:hAnsi="宋体" w:cs="宋体"/>
          <w:sz w:val="24"/>
        </w:rPr>
        <w:t>第五章  响应文件格式</w:t>
      </w:r>
    </w:p>
    <w:p>
      <w:pPr>
        <w:spacing w:line="560" w:lineRule="exact"/>
        <w:ind w:firstLine="480" w:firstLineChars="200"/>
        <w:jc w:val="left"/>
        <w:rPr>
          <w:rFonts w:ascii="宋体" w:hAnsi="宋体" w:cs="宋体"/>
          <w:sz w:val="24"/>
        </w:rPr>
      </w:pPr>
      <w:r>
        <w:rPr>
          <w:rFonts w:hint="eastAsia" w:ascii="宋体" w:hAnsi="宋体" w:cs="宋体"/>
          <w:sz w:val="24"/>
        </w:rPr>
        <w:t>第六章  政府采购合同格式</w:t>
      </w:r>
    </w:p>
    <w:p>
      <w:pPr>
        <w:spacing w:line="560" w:lineRule="exact"/>
        <w:ind w:firstLine="480" w:firstLineChars="200"/>
        <w:jc w:val="left"/>
        <w:rPr>
          <w:rFonts w:ascii="宋体" w:hAnsi="宋体" w:cs="宋体"/>
          <w:sz w:val="24"/>
        </w:rPr>
      </w:pPr>
      <w:r>
        <w:rPr>
          <w:rFonts w:hint="eastAsia" w:ascii="宋体" w:hAnsi="宋体" w:cs="宋体"/>
          <w:sz w:val="24"/>
        </w:rPr>
        <w:t>5.2竞争性谈判文件中有不一致的，有澄清的部分以最终的澄清更正内容为准；未澄清的，以供应商须知资料表为准；供应商须知资料表不涉及的内容，以编排在后的描述为准。</w:t>
      </w:r>
    </w:p>
    <w:p>
      <w:pPr>
        <w:spacing w:line="560" w:lineRule="exact"/>
        <w:ind w:firstLine="480" w:firstLineChars="200"/>
        <w:jc w:val="left"/>
        <w:rPr>
          <w:rFonts w:ascii="宋体" w:hAnsi="宋体" w:cs="宋体"/>
          <w:bCs/>
          <w:sz w:val="24"/>
        </w:rPr>
      </w:pPr>
      <w:r>
        <w:rPr>
          <w:rFonts w:hint="eastAsia" w:ascii="宋体" w:hAnsi="宋体" w:cs="宋体"/>
          <w:sz w:val="24"/>
        </w:rPr>
        <w:t>5.3供应商应认真阅读竞争性谈判文件所有的事项、格式、条款和技术规范等。如供应商没有按照竞争性谈判文件要求提交全部资料，或者响应文件没有对竞争性谈判文件在各方面都做出实质性响应，会导致其响应文件将被认定为无效，</w:t>
      </w:r>
      <w:r>
        <w:rPr>
          <w:rFonts w:hint="eastAsia" w:ascii="宋体" w:hAnsi="宋体" w:cs="宋体"/>
          <w:bCs/>
          <w:sz w:val="24"/>
        </w:rPr>
        <w:t>该风险由供应商承担。</w:t>
      </w:r>
    </w:p>
    <w:p>
      <w:pPr>
        <w:spacing w:line="560" w:lineRule="exact"/>
        <w:ind w:firstLine="480" w:firstLineChars="200"/>
        <w:jc w:val="left"/>
        <w:rPr>
          <w:rFonts w:ascii="宋体" w:hAnsi="宋体" w:cs="宋体"/>
          <w:bCs/>
          <w:sz w:val="24"/>
        </w:rPr>
      </w:pPr>
      <w:bookmarkStart w:id="143" w:name="_Toc520356148"/>
      <w:bookmarkStart w:id="144" w:name="_Toc515904805"/>
      <w:bookmarkStart w:id="145" w:name="_Toc9232"/>
      <w:bookmarkStart w:id="146" w:name="_Toc26044"/>
      <w:r>
        <w:rPr>
          <w:rFonts w:hint="eastAsia" w:ascii="宋体" w:hAnsi="宋体" w:cs="宋体"/>
          <w:bCs/>
          <w:sz w:val="24"/>
        </w:rPr>
        <w:t>5.4竞争性谈判文件以中文编印，且以中文为准。</w:t>
      </w:r>
    </w:p>
    <w:p>
      <w:pPr>
        <w:spacing w:line="560" w:lineRule="exact"/>
        <w:ind w:firstLine="480" w:firstLineChars="200"/>
        <w:jc w:val="left"/>
        <w:rPr>
          <w:rFonts w:ascii="宋体" w:hAnsi="宋体" w:cs="宋体"/>
          <w:sz w:val="24"/>
        </w:rPr>
      </w:pPr>
      <w:r>
        <w:rPr>
          <w:rFonts w:hint="eastAsia" w:ascii="宋体" w:hAnsi="宋体" w:cs="宋体"/>
          <w:bCs/>
          <w:sz w:val="24"/>
        </w:rPr>
        <w:t>5.5除非有特殊要求，竞争性谈判文件不单独提供响应货物使用地的自然环</w:t>
      </w:r>
      <w:r>
        <w:rPr>
          <w:rFonts w:hint="eastAsia" w:ascii="宋体" w:hAnsi="宋体" w:cs="宋体"/>
          <w:sz w:val="24"/>
        </w:rPr>
        <w:t>境、气候条件、公用设施等情况，供应商被视为熟悉上述与履行合同有关的一切情况。</w:t>
      </w:r>
    </w:p>
    <w:p>
      <w:pPr>
        <w:spacing w:line="560" w:lineRule="exact"/>
        <w:ind w:firstLine="480" w:firstLineChars="200"/>
        <w:jc w:val="left"/>
        <w:rPr>
          <w:rFonts w:ascii="宋体" w:hAnsi="宋体" w:cs="宋体"/>
          <w:sz w:val="24"/>
        </w:rPr>
      </w:pPr>
      <w:r>
        <w:rPr>
          <w:rFonts w:hint="eastAsia" w:ascii="宋体" w:hAnsi="宋体" w:cs="宋体"/>
          <w:sz w:val="24"/>
        </w:rPr>
        <w:t>5.6现场考察或者答疑会及相关事项详见</w:t>
      </w:r>
      <w:r>
        <w:rPr>
          <w:rFonts w:hint="eastAsia" w:ascii="宋体" w:hAnsi="宋体" w:cs="宋体"/>
          <w:sz w:val="24"/>
          <w:u w:val="single"/>
        </w:rPr>
        <w:t>供应商须知资料表</w:t>
      </w:r>
      <w:r>
        <w:rPr>
          <w:rFonts w:hint="eastAsia" w:ascii="宋体" w:hAnsi="宋体" w:cs="宋体"/>
          <w:sz w:val="24"/>
        </w:rPr>
        <w:t>。</w:t>
      </w:r>
    </w:p>
    <w:p>
      <w:pPr>
        <w:spacing w:line="560" w:lineRule="exact"/>
        <w:ind w:firstLine="480" w:firstLineChars="200"/>
        <w:jc w:val="left"/>
        <w:rPr>
          <w:rFonts w:ascii="宋体" w:hAnsi="宋体" w:cs="宋体"/>
          <w:sz w:val="24"/>
        </w:rPr>
      </w:pPr>
      <w:r>
        <w:rPr>
          <w:rFonts w:hint="eastAsia" w:ascii="宋体" w:hAnsi="宋体" w:cs="宋体"/>
          <w:sz w:val="24"/>
        </w:rPr>
        <w:t>5.6.1竞争性谈判文件“供应商须知资料表”规定组织踏勘现场的，采购人按规定的时间、地点组织供应商踏勘项目现场，踏勘现场所发生的费用由供应商承担。</w:t>
      </w:r>
    </w:p>
    <w:p>
      <w:pPr>
        <w:spacing w:line="560" w:lineRule="exact"/>
        <w:ind w:firstLine="480" w:firstLineChars="200"/>
        <w:jc w:val="left"/>
        <w:rPr>
          <w:rFonts w:ascii="宋体" w:hAnsi="宋体" w:cs="宋体"/>
          <w:sz w:val="24"/>
        </w:rPr>
      </w:pPr>
      <w:r>
        <w:rPr>
          <w:rFonts w:hint="eastAsia" w:ascii="宋体" w:hAnsi="宋体" w:cs="宋体"/>
          <w:sz w:val="24"/>
        </w:rPr>
        <w:t>5.6.2采购人向供应商提供的有关现场的资料和数据，是采购人现有的能使供应商利用的资料，采购人对供应商由此而做出的推论、理解和结论概不负责。</w:t>
      </w:r>
    </w:p>
    <w:p>
      <w:pPr>
        <w:spacing w:line="560" w:lineRule="exact"/>
        <w:ind w:firstLine="480" w:firstLineChars="200"/>
        <w:jc w:val="left"/>
        <w:rPr>
          <w:rFonts w:ascii="宋体" w:hAnsi="宋体" w:cs="宋体"/>
          <w:sz w:val="24"/>
        </w:rPr>
      </w:pPr>
      <w:r>
        <w:rPr>
          <w:rFonts w:hint="eastAsia" w:ascii="宋体" w:hAnsi="宋体" w:cs="宋体"/>
          <w:sz w:val="24"/>
        </w:rPr>
        <w:t>5.6.3供应商经过采购人的允许，可进入项目现场踏勘，对供货（或施工）现场及其范围环境进行考察，以获取有关编制响应文件和签署实施合同所需的各项资料，但供应商及其人员不得因此使采购人及其人员承担有关的责任和蒙受损失。供应商并应对由此次踏勘现场而造成的死亡、人身伤害、财产损失、损害以及任何其它损失、损害和引起的费用和开支承担责任。</w:t>
      </w:r>
    </w:p>
    <w:p>
      <w:pPr>
        <w:spacing w:line="560" w:lineRule="exact"/>
        <w:ind w:firstLine="480" w:firstLineChars="200"/>
        <w:jc w:val="left"/>
        <w:rPr>
          <w:rFonts w:ascii="宋体" w:hAnsi="宋体" w:cs="宋体"/>
          <w:sz w:val="24"/>
        </w:rPr>
      </w:pPr>
      <w:r>
        <w:rPr>
          <w:rFonts w:hint="eastAsia" w:ascii="宋体" w:hAnsi="宋体" w:cs="宋体"/>
          <w:sz w:val="24"/>
        </w:rPr>
        <w:t>5.7不论谈判结果如何，供应商的响应文件（含电子版）均不退还。</w:t>
      </w:r>
    </w:p>
    <w:p>
      <w:pPr>
        <w:spacing w:line="560" w:lineRule="exact"/>
        <w:ind w:firstLine="480" w:firstLineChars="200"/>
        <w:jc w:val="left"/>
        <w:rPr>
          <w:rFonts w:ascii="宋体" w:hAnsi="宋体" w:cs="宋体"/>
          <w:sz w:val="24"/>
        </w:rPr>
      </w:pPr>
      <w:r>
        <w:rPr>
          <w:rFonts w:hint="eastAsia" w:ascii="宋体" w:hAnsi="宋体" w:cs="宋体"/>
          <w:sz w:val="24"/>
        </w:rPr>
        <w:t>5.8除竞争性谈判文件中另有规定外，竞争性谈判文件所使用的时间单位“天”、“日”均指日历天，且所有时刻均为北京时间。</w:t>
      </w:r>
    </w:p>
    <w:p>
      <w:pPr>
        <w:spacing w:line="560" w:lineRule="exact"/>
        <w:ind w:firstLine="480" w:firstLineChars="200"/>
        <w:jc w:val="left"/>
        <w:rPr>
          <w:rFonts w:ascii="宋体" w:hAnsi="宋体" w:cs="宋体"/>
          <w:sz w:val="24"/>
        </w:rPr>
      </w:pPr>
      <w:r>
        <w:rPr>
          <w:rFonts w:hint="eastAsia" w:ascii="宋体" w:hAnsi="宋体" w:cs="宋体"/>
          <w:sz w:val="24"/>
        </w:rPr>
        <w:t>5.9参与谈判活动的各方应对竞争性谈判文件和响应文件中的商业和技术等秘密保密，违者应对由此造成的后果承担法律责任。</w:t>
      </w:r>
    </w:p>
    <w:p>
      <w:pPr>
        <w:spacing w:line="560" w:lineRule="exact"/>
        <w:ind w:firstLine="480" w:firstLineChars="200"/>
        <w:jc w:val="left"/>
        <w:rPr>
          <w:rFonts w:ascii="宋体" w:hAnsi="宋体" w:cs="宋体"/>
          <w:sz w:val="24"/>
        </w:rPr>
      </w:pPr>
      <w:r>
        <w:rPr>
          <w:rFonts w:hint="eastAsia" w:ascii="宋体" w:hAnsi="宋体" w:cs="宋体"/>
          <w:sz w:val="24"/>
        </w:rPr>
        <w:t>5.10供应商应自行承担其准备和参加谈判活动发生的所有费用。不论谈判结果如何，采购人及采购代理机构在任何情况下无义务也无责任承担这些费用。</w:t>
      </w:r>
    </w:p>
    <w:p>
      <w:pPr>
        <w:pStyle w:val="5"/>
        <w:spacing w:before="0" w:after="0" w:line="560" w:lineRule="exact"/>
        <w:rPr>
          <w:rFonts w:hAnsi="宋体" w:cs="宋体"/>
          <w:u w:val="none"/>
        </w:rPr>
      </w:pPr>
      <w:bookmarkStart w:id="147" w:name="_Toc2772"/>
      <w:r>
        <w:rPr>
          <w:rFonts w:hint="eastAsia" w:hAnsi="宋体" w:cs="宋体"/>
          <w:u w:val="none"/>
        </w:rPr>
        <w:t>6.竞争性谈判文件的澄清</w:t>
      </w:r>
      <w:bookmarkEnd w:id="143"/>
      <w:bookmarkEnd w:id="144"/>
      <w:r>
        <w:rPr>
          <w:rFonts w:hint="eastAsia" w:hAnsi="宋体" w:cs="宋体"/>
          <w:u w:val="none"/>
        </w:rPr>
        <w:t>与修改</w:t>
      </w:r>
      <w:bookmarkEnd w:id="145"/>
      <w:bookmarkEnd w:id="146"/>
      <w:bookmarkEnd w:id="147"/>
    </w:p>
    <w:p>
      <w:pPr>
        <w:spacing w:line="560" w:lineRule="exact"/>
        <w:ind w:firstLine="480" w:firstLineChars="200"/>
        <w:jc w:val="left"/>
        <w:rPr>
          <w:rFonts w:ascii="宋体" w:hAnsi="宋体" w:cs="宋体"/>
          <w:sz w:val="24"/>
        </w:rPr>
      </w:pPr>
      <w:bookmarkStart w:id="148" w:name="_Toc520356149"/>
      <w:bookmarkStart w:id="149" w:name="_Ref467378678"/>
      <w:bookmarkStart w:id="150" w:name="_Toc515904806"/>
      <w:bookmarkStart w:id="151" w:name="_Toc14569"/>
      <w:bookmarkStart w:id="152" w:name="_Toc25635"/>
      <w:r>
        <w:rPr>
          <w:rFonts w:hint="eastAsia" w:ascii="宋体" w:hAnsi="宋体" w:cs="宋体"/>
          <w:sz w:val="24"/>
        </w:rPr>
        <w:t>6.1采购人可主动地或在解答供应商提出的澄清问题时对竞争性谈判文件澄清或修改。采购代理机构将以发布澄清（更正）公告的方式，澄清或修改竞争性谈判文件，同时</w:t>
      </w:r>
      <w:r>
        <w:rPr>
          <w:rFonts w:hint="eastAsia" w:ascii="宋体" w:hAnsi="宋体"/>
          <w:bCs/>
          <w:sz w:val="24"/>
        </w:rPr>
        <w:t>，采购代理机构可将澄清或修改内容以电子形式上传至系统中，</w:t>
      </w:r>
      <w:r>
        <w:rPr>
          <w:rFonts w:hint="eastAsia" w:ascii="宋体" w:hAnsi="宋体" w:cs="宋体"/>
          <w:sz w:val="24"/>
        </w:rPr>
        <w:t>澄清或修改内容作为竞争性谈判文件的组成部分。</w:t>
      </w:r>
    </w:p>
    <w:p>
      <w:pPr>
        <w:pStyle w:val="8"/>
        <w:spacing w:line="560" w:lineRule="exact"/>
        <w:ind w:firstLine="480" w:firstLineChars="200"/>
        <w:rPr>
          <w:rFonts w:hAnsi="宋体" w:cs="宋体"/>
        </w:rPr>
      </w:pPr>
      <w:r>
        <w:rPr>
          <w:rFonts w:hint="eastAsia" w:hAnsi="宋体" w:cs="宋体"/>
        </w:rPr>
        <w:t>6.2澄清或者修改的内容可能影响响应文件编制的，采购代理机构</w:t>
      </w:r>
      <w:r>
        <w:rPr>
          <w:rFonts w:hint="eastAsia" w:hAnsi="宋体" w:cs="宋体"/>
          <w:lang w:val="en-GB"/>
        </w:rPr>
        <w:t>应当在提交首次响应文件截止时间至少</w:t>
      </w:r>
      <w:r>
        <w:rPr>
          <w:rFonts w:hint="eastAsia" w:hAnsi="宋体" w:cs="宋体"/>
        </w:rPr>
        <w:t>3个工作日</w:t>
      </w:r>
      <w:r>
        <w:rPr>
          <w:rFonts w:hint="eastAsia" w:hAnsi="宋体" w:cs="宋体"/>
          <w:lang w:val="en-GB"/>
        </w:rPr>
        <w:t>前，</w:t>
      </w:r>
      <w:r>
        <w:rPr>
          <w:rFonts w:hint="eastAsia" w:hAnsi="宋体" w:cs="宋体"/>
        </w:rPr>
        <w:t>以书面或公告等形式通知所有获取竞争性谈判文件的潜在供应商，并对其具有约束力。</w:t>
      </w:r>
    </w:p>
    <w:p>
      <w:pPr>
        <w:pStyle w:val="8"/>
        <w:spacing w:line="560" w:lineRule="exact"/>
        <w:ind w:firstLine="480" w:firstLineChars="200"/>
        <w:rPr>
          <w:rFonts w:hAnsi="宋体" w:cs="宋体"/>
          <w:szCs w:val="24"/>
        </w:rPr>
      </w:pPr>
      <w:r>
        <w:rPr>
          <w:rFonts w:hint="eastAsia" w:hAnsi="宋体"/>
        </w:rPr>
        <w:t>供应商可登陆系统查看澄清或修改内容。</w:t>
      </w:r>
      <w:r>
        <w:rPr>
          <w:rFonts w:hint="eastAsia" w:hAnsi="宋体" w:cs="宋体"/>
          <w:szCs w:val="24"/>
        </w:rPr>
        <w:t>因潜在供应商原因或通讯线路故障导致逾期送达或无法送达，采购代理机构不因此承担任何责任，有关采购活动可以继续有效进行。</w:t>
      </w:r>
    </w:p>
    <w:p>
      <w:pPr>
        <w:spacing w:line="560" w:lineRule="exact"/>
        <w:ind w:firstLine="480" w:firstLineChars="200"/>
        <w:jc w:val="left"/>
        <w:rPr>
          <w:rFonts w:ascii="宋体" w:hAnsi="宋体" w:cs="宋体"/>
          <w:kern w:val="0"/>
          <w:sz w:val="24"/>
        </w:rPr>
      </w:pPr>
      <w:r>
        <w:rPr>
          <w:rFonts w:hint="eastAsia" w:ascii="宋体" w:hAnsi="宋体" w:cs="宋体"/>
          <w:kern w:val="0"/>
          <w:sz w:val="24"/>
        </w:rPr>
        <w:t>6.3供应商认为</w:t>
      </w:r>
      <w:r>
        <w:rPr>
          <w:rFonts w:hint="eastAsia" w:ascii="宋体" w:hAnsi="宋体" w:cs="宋体"/>
          <w:sz w:val="24"/>
        </w:rPr>
        <w:t>竞争性谈判</w:t>
      </w:r>
      <w:r>
        <w:rPr>
          <w:rFonts w:hint="eastAsia" w:ascii="宋体" w:hAnsi="宋体" w:cs="宋体"/>
          <w:kern w:val="0"/>
          <w:sz w:val="24"/>
        </w:rPr>
        <w:t>文件存在歧视性条款或不合理要求等需要澄清的，应在规定时间内一次性全部提出。</w:t>
      </w:r>
      <w:r>
        <w:rPr>
          <w:rFonts w:hint="eastAsia" w:ascii="宋体" w:hAnsi="宋体"/>
          <w:sz w:val="24"/>
        </w:rPr>
        <w:t>供应商可登录淄博市公共资源交易网“企业会员系统”使用“网上提问”中的“新增提问”提出异议。</w:t>
      </w:r>
      <w:r>
        <w:rPr>
          <w:rFonts w:hint="eastAsia" w:ascii="宋体" w:hAnsi="宋体" w:cs="宋体"/>
          <w:kern w:val="0"/>
          <w:sz w:val="24"/>
        </w:rPr>
        <w:t>如在规定时间内，供应商对</w:t>
      </w:r>
      <w:r>
        <w:rPr>
          <w:rFonts w:hint="eastAsia" w:ascii="宋体" w:hAnsi="宋体" w:cs="宋体"/>
          <w:sz w:val="24"/>
        </w:rPr>
        <w:t>竞争性谈判</w:t>
      </w:r>
      <w:r>
        <w:rPr>
          <w:rFonts w:hint="eastAsia" w:ascii="宋体" w:hAnsi="宋体" w:cs="宋体"/>
          <w:kern w:val="0"/>
          <w:sz w:val="24"/>
        </w:rPr>
        <w:t>文件中的各项条款未提出异议，即认为同意和接受</w:t>
      </w:r>
      <w:r>
        <w:rPr>
          <w:rFonts w:hint="eastAsia" w:ascii="宋体" w:hAnsi="宋体" w:cs="宋体"/>
          <w:sz w:val="24"/>
        </w:rPr>
        <w:t>竞争性谈判</w:t>
      </w:r>
      <w:r>
        <w:rPr>
          <w:rFonts w:hint="eastAsia" w:ascii="宋体" w:hAnsi="宋体" w:cs="宋体"/>
          <w:kern w:val="0"/>
          <w:sz w:val="24"/>
        </w:rPr>
        <w:t>文件。</w:t>
      </w:r>
    </w:p>
    <w:p>
      <w:pPr>
        <w:spacing w:line="560" w:lineRule="exact"/>
        <w:ind w:firstLine="480" w:firstLineChars="200"/>
        <w:jc w:val="left"/>
        <w:rPr>
          <w:rFonts w:ascii="宋体" w:hAnsi="宋体" w:cs="宋体"/>
          <w:sz w:val="24"/>
        </w:rPr>
      </w:pPr>
      <w:r>
        <w:rPr>
          <w:rFonts w:hint="eastAsia" w:ascii="宋体" w:hAnsi="宋体"/>
          <w:sz w:val="24"/>
        </w:rPr>
        <w:t>注：如有最新的答疑后竞争性谈判文件（文件格式为.</w:t>
      </w:r>
      <w:r>
        <w:rPr>
          <w:rFonts w:ascii="宋体" w:hAnsi="宋体"/>
          <w:sz w:val="24"/>
        </w:rPr>
        <w:t>zbcf</w:t>
      </w:r>
      <w:r>
        <w:rPr>
          <w:rFonts w:hint="eastAsia" w:ascii="宋体" w:hAnsi="宋体"/>
          <w:sz w:val="24"/>
        </w:rPr>
        <w:t>），供应商必须下载并使用该文件制作电子响应文件，否则将无法完成上传、参与谈判。</w:t>
      </w:r>
    </w:p>
    <w:p>
      <w:pPr>
        <w:pStyle w:val="5"/>
        <w:spacing w:before="0" w:after="0" w:line="560" w:lineRule="exact"/>
        <w:rPr>
          <w:rFonts w:hAnsi="宋体" w:cs="宋体"/>
          <w:u w:val="none"/>
        </w:rPr>
      </w:pPr>
      <w:bookmarkStart w:id="153" w:name="_Toc14872"/>
      <w:r>
        <w:rPr>
          <w:rFonts w:hint="eastAsia" w:hAnsi="宋体" w:cs="宋体"/>
          <w:u w:val="none"/>
        </w:rPr>
        <w:t>7</w:t>
      </w:r>
      <w:bookmarkEnd w:id="148"/>
      <w:bookmarkEnd w:id="149"/>
      <w:bookmarkEnd w:id="150"/>
      <w:r>
        <w:rPr>
          <w:rFonts w:hint="eastAsia" w:hAnsi="宋体" w:cs="宋体"/>
          <w:u w:val="none"/>
        </w:rPr>
        <w:t>.提交响应文件截止时间的顺延</w:t>
      </w:r>
      <w:bookmarkEnd w:id="151"/>
      <w:bookmarkEnd w:id="152"/>
      <w:bookmarkEnd w:id="153"/>
    </w:p>
    <w:p>
      <w:pPr>
        <w:pStyle w:val="22"/>
        <w:widowControl/>
        <w:snapToGrid w:val="0"/>
        <w:spacing w:before="0" w:beforeAutospacing="0" w:after="0" w:afterAutospacing="0" w:line="560" w:lineRule="exact"/>
        <w:ind w:firstLine="480" w:firstLineChars="200"/>
        <w:rPr>
          <w:rFonts w:ascii="宋体" w:hAnsi="宋体" w:cs="宋体"/>
        </w:rPr>
      </w:pPr>
      <w:r>
        <w:rPr>
          <w:rFonts w:hint="eastAsia" w:ascii="宋体" w:hAnsi="宋体" w:cs="宋体"/>
        </w:rPr>
        <w:t>澄清或者修改的内容可能影响响应文件编制的，采购人、采购代理机构应当在提交首次响应文件截止之日3个工作日前，以书面形式通知所有接收谈判文件的供应商，不足3个工作日的，应当顺延提交首次响应文件截止之日。</w:t>
      </w:r>
    </w:p>
    <w:p>
      <w:pPr>
        <w:spacing w:line="560" w:lineRule="exact"/>
        <w:ind w:firstLine="480" w:firstLineChars="200"/>
        <w:jc w:val="left"/>
        <w:rPr>
          <w:rFonts w:ascii="宋体" w:hAnsi="宋体" w:cs="宋体"/>
          <w:sz w:val="24"/>
        </w:rPr>
      </w:pPr>
    </w:p>
    <w:p>
      <w:pPr>
        <w:pStyle w:val="4"/>
        <w:tabs>
          <w:tab w:val="left" w:pos="900"/>
        </w:tabs>
        <w:spacing w:before="0" w:line="560" w:lineRule="exact"/>
        <w:ind w:firstLine="562" w:firstLineChars="200"/>
        <w:rPr>
          <w:rFonts w:ascii="宋体" w:hAnsi="宋体" w:eastAsia="宋体" w:cs="宋体"/>
          <w:sz w:val="28"/>
        </w:rPr>
      </w:pPr>
      <w:bookmarkStart w:id="154" w:name="_Toc516367020"/>
      <w:bookmarkStart w:id="155" w:name="_Toc28485"/>
      <w:bookmarkStart w:id="156" w:name="_Toc30808"/>
      <w:bookmarkStart w:id="157" w:name="_Toc515647766"/>
      <w:bookmarkStart w:id="158" w:name="_Toc7636"/>
      <w:bookmarkStart w:id="159" w:name="_Toc520356150"/>
      <w:bookmarkStart w:id="160" w:name="_Toc216582807"/>
      <w:r>
        <w:rPr>
          <w:rFonts w:hint="eastAsia" w:ascii="宋体" w:hAnsi="宋体" w:eastAsia="宋体" w:cs="宋体"/>
          <w:sz w:val="28"/>
        </w:rPr>
        <w:t>三、响应文件</w:t>
      </w:r>
      <w:bookmarkEnd w:id="154"/>
      <w:r>
        <w:rPr>
          <w:rFonts w:hint="eastAsia" w:ascii="宋体" w:hAnsi="宋体" w:eastAsia="宋体" w:cs="宋体"/>
          <w:sz w:val="28"/>
        </w:rPr>
        <w:t>的编制</w:t>
      </w:r>
      <w:bookmarkEnd w:id="155"/>
      <w:bookmarkEnd w:id="156"/>
      <w:bookmarkEnd w:id="157"/>
      <w:bookmarkEnd w:id="158"/>
      <w:bookmarkEnd w:id="159"/>
      <w:bookmarkEnd w:id="160"/>
    </w:p>
    <w:p>
      <w:pPr>
        <w:pStyle w:val="5"/>
        <w:spacing w:before="0" w:after="0" w:line="560" w:lineRule="exact"/>
        <w:rPr>
          <w:rFonts w:hAnsi="宋体" w:cs="宋体"/>
          <w:u w:val="none"/>
        </w:rPr>
      </w:pPr>
      <w:bookmarkStart w:id="161" w:name="_Toc520356151"/>
      <w:bookmarkStart w:id="162" w:name="_Toc14335"/>
      <w:bookmarkStart w:id="163" w:name="_Toc3553"/>
      <w:bookmarkStart w:id="164" w:name="_Toc515647767"/>
      <w:bookmarkStart w:id="165" w:name="_Toc7786"/>
      <w:bookmarkStart w:id="166" w:name="_Toc516367021"/>
      <w:r>
        <w:rPr>
          <w:rFonts w:hint="eastAsia" w:hAnsi="宋体" w:cs="宋体"/>
          <w:u w:val="none"/>
        </w:rPr>
        <w:t>8.响应范围及响应文件中标准和计量单位的使用</w:t>
      </w:r>
      <w:bookmarkEnd w:id="161"/>
      <w:bookmarkEnd w:id="162"/>
      <w:bookmarkEnd w:id="163"/>
      <w:bookmarkEnd w:id="164"/>
      <w:bookmarkEnd w:id="165"/>
      <w:bookmarkEnd w:id="166"/>
    </w:p>
    <w:p>
      <w:pPr>
        <w:spacing w:line="560" w:lineRule="exact"/>
        <w:ind w:firstLine="480" w:firstLineChars="200"/>
        <w:jc w:val="left"/>
        <w:rPr>
          <w:rFonts w:ascii="宋体" w:hAnsi="宋体" w:cs="宋体"/>
          <w:sz w:val="24"/>
        </w:rPr>
      </w:pPr>
      <w:bookmarkStart w:id="167" w:name="_Toc516367022"/>
      <w:bookmarkStart w:id="168" w:name="_Ref467306676"/>
      <w:bookmarkStart w:id="169" w:name="_Ref467306195"/>
      <w:bookmarkStart w:id="170" w:name="_Toc10364"/>
      <w:bookmarkStart w:id="171" w:name="_Toc520356152"/>
      <w:bookmarkStart w:id="172" w:name="_Toc28307"/>
      <w:bookmarkStart w:id="173" w:name="_Toc515647768"/>
      <w:r>
        <w:rPr>
          <w:rFonts w:hint="eastAsia" w:ascii="宋体" w:hAnsi="宋体" w:cs="宋体"/>
          <w:sz w:val="24"/>
        </w:rPr>
        <w:t>8.1供应商可对竞争性谈判文件其中一个或几个分包进行响应。除非在</w:t>
      </w:r>
      <w:r>
        <w:rPr>
          <w:rFonts w:hint="eastAsia" w:ascii="宋体" w:hAnsi="宋体" w:cs="宋体"/>
          <w:sz w:val="24"/>
          <w:u w:val="single"/>
        </w:rPr>
        <w:t>供应商须知资料表</w:t>
      </w:r>
      <w:r>
        <w:rPr>
          <w:rFonts w:hint="eastAsia" w:ascii="宋体" w:hAnsi="宋体" w:cs="宋体"/>
          <w:sz w:val="24"/>
        </w:rPr>
        <w:t>中另有规定。</w:t>
      </w:r>
    </w:p>
    <w:p>
      <w:pPr>
        <w:spacing w:line="560" w:lineRule="exact"/>
        <w:ind w:firstLine="480" w:firstLineChars="200"/>
        <w:jc w:val="left"/>
        <w:rPr>
          <w:rFonts w:ascii="宋体" w:hAnsi="宋体" w:cs="宋体"/>
          <w:sz w:val="24"/>
        </w:rPr>
      </w:pPr>
      <w:r>
        <w:rPr>
          <w:rFonts w:hint="eastAsia" w:ascii="宋体" w:hAnsi="宋体" w:cs="宋体"/>
          <w:sz w:val="24"/>
        </w:rPr>
        <w:t>8.2供应商应当</w:t>
      </w:r>
      <w:r>
        <w:rPr>
          <w:rFonts w:ascii="宋体" w:hAnsi="宋体"/>
          <w:sz w:val="24"/>
        </w:rPr>
        <w:t>对所</w:t>
      </w:r>
      <w:r>
        <w:rPr>
          <w:rFonts w:hint="eastAsia" w:ascii="宋体" w:hAnsi="宋体"/>
          <w:sz w:val="24"/>
        </w:rPr>
        <w:t>响应标包中</w:t>
      </w:r>
      <w:r>
        <w:rPr>
          <w:rFonts w:hint="eastAsia" w:ascii="宋体" w:hAnsi="宋体" w:cs="宋体"/>
          <w:sz w:val="24"/>
        </w:rPr>
        <w:t>“货物需求”所列的所有内容进行响应，如仅响应某一包中的部分内容，其响应文件将被认定为无效。</w:t>
      </w:r>
    </w:p>
    <w:p>
      <w:pPr>
        <w:spacing w:line="560" w:lineRule="exact"/>
        <w:ind w:firstLine="480" w:firstLineChars="200"/>
        <w:jc w:val="left"/>
        <w:rPr>
          <w:rFonts w:ascii="宋体" w:hAnsi="宋体" w:cs="宋体"/>
          <w:sz w:val="24"/>
        </w:rPr>
      </w:pPr>
      <w:r>
        <w:rPr>
          <w:rFonts w:hint="eastAsia" w:ascii="宋体" w:hAnsi="宋体" w:cs="宋体"/>
          <w:sz w:val="24"/>
        </w:rPr>
        <w:t>8.3无论竞争性谈判文件第三章“货物需求”中是否要求，供应商所报货物均应符合国家强制性标准。</w:t>
      </w:r>
    </w:p>
    <w:p>
      <w:pPr>
        <w:tabs>
          <w:tab w:val="left" w:pos="900"/>
          <w:tab w:val="left" w:pos="5580"/>
        </w:tabs>
        <w:spacing w:line="560" w:lineRule="exact"/>
        <w:ind w:firstLine="480" w:firstLineChars="200"/>
        <w:jc w:val="left"/>
        <w:rPr>
          <w:rFonts w:ascii="宋体" w:hAnsi="宋体"/>
          <w:sz w:val="24"/>
        </w:rPr>
      </w:pPr>
      <w:r>
        <w:rPr>
          <w:rFonts w:hint="eastAsia" w:ascii="宋体" w:hAnsi="宋体"/>
          <w:sz w:val="24"/>
        </w:rPr>
        <w:t>8.4除竞争性谈判文件中有特殊要求外，响应文件中所使用的计量单位，应采用中华人民共和国法定计量单位。</w:t>
      </w:r>
    </w:p>
    <w:p>
      <w:pPr>
        <w:tabs>
          <w:tab w:val="left" w:pos="900"/>
          <w:tab w:val="left" w:pos="5580"/>
        </w:tabs>
        <w:spacing w:line="560" w:lineRule="exact"/>
        <w:ind w:firstLine="480" w:firstLineChars="200"/>
        <w:jc w:val="left"/>
        <w:rPr>
          <w:rFonts w:ascii="宋体" w:hAnsi="宋体"/>
          <w:sz w:val="24"/>
        </w:rPr>
      </w:pPr>
      <w:bookmarkStart w:id="174" w:name="_Toc20865"/>
      <w:r>
        <w:rPr>
          <w:rFonts w:hint="eastAsia" w:ascii="宋体" w:hAnsi="宋体"/>
          <w:sz w:val="24"/>
        </w:rPr>
        <w:t>8.5关于兼投不兼中要求详见供</w:t>
      </w:r>
      <w:r>
        <w:rPr>
          <w:rFonts w:hint="eastAsia" w:ascii="宋体" w:hAnsi="宋体"/>
          <w:sz w:val="24"/>
          <w:u w:val="single"/>
        </w:rPr>
        <w:t>应商须知资料表</w:t>
      </w:r>
      <w:r>
        <w:rPr>
          <w:rFonts w:hint="eastAsia" w:ascii="宋体" w:hAnsi="宋体"/>
          <w:sz w:val="24"/>
        </w:rPr>
        <w:t>。</w:t>
      </w:r>
      <w:bookmarkEnd w:id="174"/>
    </w:p>
    <w:p>
      <w:pPr>
        <w:tabs>
          <w:tab w:val="left" w:pos="900"/>
          <w:tab w:val="left" w:pos="5580"/>
        </w:tabs>
        <w:spacing w:line="560" w:lineRule="exact"/>
        <w:ind w:firstLine="480" w:firstLineChars="200"/>
        <w:jc w:val="left"/>
        <w:rPr>
          <w:rFonts w:ascii="宋体" w:hAnsi="宋体"/>
          <w:sz w:val="24"/>
        </w:rPr>
      </w:pPr>
      <w:r>
        <w:rPr>
          <w:rFonts w:hint="eastAsia" w:ascii="宋体" w:hAnsi="宋体"/>
          <w:sz w:val="24"/>
        </w:rPr>
        <w:t>8.6响应文件中提供的扫描件应当真实、完整、清晰，由此造成的一切不利后果由供应商自行承担。</w:t>
      </w:r>
    </w:p>
    <w:p>
      <w:pPr>
        <w:pStyle w:val="5"/>
        <w:spacing w:before="0" w:after="0" w:line="560" w:lineRule="exact"/>
        <w:rPr>
          <w:rFonts w:hAnsi="宋体" w:cs="宋体"/>
          <w:u w:val="none"/>
        </w:rPr>
      </w:pPr>
      <w:bookmarkStart w:id="175" w:name="_Toc25756"/>
      <w:r>
        <w:rPr>
          <w:rFonts w:hint="eastAsia" w:hAnsi="宋体" w:cs="宋体"/>
          <w:u w:val="none"/>
        </w:rPr>
        <w:t>9.响应文件</w:t>
      </w:r>
      <w:bookmarkEnd w:id="167"/>
      <w:bookmarkEnd w:id="168"/>
      <w:bookmarkEnd w:id="169"/>
      <w:r>
        <w:rPr>
          <w:rFonts w:hint="eastAsia" w:hAnsi="宋体" w:cs="宋体"/>
          <w:u w:val="none"/>
        </w:rPr>
        <w:t>构成</w:t>
      </w:r>
      <w:bookmarkEnd w:id="170"/>
      <w:bookmarkEnd w:id="171"/>
      <w:bookmarkEnd w:id="172"/>
      <w:bookmarkEnd w:id="173"/>
      <w:bookmarkEnd w:id="175"/>
    </w:p>
    <w:p>
      <w:pPr>
        <w:tabs>
          <w:tab w:val="left" w:pos="900"/>
          <w:tab w:val="left" w:pos="5580"/>
        </w:tabs>
        <w:spacing w:line="560" w:lineRule="exact"/>
        <w:ind w:firstLine="480" w:firstLineChars="200"/>
        <w:jc w:val="left"/>
        <w:rPr>
          <w:rFonts w:ascii="宋体" w:hAnsi="宋体" w:cs="宋体"/>
          <w:sz w:val="24"/>
        </w:rPr>
      </w:pPr>
      <w:bookmarkStart w:id="176" w:name="_Ref467052588"/>
      <w:r>
        <w:rPr>
          <w:rFonts w:hint="eastAsia" w:ascii="宋体" w:hAnsi="宋体" w:cs="宋体"/>
          <w:sz w:val="24"/>
        </w:rPr>
        <w:t>9.1供应商应通过</w:t>
      </w:r>
      <w:r>
        <w:rPr>
          <w:rFonts w:hint="eastAsia" w:ascii="宋体" w:hAnsi="宋体"/>
          <w:sz w:val="24"/>
        </w:rPr>
        <w:t>淄博市公共资源交易网下载的“电子投标文件制作工具”</w:t>
      </w:r>
      <w:r>
        <w:rPr>
          <w:rFonts w:hint="eastAsia" w:ascii="宋体" w:hAnsi="宋体" w:cs="宋体"/>
          <w:sz w:val="24"/>
        </w:rPr>
        <w:t>编写响应文件。</w:t>
      </w:r>
      <w:r>
        <w:rPr>
          <w:rFonts w:hint="eastAsia" w:ascii="宋体" w:hAnsi="宋体"/>
          <w:sz w:val="24"/>
        </w:rPr>
        <w:t>在提交响应文件截止时间前上传经过数字证书电子签章并加密的电子响应文件（加密和解密必须使用同一数字证书）。</w:t>
      </w:r>
      <w:r>
        <w:rPr>
          <w:rFonts w:hint="eastAsia" w:ascii="宋体" w:hAnsi="宋体" w:cs="宋体"/>
          <w:sz w:val="24"/>
        </w:rPr>
        <w:t>响应文件中资格审查和符合性审查涉及的事项不满足竞争性谈判文件要求的，其响应文件将被认定为无效。</w:t>
      </w:r>
    </w:p>
    <w:p>
      <w:pPr>
        <w:spacing w:line="560" w:lineRule="exact"/>
        <w:ind w:firstLine="480" w:firstLineChars="200"/>
        <w:jc w:val="left"/>
        <w:rPr>
          <w:rFonts w:ascii="宋体" w:hAnsi="宋体" w:cs="宋体"/>
          <w:sz w:val="24"/>
        </w:rPr>
      </w:pPr>
      <w:r>
        <w:rPr>
          <w:rFonts w:hint="eastAsia" w:ascii="宋体" w:hAnsi="宋体" w:cs="宋体"/>
          <w:sz w:val="24"/>
        </w:rPr>
        <w:t>9.2 上述文件应按照竞争性谈判文件规定签署。采用公章授权方式的，应当在响应文件中附公章授权书（格式自定）。</w:t>
      </w:r>
    </w:p>
    <w:p>
      <w:pPr>
        <w:spacing w:line="560" w:lineRule="exact"/>
        <w:ind w:firstLine="480" w:firstLineChars="200"/>
        <w:jc w:val="left"/>
        <w:rPr>
          <w:rFonts w:ascii="宋体" w:hAnsi="宋体" w:cs="宋体"/>
          <w:sz w:val="24"/>
        </w:rPr>
      </w:pPr>
      <w:r>
        <w:rPr>
          <w:rFonts w:hint="eastAsia" w:ascii="宋体" w:hAnsi="宋体" w:cs="宋体"/>
          <w:sz w:val="24"/>
        </w:rPr>
        <w:t>9.3本项目采用电子响应，须使用用于证明供应商身份的单位电子签名的实名认证证书和用于供应商编制电子响应文件的响应文件制作软件。</w:t>
      </w:r>
    </w:p>
    <w:p>
      <w:pPr>
        <w:spacing w:line="560" w:lineRule="exact"/>
        <w:ind w:firstLine="480" w:firstLineChars="200"/>
        <w:jc w:val="left"/>
        <w:rPr>
          <w:rFonts w:ascii="宋体" w:hAnsi="宋体" w:cs="宋体"/>
          <w:sz w:val="24"/>
        </w:rPr>
      </w:pPr>
      <w:r>
        <w:rPr>
          <w:rFonts w:hint="eastAsia" w:ascii="宋体" w:hAnsi="宋体" w:cs="宋体"/>
          <w:sz w:val="24"/>
        </w:rPr>
        <w:t>申请办理实名认证证书的方式：详见</w:t>
      </w:r>
      <w:r>
        <w:rPr>
          <w:rFonts w:hint="eastAsia" w:ascii="宋体" w:hAnsi="宋体"/>
          <w:sz w:val="24"/>
        </w:rPr>
        <w:t>《数字证书办理注意事项及相关资料下载》（</w:t>
      </w:r>
      <w:r>
        <w:rPr>
          <w:rFonts w:hint="eastAsia" w:ascii="宋体" w:hAnsi="宋体" w:cs="宋体"/>
          <w:sz w:val="24"/>
        </w:rPr>
        <w:t>淄博市公共资源交易网→我要下载）。</w:t>
      </w:r>
    </w:p>
    <w:p>
      <w:pPr>
        <w:spacing w:line="560" w:lineRule="exact"/>
        <w:ind w:firstLine="480" w:firstLineChars="200"/>
        <w:jc w:val="left"/>
        <w:rPr>
          <w:rFonts w:ascii="宋体" w:hAnsi="宋体" w:cs="宋体"/>
          <w:sz w:val="24"/>
        </w:rPr>
      </w:pPr>
      <w:r>
        <w:rPr>
          <w:rFonts w:hint="eastAsia" w:ascii="宋体" w:hAnsi="宋体" w:cs="宋体"/>
          <w:sz w:val="24"/>
        </w:rPr>
        <w:t>电子响应基本流程：详见“新点投标文件制作软件（淄博版）操作视频-采购类”（淄博市公共资源交易网→</w:t>
      </w:r>
      <w:r>
        <w:rPr>
          <w:rFonts w:hint="eastAsia" w:ascii="宋体" w:hAnsi="宋体"/>
          <w:sz w:val="24"/>
        </w:rPr>
        <w:t>我要下载）。</w:t>
      </w:r>
    </w:p>
    <w:p>
      <w:pPr>
        <w:spacing w:line="560" w:lineRule="exact"/>
        <w:ind w:firstLine="480" w:firstLineChars="200"/>
        <w:jc w:val="left"/>
        <w:rPr>
          <w:rFonts w:ascii="宋体" w:hAnsi="宋体"/>
          <w:sz w:val="24"/>
        </w:rPr>
      </w:pPr>
      <w:r>
        <w:rPr>
          <w:rFonts w:hint="eastAsia" w:ascii="宋体" w:hAnsi="宋体"/>
          <w:sz w:val="24"/>
        </w:rPr>
        <w:t>供应商在提交响应文件截止时间前，可以对其所递交的响应文件进行撤回、修改并重新上传，但以提交响应文件截止时间前最后一次完成上传的响应文件为有效响应文件。逾期系统将自动关闭，未完成上传的响应文件视为逾期送达，将被拒绝。</w:t>
      </w:r>
    </w:p>
    <w:p>
      <w:pPr>
        <w:spacing w:line="560" w:lineRule="exact"/>
        <w:ind w:firstLine="480" w:firstLineChars="200"/>
        <w:jc w:val="left"/>
        <w:rPr>
          <w:rFonts w:ascii="宋体" w:hAnsi="宋体" w:cs="宋体"/>
          <w:sz w:val="24"/>
        </w:rPr>
      </w:pPr>
      <w:r>
        <w:rPr>
          <w:rFonts w:hint="eastAsia" w:ascii="宋体" w:hAnsi="宋体" w:cs="宋体"/>
          <w:sz w:val="24"/>
        </w:rPr>
        <w:t>请确保在提交响应文件截止时实名认证证书在有效期内，供应商实名认证证书在续期后务必在提交响应文件截止前重新制作和上传电子响应文件</w:t>
      </w:r>
      <w:r>
        <w:rPr>
          <w:rFonts w:hint="eastAsia" w:ascii="宋体" w:hAnsi="宋体"/>
          <w:sz w:val="24"/>
        </w:rPr>
        <w:t>（文件格式为.zbtf）</w:t>
      </w:r>
      <w:r>
        <w:rPr>
          <w:rFonts w:hint="eastAsia" w:ascii="宋体" w:hAnsi="宋体" w:cs="宋体"/>
          <w:sz w:val="24"/>
        </w:rPr>
        <w:t>，否则将造成电子响应文件无法进行解密（加密和解密必须使用同一数字证书）。</w:t>
      </w:r>
    </w:p>
    <w:p>
      <w:pPr>
        <w:spacing w:line="560" w:lineRule="exact"/>
        <w:ind w:firstLine="480" w:firstLineChars="200"/>
        <w:jc w:val="left"/>
        <w:rPr>
          <w:rFonts w:ascii="宋体" w:hAnsi="宋体" w:cs="宋体"/>
          <w:sz w:val="24"/>
        </w:rPr>
      </w:pPr>
      <w:r>
        <w:rPr>
          <w:rFonts w:hint="eastAsia" w:ascii="宋体" w:hAnsi="宋体" w:cs="宋体"/>
          <w:sz w:val="24"/>
        </w:rPr>
        <w:t>因供应商以下原因，响应将被拒绝：</w:t>
      </w:r>
    </w:p>
    <w:p>
      <w:pPr>
        <w:spacing w:line="560" w:lineRule="exact"/>
        <w:ind w:firstLine="480" w:firstLineChars="200"/>
        <w:jc w:val="left"/>
        <w:rPr>
          <w:rFonts w:ascii="宋体" w:hAnsi="宋体" w:cs="宋体"/>
          <w:sz w:val="24"/>
        </w:rPr>
      </w:pPr>
      <w:r>
        <w:rPr>
          <w:rFonts w:hint="eastAsia" w:ascii="宋体" w:hAnsi="宋体" w:cs="宋体"/>
          <w:sz w:val="24"/>
        </w:rPr>
        <w:t>（1）提交响应文件截止时间前，供应商未成功上传响应文件的；</w:t>
      </w:r>
    </w:p>
    <w:p>
      <w:pPr>
        <w:spacing w:line="560" w:lineRule="exact"/>
        <w:ind w:firstLine="480" w:firstLineChars="200"/>
        <w:jc w:val="left"/>
        <w:rPr>
          <w:rFonts w:ascii="宋体" w:hAnsi="宋体" w:cs="宋体"/>
          <w:sz w:val="24"/>
        </w:rPr>
      </w:pPr>
      <w:r>
        <w:rPr>
          <w:rFonts w:hint="eastAsia" w:ascii="宋体" w:hAnsi="宋体" w:cs="宋体"/>
          <w:sz w:val="24"/>
        </w:rPr>
        <w:t>（2）对已生成的电子响应文件进行破解、修改、压缩等不当操作，或自备的解密电脑环境配置不当等原因导致无法解密的；</w:t>
      </w:r>
    </w:p>
    <w:p>
      <w:pPr>
        <w:spacing w:line="560" w:lineRule="exact"/>
        <w:ind w:firstLine="480" w:firstLineChars="200"/>
        <w:jc w:val="left"/>
        <w:rPr>
          <w:rFonts w:ascii="宋体" w:hAnsi="宋体" w:cs="宋体"/>
          <w:sz w:val="24"/>
        </w:rPr>
      </w:pPr>
      <w:r>
        <w:rPr>
          <w:rFonts w:hint="eastAsia" w:ascii="宋体" w:hAnsi="宋体" w:cs="宋体"/>
          <w:sz w:val="24"/>
        </w:rPr>
        <w:t>（3）提交响应文件截止时，实名认证证书过期失效、密码丢失，或者供应商实名认证证书在续期后未在提交响应文件截止前重新制作和上传电子响应文件，导致无法解密的。</w:t>
      </w:r>
    </w:p>
    <w:p>
      <w:pPr>
        <w:spacing w:line="560" w:lineRule="exact"/>
        <w:ind w:firstLine="480" w:firstLineChars="200"/>
        <w:jc w:val="left"/>
        <w:rPr>
          <w:rFonts w:ascii="宋体" w:hAnsi="宋体" w:cs="宋体"/>
          <w:sz w:val="24"/>
        </w:rPr>
      </w:pPr>
      <w:r>
        <w:rPr>
          <w:rFonts w:hint="eastAsia" w:ascii="宋体" w:hAnsi="宋体" w:cs="宋体"/>
          <w:sz w:val="24"/>
        </w:rPr>
        <w:t>（4）提交响应文件截止时间后，供应商在规定时长内未能成功解密的。</w:t>
      </w:r>
    </w:p>
    <w:p>
      <w:pPr>
        <w:spacing w:line="560" w:lineRule="exact"/>
        <w:ind w:firstLine="480" w:firstLineChars="200"/>
        <w:jc w:val="left"/>
        <w:rPr>
          <w:rFonts w:ascii="宋体" w:hAnsi="宋体" w:cs="宋体"/>
          <w:bCs/>
          <w:sz w:val="24"/>
        </w:rPr>
      </w:pPr>
      <w:r>
        <w:rPr>
          <w:rFonts w:hint="eastAsia" w:ascii="宋体" w:hAnsi="宋体" w:cs="宋体"/>
          <w:bCs/>
          <w:sz w:val="24"/>
        </w:rPr>
        <w:t>9.4供应商提交的响应文件应包含以下各个部分，具体组成内容见第五章响应文件格式。</w:t>
      </w:r>
    </w:p>
    <w:p>
      <w:pPr>
        <w:spacing w:line="560" w:lineRule="exact"/>
        <w:ind w:firstLine="480" w:firstLineChars="200"/>
        <w:jc w:val="left"/>
        <w:rPr>
          <w:rFonts w:ascii="宋体" w:hAnsi="宋体" w:cs="宋体"/>
          <w:bCs/>
          <w:sz w:val="24"/>
        </w:rPr>
      </w:pPr>
      <w:r>
        <w:rPr>
          <w:rFonts w:hint="eastAsia" w:ascii="宋体" w:hAnsi="宋体" w:cs="宋体"/>
          <w:bCs/>
          <w:sz w:val="24"/>
        </w:rPr>
        <w:t>9.4.1报价一览表</w:t>
      </w:r>
    </w:p>
    <w:p>
      <w:pPr>
        <w:spacing w:line="560" w:lineRule="exact"/>
        <w:ind w:firstLine="480" w:firstLineChars="200"/>
        <w:jc w:val="left"/>
        <w:rPr>
          <w:rFonts w:ascii="宋体" w:hAnsi="宋体" w:cs="宋体"/>
          <w:bCs/>
          <w:sz w:val="24"/>
        </w:rPr>
      </w:pPr>
      <w:r>
        <w:rPr>
          <w:rFonts w:hint="eastAsia" w:ascii="宋体" w:hAnsi="宋体" w:cs="宋体"/>
          <w:bCs/>
          <w:sz w:val="24"/>
        </w:rPr>
        <w:t>9.4.2</w:t>
      </w:r>
      <w:r>
        <w:rPr>
          <w:rFonts w:hint="eastAsia" w:ascii="宋体" w:hAnsi="宋体"/>
          <w:bCs/>
          <w:sz w:val="24"/>
        </w:rPr>
        <w:t>资格证明文件</w:t>
      </w:r>
    </w:p>
    <w:p>
      <w:pPr>
        <w:spacing w:line="560" w:lineRule="exact"/>
        <w:ind w:firstLine="480" w:firstLineChars="200"/>
        <w:jc w:val="left"/>
        <w:rPr>
          <w:rFonts w:ascii="宋体" w:hAnsi="宋体" w:cs="宋体"/>
          <w:bCs/>
          <w:sz w:val="24"/>
        </w:rPr>
      </w:pPr>
      <w:r>
        <w:rPr>
          <w:rFonts w:hint="eastAsia" w:ascii="宋体" w:hAnsi="宋体" w:cs="宋体"/>
          <w:bCs/>
          <w:sz w:val="24"/>
        </w:rPr>
        <w:t>9.4.2.1供应商须对提交的资格证明真实性、有效性、完整性负责。</w:t>
      </w:r>
    </w:p>
    <w:p>
      <w:pPr>
        <w:spacing w:line="560" w:lineRule="exact"/>
        <w:ind w:firstLine="480" w:firstLineChars="200"/>
        <w:jc w:val="left"/>
        <w:rPr>
          <w:rFonts w:ascii="宋体" w:hAnsi="宋体" w:cs="宋体"/>
          <w:bCs/>
          <w:sz w:val="24"/>
        </w:rPr>
      </w:pPr>
      <w:r>
        <w:rPr>
          <w:rFonts w:hint="eastAsia" w:ascii="宋体" w:hAnsi="宋体" w:cs="宋体"/>
          <w:bCs/>
          <w:sz w:val="24"/>
        </w:rPr>
        <w:t>9.4.2.2资格证明的字迹、印章必须完整、清晰，否则其响应文件将会被拒绝。</w:t>
      </w:r>
    </w:p>
    <w:p>
      <w:pPr>
        <w:spacing w:line="560" w:lineRule="exact"/>
        <w:ind w:firstLine="480" w:firstLineChars="200"/>
        <w:rPr>
          <w:rFonts w:ascii="宋体" w:hAnsi="宋体"/>
          <w:bCs/>
          <w:sz w:val="24"/>
        </w:rPr>
      </w:pPr>
      <w:r>
        <w:rPr>
          <w:rFonts w:hint="eastAsia" w:ascii="宋体" w:hAnsi="宋体" w:cs="宋体"/>
          <w:bCs/>
          <w:sz w:val="24"/>
        </w:rPr>
        <w:t>9.4.2.3供应商当将其资格证明文件中的相关证书（证件）的扫描件上传至电子响应文件对应当章节中，并确保清晰可见，未按要求上传或扫描件不清晰的，将导致资格审查不予通过，一切后果由供应商负责。</w:t>
      </w:r>
    </w:p>
    <w:p>
      <w:pPr>
        <w:spacing w:line="560" w:lineRule="exact"/>
        <w:ind w:firstLine="480" w:firstLineChars="200"/>
        <w:jc w:val="left"/>
        <w:rPr>
          <w:rFonts w:ascii="宋体" w:hAnsi="宋体" w:cs="宋体"/>
          <w:bCs/>
          <w:sz w:val="24"/>
        </w:rPr>
      </w:pPr>
      <w:r>
        <w:rPr>
          <w:rFonts w:hint="eastAsia" w:ascii="宋体" w:hAnsi="宋体" w:cs="宋体"/>
          <w:bCs/>
          <w:sz w:val="24"/>
        </w:rPr>
        <w:t>9.4.3商务部分</w:t>
      </w:r>
    </w:p>
    <w:p>
      <w:pPr>
        <w:spacing w:line="560" w:lineRule="exact"/>
        <w:ind w:firstLine="480" w:firstLineChars="200"/>
        <w:jc w:val="left"/>
        <w:rPr>
          <w:rFonts w:ascii="宋体" w:hAnsi="宋体" w:cs="宋体"/>
          <w:bCs/>
          <w:sz w:val="24"/>
        </w:rPr>
      </w:pPr>
      <w:r>
        <w:rPr>
          <w:rFonts w:hint="eastAsia" w:ascii="宋体" w:hAnsi="宋体" w:cs="宋体"/>
          <w:bCs/>
          <w:sz w:val="24"/>
        </w:rPr>
        <w:t>a、报价函</w:t>
      </w:r>
    </w:p>
    <w:p>
      <w:pPr>
        <w:spacing w:line="560" w:lineRule="exact"/>
        <w:ind w:firstLine="480" w:firstLineChars="200"/>
        <w:jc w:val="left"/>
        <w:rPr>
          <w:rFonts w:ascii="宋体" w:hAnsi="宋体" w:cs="宋体"/>
          <w:bCs/>
          <w:sz w:val="24"/>
        </w:rPr>
      </w:pPr>
      <w:r>
        <w:rPr>
          <w:rFonts w:hint="eastAsia" w:ascii="宋体" w:hAnsi="宋体" w:cs="宋体"/>
          <w:bCs/>
          <w:sz w:val="24"/>
        </w:rPr>
        <w:t>b、报价明细表</w:t>
      </w:r>
    </w:p>
    <w:p>
      <w:pPr>
        <w:spacing w:line="560" w:lineRule="exact"/>
        <w:ind w:firstLine="480" w:firstLineChars="200"/>
        <w:jc w:val="left"/>
        <w:rPr>
          <w:rFonts w:ascii="宋体" w:hAnsi="宋体" w:cs="宋体"/>
          <w:bCs/>
          <w:sz w:val="24"/>
        </w:rPr>
      </w:pPr>
      <w:r>
        <w:rPr>
          <w:rFonts w:hint="eastAsia" w:ascii="宋体" w:hAnsi="宋体" w:cs="宋体"/>
          <w:bCs/>
          <w:sz w:val="24"/>
        </w:rPr>
        <w:t>c、符合价格扣除条件的供应商需提供的资料</w:t>
      </w:r>
    </w:p>
    <w:p>
      <w:pPr>
        <w:spacing w:line="560" w:lineRule="exact"/>
        <w:ind w:firstLine="480" w:firstLineChars="200"/>
        <w:jc w:val="left"/>
        <w:rPr>
          <w:rFonts w:ascii="宋体" w:hAnsi="宋体" w:cs="宋体"/>
          <w:bCs/>
          <w:sz w:val="24"/>
        </w:rPr>
      </w:pPr>
      <w:r>
        <w:rPr>
          <w:rFonts w:hint="eastAsia" w:ascii="宋体" w:hAnsi="宋体" w:cs="宋体"/>
          <w:bCs/>
          <w:sz w:val="24"/>
        </w:rPr>
        <w:t>d、企业基本情况表</w:t>
      </w:r>
    </w:p>
    <w:p>
      <w:pPr>
        <w:spacing w:line="560" w:lineRule="exact"/>
        <w:ind w:firstLine="480" w:firstLineChars="200"/>
        <w:jc w:val="left"/>
        <w:rPr>
          <w:rFonts w:ascii="宋体" w:hAnsi="宋体" w:cs="宋体"/>
          <w:bCs/>
          <w:sz w:val="24"/>
        </w:rPr>
      </w:pPr>
      <w:r>
        <w:rPr>
          <w:rFonts w:hint="eastAsia" w:ascii="宋体" w:hAnsi="宋体" w:cs="宋体"/>
          <w:bCs/>
          <w:sz w:val="24"/>
        </w:rPr>
        <w:t>e、技术规格、参数偏离表</w:t>
      </w:r>
    </w:p>
    <w:p>
      <w:pPr>
        <w:spacing w:line="560" w:lineRule="exact"/>
        <w:ind w:firstLine="480" w:firstLineChars="200"/>
        <w:jc w:val="left"/>
        <w:rPr>
          <w:rFonts w:ascii="宋体" w:hAnsi="宋体" w:cs="宋体"/>
          <w:bCs/>
          <w:sz w:val="24"/>
        </w:rPr>
      </w:pPr>
      <w:r>
        <w:rPr>
          <w:rFonts w:hint="eastAsia" w:ascii="宋体" w:hAnsi="宋体" w:cs="宋体"/>
          <w:bCs/>
          <w:sz w:val="24"/>
        </w:rPr>
        <w:t>f、供应商承接的同类项目业绩合同</w:t>
      </w:r>
    </w:p>
    <w:p>
      <w:pPr>
        <w:spacing w:line="560" w:lineRule="exact"/>
        <w:ind w:firstLine="480" w:firstLineChars="200"/>
        <w:jc w:val="left"/>
        <w:rPr>
          <w:rFonts w:ascii="宋体" w:hAnsi="宋体" w:cs="宋体"/>
          <w:bCs/>
          <w:sz w:val="24"/>
        </w:rPr>
      </w:pPr>
      <w:r>
        <w:rPr>
          <w:rFonts w:hint="eastAsia" w:ascii="宋体" w:hAnsi="宋体" w:cs="宋体"/>
          <w:bCs/>
          <w:sz w:val="24"/>
        </w:rPr>
        <w:t>g、相关检测报告及认证证书</w:t>
      </w:r>
    </w:p>
    <w:p>
      <w:pPr>
        <w:spacing w:line="560" w:lineRule="exact"/>
        <w:ind w:firstLine="480" w:firstLineChars="200"/>
        <w:jc w:val="left"/>
        <w:rPr>
          <w:rFonts w:ascii="宋体" w:hAnsi="宋体" w:cs="宋体"/>
          <w:bCs/>
          <w:sz w:val="24"/>
        </w:rPr>
      </w:pPr>
      <w:r>
        <w:rPr>
          <w:rFonts w:hint="eastAsia" w:ascii="宋体" w:hAnsi="宋体" w:cs="宋体"/>
          <w:bCs/>
          <w:sz w:val="24"/>
        </w:rPr>
        <w:t>h、质量保证措施、质保期限及售后服务承诺</w:t>
      </w:r>
    </w:p>
    <w:p>
      <w:pPr>
        <w:spacing w:line="560" w:lineRule="exact"/>
        <w:ind w:firstLine="480" w:firstLineChars="200"/>
        <w:jc w:val="left"/>
        <w:rPr>
          <w:rFonts w:ascii="宋体" w:hAnsi="宋体" w:cs="宋体"/>
          <w:bCs/>
          <w:sz w:val="24"/>
        </w:rPr>
      </w:pPr>
      <w:r>
        <w:rPr>
          <w:rFonts w:hint="eastAsia" w:ascii="宋体" w:hAnsi="宋体" w:cs="宋体"/>
          <w:bCs/>
          <w:sz w:val="24"/>
        </w:rPr>
        <w:t>i、质保及维修人员配备及明细表</w:t>
      </w:r>
    </w:p>
    <w:p>
      <w:pPr>
        <w:spacing w:line="560" w:lineRule="exact"/>
        <w:ind w:firstLine="480" w:firstLineChars="200"/>
        <w:rPr>
          <w:rFonts w:ascii="宋体" w:hAnsi="宋体" w:cs="宋体"/>
          <w:bCs/>
          <w:sz w:val="24"/>
        </w:rPr>
      </w:pPr>
      <w:r>
        <w:rPr>
          <w:rFonts w:hint="eastAsia" w:ascii="宋体" w:hAnsi="宋体" w:cs="宋体"/>
          <w:bCs/>
          <w:sz w:val="24"/>
        </w:rPr>
        <w:t>9.4.4技术部分</w:t>
      </w:r>
    </w:p>
    <w:bookmarkEnd w:id="176"/>
    <w:p>
      <w:pPr>
        <w:spacing w:line="560" w:lineRule="exact"/>
        <w:ind w:firstLine="480" w:firstLineChars="200"/>
        <w:jc w:val="left"/>
        <w:rPr>
          <w:rFonts w:ascii="宋体" w:hAnsi="宋体" w:cs="宋体"/>
          <w:bCs/>
          <w:sz w:val="24"/>
        </w:rPr>
      </w:pPr>
      <w:bookmarkStart w:id="177" w:name="_Toc515647770"/>
      <w:bookmarkStart w:id="178" w:name="_Toc23231"/>
      <w:bookmarkStart w:id="179" w:name="_Toc520356155"/>
      <w:bookmarkStart w:id="180" w:name="_Toc2248"/>
      <w:bookmarkStart w:id="181" w:name="_Toc7249"/>
      <w:r>
        <w:rPr>
          <w:rFonts w:hint="eastAsia" w:ascii="宋体" w:hAnsi="宋体" w:cs="宋体"/>
          <w:bCs/>
          <w:sz w:val="24"/>
        </w:rPr>
        <w:t>（1）详细技术资料（包括品牌型号、外观质量、使用年限、制造工艺、结构、技术参数、技术指标、性能指标、优势特点、质量水平、制造标准、说明书等的详细描述）；</w:t>
      </w:r>
    </w:p>
    <w:p>
      <w:pPr>
        <w:spacing w:line="560" w:lineRule="exact"/>
        <w:ind w:firstLine="480" w:firstLineChars="200"/>
        <w:jc w:val="left"/>
        <w:rPr>
          <w:rFonts w:ascii="宋体" w:hAnsi="宋体" w:cs="宋体"/>
          <w:bCs/>
          <w:sz w:val="24"/>
        </w:rPr>
      </w:pPr>
      <w:r>
        <w:rPr>
          <w:rFonts w:hint="eastAsia" w:ascii="宋体" w:hAnsi="宋体" w:cs="宋体"/>
          <w:bCs/>
          <w:sz w:val="24"/>
        </w:rPr>
        <w:t xml:space="preserve">（2）供货加工、安装方案； </w:t>
      </w:r>
    </w:p>
    <w:p>
      <w:pPr>
        <w:spacing w:line="560" w:lineRule="exact"/>
        <w:ind w:firstLine="480" w:firstLineChars="200"/>
        <w:jc w:val="left"/>
        <w:rPr>
          <w:rFonts w:ascii="宋体" w:hAnsi="宋体" w:cs="宋体"/>
          <w:bCs/>
          <w:sz w:val="24"/>
        </w:rPr>
      </w:pPr>
      <w:r>
        <w:rPr>
          <w:rFonts w:hint="eastAsia" w:ascii="宋体" w:hAnsi="宋体" w:cs="宋体"/>
          <w:bCs/>
          <w:sz w:val="24"/>
        </w:rPr>
        <w:t xml:space="preserve">（3）人员配置、质量保障、产品运输、调试、验收等主要技术保障措施； </w:t>
      </w:r>
    </w:p>
    <w:p>
      <w:pPr>
        <w:spacing w:line="560" w:lineRule="exact"/>
        <w:ind w:firstLine="480" w:firstLineChars="200"/>
        <w:jc w:val="left"/>
        <w:rPr>
          <w:rFonts w:ascii="宋体" w:hAnsi="宋体" w:cs="宋体"/>
          <w:bCs/>
          <w:sz w:val="24"/>
        </w:rPr>
      </w:pPr>
      <w:r>
        <w:rPr>
          <w:rFonts w:hint="eastAsia" w:ascii="宋体" w:hAnsi="宋体" w:cs="宋体"/>
          <w:bCs/>
          <w:sz w:val="24"/>
        </w:rPr>
        <w:t xml:space="preserve">（4）质量保证措施； </w:t>
      </w:r>
    </w:p>
    <w:p>
      <w:pPr>
        <w:spacing w:line="560" w:lineRule="exact"/>
        <w:ind w:firstLine="480" w:firstLineChars="200"/>
        <w:jc w:val="left"/>
        <w:rPr>
          <w:rFonts w:ascii="宋体" w:hAnsi="宋体" w:cs="宋体"/>
          <w:bCs/>
          <w:sz w:val="24"/>
        </w:rPr>
      </w:pPr>
      <w:r>
        <w:rPr>
          <w:rFonts w:hint="eastAsia" w:ascii="宋体" w:hAnsi="宋体" w:cs="宋体"/>
          <w:bCs/>
          <w:sz w:val="24"/>
        </w:rPr>
        <w:t xml:space="preserve">（5）备品备件供应、耗材情况； </w:t>
      </w:r>
    </w:p>
    <w:p>
      <w:pPr>
        <w:spacing w:line="560" w:lineRule="exact"/>
        <w:ind w:firstLine="480" w:firstLineChars="200"/>
        <w:jc w:val="left"/>
        <w:rPr>
          <w:rFonts w:ascii="宋体" w:hAnsi="宋体" w:cs="宋体"/>
          <w:bCs/>
          <w:sz w:val="24"/>
        </w:rPr>
      </w:pPr>
      <w:r>
        <w:rPr>
          <w:rFonts w:hint="eastAsia" w:ascii="宋体" w:hAnsi="宋体" w:cs="宋体"/>
          <w:bCs/>
          <w:sz w:val="24"/>
        </w:rPr>
        <w:t xml:space="preserve">（6）产品的技术服务和售后服务承诺内容及措施(包括：质保期、上门服务响应时间、故障排除时限、维护力量安排、人员培训、完工时间、设备维修维护方式、维修承诺等)； </w:t>
      </w:r>
    </w:p>
    <w:p>
      <w:pPr>
        <w:spacing w:line="560" w:lineRule="exact"/>
        <w:ind w:firstLine="480" w:firstLineChars="200"/>
        <w:jc w:val="left"/>
        <w:rPr>
          <w:rFonts w:ascii="宋体" w:hAnsi="宋体" w:cs="宋体"/>
          <w:bCs/>
          <w:sz w:val="24"/>
        </w:rPr>
      </w:pPr>
      <w:r>
        <w:rPr>
          <w:rFonts w:hint="eastAsia" w:ascii="宋体" w:hAnsi="宋体" w:cs="宋体"/>
          <w:bCs/>
          <w:sz w:val="24"/>
        </w:rPr>
        <w:t>(7)供应商认为应该提交的其他资料。</w:t>
      </w:r>
    </w:p>
    <w:p>
      <w:pPr>
        <w:pStyle w:val="5"/>
        <w:spacing w:before="0" w:after="0" w:line="560" w:lineRule="exact"/>
        <w:rPr>
          <w:rFonts w:hAnsi="宋体" w:cs="宋体"/>
          <w:u w:val="none"/>
        </w:rPr>
      </w:pPr>
      <w:r>
        <w:rPr>
          <w:rFonts w:hint="eastAsia" w:hAnsi="宋体" w:cs="宋体"/>
          <w:u w:val="none"/>
        </w:rPr>
        <w:t>10.</w:t>
      </w:r>
      <w:bookmarkEnd w:id="177"/>
      <w:bookmarkEnd w:id="178"/>
      <w:bookmarkEnd w:id="179"/>
      <w:bookmarkEnd w:id="180"/>
      <w:r>
        <w:rPr>
          <w:rFonts w:hint="eastAsia" w:hAnsi="宋体" w:cs="宋体"/>
          <w:u w:val="none"/>
        </w:rPr>
        <w:t>报价</w:t>
      </w:r>
      <w:bookmarkEnd w:id="181"/>
    </w:p>
    <w:p>
      <w:pPr>
        <w:spacing w:line="560" w:lineRule="exact"/>
        <w:ind w:firstLine="480" w:firstLineChars="200"/>
        <w:rPr>
          <w:rFonts w:ascii="宋体" w:hAnsi="宋体" w:cs="宋体"/>
          <w:bCs/>
          <w:sz w:val="24"/>
        </w:rPr>
      </w:pPr>
      <w:r>
        <w:rPr>
          <w:rFonts w:hint="eastAsia" w:ascii="宋体" w:hAnsi="宋体" w:cs="宋体"/>
          <w:sz w:val="24"/>
        </w:rPr>
        <w:t>10.1供应商的报价应当包括满足本次谈判全部采购需求所应提供的货物。</w:t>
      </w:r>
      <w:r>
        <w:rPr>
          <w:rFonts w:hint="eastAsia" w:ascii="宋体" w:hAnsi="宋体" w:cs="宋体"/>
          <w:bCs/>
          <w:sz w:val="24"/>
        </w:rPr>
        <w:t>报价要求详见</w:t>
      </w:r>
      <w:r>
        <w:rPr>
          <w:rFonts w:hint="eastAsia" w:ascii="宋体" w:hAnsi="宋体" w:cs="宋体"/>
          <w:bCs/>
          <w:sz w:val="24"/>
          <w:u w:val="single"/>
        </w:rPr>
        <w:t>供应商须知资料表</w:t>
      </w:r>
      <w:r>
        <w:rPr>
          <w:rFonts w:hint="eastAsia" w:ascii="宋体" w:hAnsi="宋体" w:cs="宋体"/>
          <w:bCs/>
          <w:sz w:val="24"/>
        </w:rPr>
        <w:t>。供应商的报价应遵守《中华人民共和国价格法》。</w:t>
      </w:r>
      <w:r>
        <w:rPr>
          <w:rFonts w:ascii="宋体" w:hAnsi="宋体" w:cs="宋体"/>
          <w:bCs/>
          <w:sz w:val="24"/>
        </w:rPr>
        <w:t>为保证公平竞争，如有服务主体部分有与项目无关的赠与行为，其响应文件将被认定为响应文件无效。</w:t>
      </w:r>
    </w:p>
    <w:p>
      <w:pPr>
        <w:spacing w:line="560" w:lineRule="exact"/>
        <w:ind w:firstLine="480" w:firstLineChars="200"/>
        <w:jc w:val="left"/>
        <w:rPr>
          <w:rFonts w:ascii="宋体" w:hAnsi="宋体" w:cs="宋体"/>
          <w:bCs/>
          <w:sz w:val="24"/>
        </w:rPr>
      </w:pPr>
      <w:r>
        <w:rPr>
          <w:rFonts w:hint="eastAsia" w:ascii="宋体" w:hAnsi="宋体" w:cs="宋体"/>
          <w:bCs/>
          <w:sz w:val="24"/>
        </w:rPr>
        <w:t>10.2供应商应在分项报价表上标明响应货物及相关服务、工程的单价（如适用）和总价。</w:t>
      </w:r>
    </w:p>
    <w:p>
      <w:pPr>
        <w:spacing w:line="560" w:lineRule="exact"/>
        <w:ind w:firstLine="480" w:firstLineChars="200"/>
        <w:jc w:val="left"/>
        <w:rPr>
          <w:rFonts w:ascii="宋体" w:hAnsi="宋体"/>
          <w:bCs/>
          <w:sz w:val="24"/>
        </w:rPr>
      </w:pPr>
      <w:r>
        <w:rPr>
          <w:rFonts w:hint="eastAsia" w:ascii="宋体" w:hAnsi="宋体"/>
          <w:bCs/>
          <w:sz w:val="24"/>
        </w:rPr>
        <w:t>10.3供应商报价超过采购文件规定的预算金额或者最高限价的，其响应将被认定为响应无效</w:t>
      </w:r>
      <w:r>
        <w:rPr>
          <w:rFonts w:ascii="宋体" w:hAnsi="宋体"/>
          <w:bCs/>
          <w:sz w:val="24"/>
        </w:rPr>
        <w:t>。</w:t>
      </w:r>
    </w:p>
    <w:p>
      <w:pPr>
        <w:spacing w:line="560" w:lineRule="exact"/>
        <w:ind w:firstLine="480" w:firstLineChars="200"/>
        <w:jc w:val="left"/>
        <w:rPr>
          <w:rFonts w:ascii="宋体" w:hAnsi="宋体" w:cs="宋体"/>
          <w:sz w:val="24"/>
        </w:rPr>
      </w:pPr>
      <w:r>
        <w:rPr>
          <w:rFonts w:hint="eastAsia" w:ascii="宋体" w:hAnsi="宋体" w:cs="宋体"/>
          <w:sz w:val="24"/>
        </w:rPr>
        <w:t>10.4供应商所报的各分项单价在合同履行过程中是固定不变的，不得以任何理由予以变更。</w:t>
      </w:r>
    </w:p>
    <w:p>
      <w:pPr>
        <w:spacing w:line="560" w:lineRule="exact"/>
        <w:ind w:firstLine="480" w:firstLineChars="200"/>
        <w:jc w:val="left"/>
        <w:rPr>
          <w:rFonts w:ascii="宋体" w:hAnsi="宋体" w:cs="宋体"/>
          <w:sz w:val="24"/>
        </w:rPr>
      </w:pPr>
      <w:r>
        <w:rPr>
          <w:rFonts w:hint="eastAsia" w:ascii="宋体" w:hAnsi="宋体" w:cs="宋体"/>
          <w:sz w:val="24"/>
        </w:rPr>
        <w:t>10.5采购人不接受具有附加条件的报价或多个方案的报价。</w:t>
      </w:r>
    </w:p>
    <w:p>
      <w:pPr>
        <w:spacing w:line="560" w:lineRule="exact"/>
        <w:ind w:firstLine="480" w:firstLineChars="200"/>
        <w:jc w:val="left"/>
        <w:rPr>
          <w:rFonts w:ascii="宋体" w:hAnsi="宋体" w:cs="宋体"/>
          <w:sz w:val="24"/>
        </w:rPr>
      </w:pPr>
      <w:r>
        <w:rPr>
          <w:rFonts w:hint="eastAsia" w:ascii="宋体" w:hAnsi="宋体" w:cs="宋体"/>
          <w:sz w:val="24"/>
        </w:rPr>
        <w:t>10.6若技术要求及说明中未体现“允许采购进口产品”字样，供应商不允许采用进口产品报价。</w:t>
      </w:r>
    </w:p>
    <w:p>
      <w:pPr>
        <w:spacing w:line="560" w:lineRule="exact"/>
        <w:ind w:firstLine="480" w:firstLineChars="200"/>
        <w:jc w:val="left"/>
        <w:rPr>
          <w:rFonts w:ascii="宋体" w:hAnsi="宋体" w:cs="宋体"/>
          <w:sz w:val="24"/>
        </w:rPr>
      </w:pPr>
      <w:r>
        <w:rPr>
          <w:rFonts w:hint="eastAsia" w:ascii="宋体" w:hAnsi="宋体" w:cs="宋体"/>
          <w:sz w:val="24"/>
        </w:rPr>
        <w:t>10.7通过资格性审查和符合性审查的供应商有再次报价的机会，但每一次报价均应以书面形式确认。价格的评审以最后报价为准。</w:t>
      </w:r>
    </w:p>
    <w:p>
      <w:pPr>
        <w:pStyle w:val="5"/>
        <w:rPr>
          <w:u w:val="none"/>
        </w:rPr>
      </w:pPr>
      <w:bookmarkStart w:id="182" w:name="_Toc12879"/>
      <w:r>
        <w:rPr>
          <w:rFonts w:hint="eastAsia"/>
          <w:u w:val="none"/>
        </w:rPr>
        <w:t>11.电子版响应文件</w:t>
      </w:r>
      <w:bookmarkEnd w:id="182"/>
    </w:p>
    <w:p>
      <w:pPr>
        <w:spacing w:line="560" w:lineRule="exact"/>
        <w:ind w:firstLine="480" w:firstLineChars="200"/>
        <w:jc w:val="left"/>
        <w:rPr>
          <w:rFonts w:ascii="宋体" w:hAnsi="宋体" w:cs="宋体"/>
          <w:sz w:val="24"/>
        </w:rPr>
      </w:pPr>
      <w:r>
        <w:rPr>
          <w:rFonts w:hint="eastAsia" w:ascii="宋体" w:hAnsi="宋体" w:cs="宋体"/>
          <w:sz w:val="24"/>
        </w:rPr>
        <w:t>11.1电子版响应文件内容为上述9.4条款要求内容，</w:t>
      </w:r>
      <w:r>
        <w:rPr>
          <w:rFonts w:hint="eastAsia" w:ascii="宋体" w:hAnsi="宋体"/>
          <w:sz w:val="24"/>
        </w:rPr>
        <w:t>格式为加密的电子响应文件（文件格式为.zbtf）</w:t>
      </w:r>
      <w:r>
        <w:rPr>
          <w:rFonts w:hint="eastAsia" w:ascii="宋体" w:hAnsi="宋体" w:cs="宋体"/>
          <w:sz w:val="24"/>
        </w:rPr>
        <w:t>。</w:t>
      </w:r>
    </w:p>
    <w:p>
      <w:pPr>
        <w:spacing w:line="560" w:lineRule="exact"/>
        <w:ind w:firstLine="480" w:firstLineChars="200"/>
        <w:jc w:val="left"/>
        <w:rPr>
          <w:rFonts w:ascii="宋体" w:hAnsi="宋体" w:cs="宋体"/>
          <w:sz w:val="24"/>
        </w:rPr>
      </w:pPr>
      <w:r>
        <w:rPr>
          <w:rFonts w:hint="eastAsia" w:ascii="宋体" w:hAnsi="宋体" w:cs="宋体"/>
          <w:sz w:val="24"/>
        </w:rPr>
        <w:t>11</w:t>
      </w:r>
      <w:r>
        <w:rPr>
          <w:rFonts w:ascii="宋体" w:hAnsi="宋体" w:cs="宋体"/>
          <w:sz w:val="24"/>
        </w:rPr>
        <w:t>.2</w:t>
      </w:r>
      <w:r>
        <w:rPr>
          <w:rFonts w:hint="eastAsia" w:ascii="宋体" w:hAnsi="宋体"/>
          <w:sz w:val="24"/>
        </w:rPr>
        <w:t>供应商应当在提交响应文件截止时间前通过淄博市公共资源交易平台系统上传响应文件。</w:t>
      </w:r>
    </w:p>
    <w:p>
      <w:pPr>
        <w:spacing w:line="560" w:lineRule="exact"/>
        <w:ind w:firstLine="480"/>
        <w:rPr>
          <w:rFonts w:ascii="宋体" w:hAnsi="宋体" w:cs="宋体"/>
          <w:sz w:val="24"/>
        </w:rPr>
      </w:pPr>
      <w:r>
        <w:rPr>
          <w:rFonts w:hint="eastAsia" w:ascii="宋体" w:hAnsi="宋体" w:cs="宋体"/>
          <w:sz w:val="24"/>
        </w:rPr>
        <w:t>11.3无论成交结果如何，在开标后，电子版响应文件均不退回。</w:t>
      </w:r>
    </w:p>
    <w:p>
      <w:pPr>
        <w:spacing w:line="560" w:lineRule="exact"/>
        <w:ind w:firstLine="480" w:firstLineChars="200"/>
        <w:jc w:val="left"/>
        <w:rPr>
          <w:rFonts w:ascii="宋体" w:hAnsi="宋体" w:cs="宋体"/>
          <w:sz w:val="24"/>
        </w:rPr>
      </w:pPr>
      <w:r>
        <w:rPr>
          <w:rFonts w:hint="eastAsia" w:ascii="宋体" w:hAnsi="宋体" w:cs="宋体"/>
          <w:sz w:val="24"/>
        </w:rPr>
        <w:t>11.4</w:t>
      </w:r>
      <w:r>
        <w:rPr>
          <w:rFonts w:hint="eastAsia" w:ascii="宋体" w:hAnsi="宋体" w:cs="宋体"/>
          <w:sz w:val="24"/>
          <w:u w:val="single"/>
        </w:rPr>
        <w:t>供应商须知资料表</w:t>
      </w:r>
      <w:r>
        <w:rPr>
          <w:rFonts w:hint="eastAsia" w:ascii="宋体" w:hAnsi="宋体" w:cs="宋体"/>
          <w:sz w:val="24"/>
        </w:rPr>
        <w:t>规定供应商应提交样品的，样品构成谈判文件的组成部分。</w:t>
      </w:r>
    </w:p>
    <w:p>
      <w:pPr>
        <w:pStyle w:val="5"/>
        <w:spacing w:before="0" w:after="0" w:line="560" w:lineRule="exact"/>
        <w:rPr>
          <w:rFonts w:hAnsi="宋体" w:cs="宋体"/>
          <w:u w:val="none"/>
        </w:rPr>
      </w:pPr>
      <w:bookmarkStart w:id="183" w:name="_Toc17788"/>
      <w:bookmarkStart w:id="184" w:name="_Toc515647771"/>
      <w:bookmarkStart w:id="185" w:name="_Toc520356156"/>
      <w:bookmarkStart w:id="186" w:name="_Ref467306513"/>
      <w:bookmarkStart w:id="187" w:name="_Toc11514"/>
      <w:bookmarkStart w:id="188" w:name="_Toc18542"/>
      <w:r>
        <w:rPr>
          <w:rFonts w:hint="eastAsia" w:hAnsi="宋体" w:cs="宋体"/>
          <w:u w:val="none"/>
        </w:rPr>
        <w:t>12.谈判保证金</w:t>
      </w:r>
      <w:bookmarkEnd w:id="183"/>
      <w:bookmarkEnd w:id="184"/>
      <w:bookmarkEnd w:id="185"/>
      <w:bookmarkEnd w:id="186"/>
      <w:bookmarkEnd w:id="187"/>
      <w:bookmarkEnd w:id="188"/>
    </w:p>
    <w:p>
      <w:pPr>
        <w:spacing w:line="560" w:lineRule="exact"/>
        <w:ind w:firstLine="480" w:firstLineChars="200"/>
        <w:jc w:val="left"/>
        <w:rPr>
          <w:rFonts w:ascii="宋体" w:hAnsi="宋体" w:cs="宋体"/>
          <w:bCs/>
          <w:sz w:val="24"/>
        </w:rPr>
      </w:pPr>
      <w:bookmarkStart w:id="189" w:name="_Toc520356157"/>
      <w:bookmarkStart w:id="190" w:name="_Toc23590"/>
      <w:bookmarkStart w:id="191" w:name="_Toc32569"/>
      <w:bookmarkStart w:id="192" w:name="_Toc515647772"/>
      <w:r>
        <w:rPr>
          <w:rFonts w:hint="eastAsia" w:ascii="宋体" w:hAnsi="宋体" w:cs="宋体"/>
          <w:bCs/>
          <w:sz w:val="24"/>
        </w:rPr>
        <w:t>本项目不收取谈判保证金。</w:t>
      </w:r>
    </w:p>
    <w:p>
      <w:pPr>
        <w:pStyle w:val="5"/>
        <w:spacing w:before="0" w:after="0" w:line="560" w:lineRule="exact"/>
        <w:rPr>
          <w:rFonts w:hAnsi="宋体" w:cs="宋体"/>
          <w:u w:val="none"/>
        </w:rPr>
      </w:pPr>
      <w:bookmarkStart w:id="193" w:name="_Toc3960"/>
      <w:r>
        <w:rPr>
          <w:rFonts w:hint="eastAsia" w:hAnsi="宋体" w:cs="宋体"/>
          <w:u w:val="none"/>
        </w:rPr>
        <w:t>13.响应有效期</w:t>
      </w:r>
      <w:bookmarkEnd w:id="189"/>
      <w:bookmarkEnd w:id="190"/>
      <w:bookmarkEnd w:id="191"/>
      <w:bookmarkEnd w:id="192"/>
      <w:bookmarkEnd w:id="193"/>
    </w:p>
    <w:p>
      <w:pPr>
        <w:spacing w:line="560" w:lineRule="exact"/>
        <w:ind w:firstLine="480" w:firstLineChars="200"/>
        <w:jc w:val="left"/>
        <w:rPr>
          <w:rFonts w:ascii="宋体" w:hAnsi="宋体" w:cs="宋体"/>
          <w:bCs/>
          <w:sz w:val="24"/>
        </w:rPr>
      </w:pPr>
      <w:r>
        <w:rPr>
          <w:rFonts w:hint="eastAsia" w:ascii="宋体" w:hAnsi="宋体" w:cs="宋体"/>
          <w:sz w:val="24"/>
        </w:rPr>
        <w:t>13.1响应应在</w:t>
      </w:r>
      <w:r>
        <w:rPr>
          <w:rFonts w:hint="eastAsia" w:ascii="宋体" w:hAnsi="宋体" w:cs="宋体"/>
          <w:sz w:val="24"/>
          <w:u w:val="single"/>
        </w:rPr>
        <w:t>供应商须知资料表</w:t>
      </w:r>
      <w:r>
        <w:rPr>
          <w:rFonts w:hint="eastAsia" w:ascii="宋体" w:hAnsi="宋体" w:cs="宋体"/>
          <w:sz w:val="24"/>
        </w:rPr>
        <w:t>中规定时间内保持有效。响应有效期不满足要求的响应，其响应文件将被认定为</w:t>
      </w:r>
      <w:r>
        <w:rPr>
          <w:rFonts w:hint="eastAsia" w:ascii="宋体" w:hAnsi="宋体" w:cs="宋体"/>
          <w:bCs/>
          <w:sz w:val="24"/>
        </w:rPr>
        <w:t>无效。</w:t>
      </w:r>
    </w:p>
    <w:p>
      <w:pPr>
        <w:spacing w:line="560" w:lineRule="exact"/>
        <w:ind w:firstLine="480" w:firstLineChars="200"/>
        <w:jc w:val="left"/>
        <w:rPr>
          <w:rFonts w:ascii="宋体" w:hAnsi="宋体" w:cs="宋体"/>
          <w:sz w:val="24"/>
        </w:rPr>
      </w:pPr>
      <w:bookmarkStart w:id="194" w:name="_Toc520356158"/>
      <w:bookmarkStart w:id="195" w:name="_Toc515647773"/>
      <w:bookmarkStart w:id="196" w:name="_Toc493"/>
      <w:bookmarkStart w:id="197" w:name="_Toc17074"/>
      <w:r>
        <w:rPr>
          <w:rFonts w:hint="eastAsia" w:ascii="宋体" w:hAnsi="宋体" w:cs="宋体"/>
          <w:sz w:val="24"/>
        </w:rPr>
        <w:t>13.2因特殊原因，采购人或采购代理机构可以在原响应有效期截止之前，要求供应商延长响应文件的有效期。接受该要求的供应商将不会被要求和允许修正其响应，且本须知中有关报价保证金的要求须在延长的有效期内继续有效。供应商可以拒绝延长响应有效期的要求，且不承担任何责任。上述要求和答复都应以书面形式提交。</w:t>
      </w:r>
    </w:p>
    <w:bookmarkEnd w:id="194"/>
    <w:bookmarkEnd w:id="195"/>
    <w:bookmarkEnd w:id="196"/>
    <w:bookmarkEnd w:id="197"/>
    <w:p>
      <w:pPr>
        <w:pStyle w:val="5"/>
        <w:spacing w:before="0" w:after="0" w:line="560" w:lineRule="exact"/>
        <w:rPr>
          <w:rFonts w:hAnsi="宋体" w:cs="宋体"/>
          <w:u w:val="none"/>
        </w:rPr>
      </w:pPr>
      <w:bookmarkStart w:id="198" w:name="_Toc19087083"/>
      <w:bookmarkStart w:id="199" w:name="_Toc518923077"/>
      <w:bookmarkStart w:id="200" w:name="_Toc10521"/>
      <w:r>
        <w:rPr>
          <w:rFonts w:hint="eastAsia" w:hAnsi="宋体" w:cs="宋体"/>
          <w:u w:val="none"/>
        </w:rPr>
        <w:t>14.响应文件的</w:t>
      </w:r>
      <w:bookmarkEnd w:id="198"/>
      <w:bookmarkEnd w:id="199"/>
      <w:r>
        <w:rPr>
          <w:rFonts w:hint="eastAsia" w:hAnsi="宋体" w:cs="宋体"/>
          <w:u w:val="none"/>
        </w:rPr>
        <w:t>签署及规定</w:t>
      </w:r>
      <w:bookmarkEnd w:id="200"/>
    </w:p>
    <w:p>
      <w:pPr>
        <w:spacing w:line="560" w:lineRule="exact"/>
        <w:ind w:firstLine="480" w:firstLineChars="200"/>
        <w:jc w:val="left"/>
        <w:rPr>
          <w:rFonts w:ascii="宋体" w:hAnsi="宋体" w:cs="宋体"/>
          <w:kern w:val="0"/>
          <w:position w:val="-2"/>
          <w:sz w:val="24"/>
        </w:rPr>
      </w:pPr>
      <w:r>
        <w:rPr>
          <w:rFonts w:hint="eastAsia" w:ascii="宋体" w:hAnsi="宋体" w:cs="宋体"/>
          <w:sz w:val="24"/>
        </w:rPr>
        <w:t>14.1供应商应按</w:t>
      </w:r>
      <w:r>
        <w:rPr>
          <w:rFonts w:hint="eastAsia" w:ascii="宋体" w:hAnsi="宋体" w:cs="宋体"/>
          <w:sz w:val="24"/>
          <w:u w:val="single"/>
        </w:rPr>
        <w:t>供应商须知资料表</w:t>
      </w:r>
      <w:r>
        <w:rPr>
          <w:rFonts w:hint="eastAsia" w:ascii="宋体" w:hAnsi="宋体" w:cs="宋体"/>
          <w:sz w:val="24"/>
        </w:rPr>
        <w:t>中的规定，</w:t>
      </w:r>
      <w:r>
        <w:rPr>
          <w:rFonts w:hint="eastAsia" w:ascii="宋体" w:hAnsi="宋体" w:cs="宋体"/>
          <w:kern w:val="0"/>
          <w:sz w:val="24"/>
        </w:rPr>
        <w:t>准备和递交加密电子响应文件</w:t>
      </w:r>
      <w:r>
        <w:rPr>
          <w:rFonts w:hint="eastAsia" w:ascii="宋体" w:hAnsi="宋体"/>
          <w:sz w:val="24"/>
        </w:rPr>
        <w:t>（文件格式为.zbtf），</w:t>
      </w:r>
      <w:r>
        <w:rPr>
          <w:rFonts w:ascii="宋体" w:hAnsi="宋体"/>
          <w:sz w:val="24"/>
        </w:rPr>
        <w:t>应</w:t>
      </w:r>
      <w:r>
        <w:rPr>
          <w:rFonts w:hint="eastAsia" w:ascii="宋体" w:hAnsi="宋体"/>
          <w:sz w:val="24"/>
        </w:rPr>
        <w:t>在提交响应文件截止时间前通过淄博市公共资源交易平台系统上传。</w:t>
      </w:r>
    </w:p>
    <w:p>
      <w:pPr>
        <w:spacing w:line="560" w:lineRule="exact"/>
        <w:ind w:firstLine="480" w:firstLineChars="200"/>
        <w:jc w:val="left"/>
        <w:rPr>
          <w:rFonts w:ascii="宋体" w:hAnsi="宋体" w:cs="宋体"/>
          <w:sz w:val="24"/>
        </w:rPr>
      </w:pPr>
      <w:r>
        <w:rPr>
          <w:rFonts w:hint="eastAsia" w:ascii="宋体" w:hAnsi="宋体" w:cs="宋体"/>
          <w:sz w:val="24"/>
        </w:rPr>
        <w:t>14.2响应文件因字迹潦草、表达不清所引起的后果由供应商负责。</w:t>
      </w:r>
    </w:p>
    <w:p>
      <w:pPr>
        <w:spacing w:line="560" w:lineRule="exact"/>
        <w:ind w:firstLine="480" w:firstLineChars="200"/>
        <w:jc w:val="left"/>
        <w:rPr>
          <w:rFonts w:ascii="宋体" w:hAnsi="宋体" w:cs="宋体"/>
          <w:sz w:val="24"/>
        </w:rPr>
      </w:pPr>
      <w:r>
        <w:rPr>
          <w:rFonts w:hint="eastAsia" w:ascii="宋体" w:hAnsi="宋体" w:cs="宋体"/>
          <w:sz w:val="24"/>
        </w:rPr>
        <w:t>14.3</w:t>
      </w:r>
      <w:r>
        <w:rPr>
          <w:rFonts w:hint="eastAsia" w:ascii="宋体" w:hAnsi="宋体"/>
          <w:sz w:val="24"/>
        </w:rPr>
        <w:t>电子响应文件须按照竞争性谈判文件要求在</w:t>
      </w:r>
      <w:r>
        <w:rPr>
          <w:rFonts w:ascii="宋体" w:hAnsi="宋体"/>
          <w:sz w:val="24"/>
        </w:rPr>
        <w:t>指定位置应</w:t>
      </w:r>
      <w:r>
        <w:rPr>
          <w:rFonts w:hint="eastAsia" w:ascii="宋体" w:hAnsi="宋体"/>
          <w:sz w:val="24"/>
        </w:rPr>
        <w:t>加盖供应商公章及法定代表人（非法人组织的负责人）或其授权代表签章（签字或盖章），否则将导致其响应文件被拒绝。</w:t>
      </w:r>
    </w:p>
    <w:p>
      <w:pPr>
        <w:spacing w:line="560" w:lineRule="exact"/>
        <w:ind w:firstLine="480" w:firstLineChars="200"/>
        <w:jc w:val="left"/>
        <w:rPr>
          <w:rFonts w:ascii="宋体" w:hAnsi="宋体" w:cs="宋体"/>
          <w:sz w:val="24"/>
          <w:lang w:val="en-GB"/>
        </w:rPr>
      </w:pPr>
    </w:p>
    <w:p>
      <w:pPr>
        <w:pStyle w:val="4"/>
        <w:spacing w:before="0" w:line="560" w:lineRule="exact"/>
        <w:ind w:firstLine="562" w:firstLineChars="200"/>
        <w:rPr>
          <w:rFonts w:ascii="宋体" w:hAnsi="宋体" w:eastAsia="宋体" w:cs="宋体"/>
          <w:sz w:val="28"/>
          <w:szCs w:val="28"/>
        </w:rPr>
      </w:pPr>
      <w:bookmarkStart w:id="201" w:name="_Toc520356159"/>
      <w:bookmarkStart w:id="202" w:name="_Toc515647774"/>
      <w:bookmarkStart w:id="203" w:name="_Toc216582808"/>
      <w:bookmarkStart w:id="204" w:name="_Toc11179"/>
      <w:bookmarkStart w:id="205" w:name="_Toc16865"/>
      <w:bookmarkStart w:id="206" w:name="_Toc12075"/>
      <w:r>
        <w:rPr>
          <w:rFonts w:hint="eastAsia" w:ascii="宋体" w:hAnsi="宋体" w:eastAsia="宋体" w:cs="宋体"/>
          <w:sz w:val="28"/>
          <w:szCs w:val="28"/>
        </w:rPr>
        <w:t>四、响应文件的递交</w:t>
      </w:r>
      <w:bookmarkEnd w:id="201"/>
      <w:bookmarkEnd w:id="202"/>
      <w:bookmarkEnd w:id="203"/>
      <w:bookmarkEnd w:id="204"/>
      <w:bookmarkEnd w:id="205"/>
      <w:bookmarkEnd w:id="206"/>
    </w:p>
    <w:p>
      <w:pPr>
        <w:pStyle w:val="5"/>
        <w:spacing w:before="0" w:after="0" w:line="560" w:lineRule="exact"/>
        <w:rPr>
          <w:rFonts w:hAnsi="宋体" w:cs="宋体"/>
          <w:u w:val="none"/>
        </w:rPr>
      </w:pPr>
      <w:bookmarkStart w:id="207" w:name="_Toc515647775"/>
      <w:bookmarkStart w:id="208" w:name="_Toc21645"/>
      <w:bookmarkStart w:id="209" w:name="_Toc520356160"/>
      <w:bookmarkStart w:id="210" w:name="_Toc32337"/>
      <w:bookmarkStart w:id="211" w:name="_Toc1667"/>
      <w:r>
        <w:rPr>
          <w:rFonts w:hint="eastAsia" w:hAnsi="宋体" w:cs="宋体"/>
          <w:u w:val="none"/>
        </w:rPr>
        <w:t>15.响应文件的</w:t>
      </w:r>
      <w:bookmarkEnd w:id="207"/>
      <w:bookmarkEnd w:id="208"/>
      <w:bookmarkEnd w:id="209"/>
      <w:bookmarkEnd w:id="210"/>
      <w:r>
        <w:rPr>
          <w:rFonts w:hint="eastAsia" w:hAnsi="宋体" w:cs="宋体"/>
          <w:u w:val="none"/>
        </w:rPr>
        <w:t>密封和标记</w:t>
      </w:r>
      <w:bookmarkEnd w:id="211"/>
    </w:p>
    <w:p>
      <w:pPr>
        <w:spacing w:line="560" w:lineRule="exact"/>
        <w:ind w:firstLine="480" w:firstLineChars="200"/>
        <w:jc w:val="left"/>
        <w:rPr>
          <w:rFonts w:ascii="宋体" w:hAnsi="宋体" w:cs="宋体"/>
          <w:sz w:val="24"/>
        </w:rPr>
      </w:pPr>
      <w:bookmarkStart w:id="212" w:name="_Toc12751"/>
      <w:bookmarkStart w:id="213" w:name="_Toc46238229"/>
      <w:bookmarkStart w:id="214" w:name="_Toc520356161"/>
      <w:bookmarkStart w:id="215" w:name="_Toc9840"/>
      <w:bookmarkStart w:id="216" w:name="_Toc515647776"/>
      <w:r>
        <w:rPr>
          <w:rFonts w:hint="eastAsia" w:ascii="宋体" w:hAnsi="宋体" w:cs="宋体"/>
          <w:sz w:val="24"/>
        </w:rPr>
        <w:t>15.1本项目实行电子响应，供应商无须提交纸质响应文件。供应商应按照本项目竞争性谈判文件的要求编制、加密并递交响应文件。供应商在使用系统进行谈判的过程中遇到涉及平台使用的任何问题，可致电平台技术支持热线咨询，咨询电话请见采购邀请。</w:t>
      </w:r>
    </w:p>
    <w:p>
      <w:pPr>
        <w:pStyle w:val="35"/>
        <w:spacing w:line="560" w:lineRule="exact"/>
        <w:ind w:firstLine="480"/>
        <w:rPr>
          <w:rFonts w:ascii="宋体" w:hAnsi="宋体"/>
        </w:rPr>
      </w:pPr>
      <w:r>
        <w:rPr>
          <w:rFonts w:hint="eastAsia" w:ascii="宋体" w:hAnsi="宋体"/>
        </w:rPr>
        <w:t>供应商递交的电子响应文件因供应商自身原因而导致无法导入</w:t>
      </w:r>
      <w:r>
        <w:rPr>
          <w:rFonts w:hint="eastAsia" w:ascii="宋体" w:hAnsi="宋体" w:cs="宋体"/>
          <w:kern w:val="2"/>
        </w:rPr>
        <w:t>淄博网</w:t>
      </w:r>
      <w:r>
        <w:rPr>
          <w:rFonts w:hint="eastAsia" w:ascii="宋体" w:hAnsi="宋体"/>
        </w:rPr>
        <w:t>上开评标系统的，该响应文件视为无效响应文件，将导致其响应文件被拒绝。</w:t>
      </w:r>
    </w:p>
    <w:p>
      <w:pPr>
        <w:pStyle w:val="5"/>
        <w:spacing w:before="0" w:after="0" w:line="560" w:lineRule="exact"/>
        <w:rPr>
          <w:rFonts w:hAnsi="宋体" w:cs="宋体"/>
          <w:u w:val="none"/>
        </w:rPr>
      </w:pPr>
      <w:bookmarkStart w:id="217" w:name="_Toc23681"/>
      <w:r>
        <w:rPr>
          <w:rFonts w:hint="eastAsia" w:hAnsi="宋体" w:cs="宋体"/>
          <w:u w:val="none"/>
        </w:rPr>
        <w:t>16.响应文件截止</w:t>
      </w:r>
      <w:bookmarkEnd w:id="212"/>
      <w:bookmarkEnd w:id="213"/>
      <w:bookmarkEnd w:id="214"/>
      <w:bookmarkEnd w:id="215"/>
      <w:bookmarkEnd w:id="216"/>
      <w:bookmarkEnd w:id="217"/>
    </w:p>
    <w:p>
      <w:pPr>
        <w:spacing w:line="560" w:lineRule="exact"/>
        <w:ind w:firstLine="480" w:firstLineChars="200"/>
        <w:jc w:val="left"/>
        <w:rPr>
          <w:rFonts w:ascii="宋体" w:hAnsi="宋体" w:cs="宋体"/>
          <w:sz w:val="24"/>
        </w:rPr>
      </w:pPr>
      <w:bookmarkStart w:id="218" w:name="_Toc46235089"/>
      <w:bookmarkStart w:id="219" w:name="_Toc518923081"/>
      <w:bookmarkStart w:id="220" w:name="_Toc520356162"/>
      <w:r>
        <w:rPr>
          <w:rFonts w:hint="eastAsia" w:ascii="宋体" w:hAnsi="宋体" w:cs="宋体"/>
          <w:sz w:val="24"/>
        </w:rPr>
        <w:t>16.1供应商递交响应文件的时间和地点详见</w:t>
      </w:r>
      <w:r>
        <w:rPr>
          <w:rFonts w:hint="eastAsia" w:ascii="宋体" w:hAnsi="宋体" w:cs="宋体"/>
          <w:sz w:val="24"/>
          <w:u w:val="single"/>
        </w:rPr>
        <w:t>供应商须知资料表</w:t>
      </w:r>
      <w:r>
        <w:rPr>
          <w:rFonts w:hint="eastAsia" w:ascii="宋体" w:hAnsi="宋体" w:cs="宋体"/>
          <w:sz w:val="24"/>
        </w:rPr>
        <w:t>。</w:t>
      </w:r>
    </w:p>
    <w:p>
      <w:pPr>
        <w:spacing w:line="560" w:lineRule="exact"/>
        <w:ind w:firstLine="480" w:firstLineChars="200"/>
        <w:jc w:val="left"/>
        <w:rPr>
          <w:rFonts w:ascii="宋体" w:hAnsi="宋体" w:cs="宋体"/>
          <w:sz w:val="24"/>
        </w:rPr>
      </w:pPr>
      <w:r>
        <w:rPr>
          <w:rFonts w:hint="eastAsia" w:ascii="宋体" w:hAnsi="宋体" w:cs="宋体"/>
          <w:sz w:val="24"/>
        </w:rPr>
        <w:t>16.2采购人和采购代理机构将拒绝接收在提交响应文件截止时间后递交的响应文件。</w:t>
      </w:r>
    </w:p>
    <w:p>
      <w:pPr>
        <w:spacing w:line="560" w:lineRule="exact"/>
        <w:ind w:firstLine="480" w:firstLineChars="200"/>
        <w:jc w:val="left"/>
        <w:rPr>
          <w:rFonts w:ascii="宋体" w:hAnsi="宋体" w:cs="宋体"/>
          <w:sz w:val="24"/>
        </w:rPr>
      </w:pPr>
      <w:r>
        <w:rPr>
          <w:rFonts w:hint="eastAsia" w:ascii="宋体" w:hAnsi="宋体" w:cs="宋体"/>
          <w:sz w:val="24"/>
        </w:rPr>
        <w:t>16.3除</w:t>
      </w:r>
      <w:r>
        <w:rPr>
          <w:rFonts w:hint="eastAsia" w:ascii="宋体" w:hAnsi="宋体" w:cs="宋体"/>
          <w:sz w:val="24"/>
          <w:u w:val="single"/>
        </w:rPr>
        <w:t>供应商须知资料表</w:t>
      </w:r>
      <w:r>
        <w:rPr>
          <w:rFonts w:hint="eastAsia" w:ascii="宋体" w:hAnsi="宋体" w:cs="宋体"/>
          <w:sz w:val="24"/>
        </w:rPr>
        <w:t>另有规定外，供应商所递交的响应文件不予退还。</w:t>
      </w:r>
    </w:p>
    <w:p>
      <w:pPr>
        <w:pStyle w:val="5"/>
        <w:spacing w:before="0" w:after="0" w:line="560" w:lineRule="exact"/>
        <w:rPr>
          <w:rFonts w:hAnsi="宋体" w:cs="宋体"/>
          <w:u w:val="none"/>
        </w:rPr>
      </w:pPr>
      <w:bookmarkStart w:id="221" w:name="_Toc15463"/>
      <w:r>
        <w:rPr>
          <w:rFonts w:hint="eastAsia" w:hAnsi="宋体" w:cs="宋体"/>
          <w:u w:val="none"/>
        </w:rPr>
        <w:t>17.响应文件的接收、修改与撤回</w:t>
      </w:r>
      <w:bookmarkEnd w:id="218"/>
      <w:bookmarkEnd w:id="219"/>
      <w:bookmarkEnd w:id="220"/>
      <w:bookmarkEnd w:id="221"/>
    </w:p>
    <w:p>
      <w:pPr>
        <w:spacing w:line="560" w:lineRule="exact"/>
        <w:ind w:firstLine="480" w:firstLineChars="200"/>
        <w:jc w:val="left"/>
        <w:rPr>
          <w:rFonts w:ascii="宋体" w:hAnsi="宋体" w:cs="宋体"/>
          <w:sz w:val="24"/>
        </w:rPr>
      </w:pPr>
      <w:r>
        <w:rPr>
          <w:rFonts w:hint="eastAsia" w:ascii="宋体" w:hAnsi="宋体" w:cs="宋体"/>
          <w:sz w:val="24"/>
        </w:rPr>
        <w:t>17.1采购人或采购代理机构将通过</w:t>
      </w:r>
      <w:r>
        <w:rPr>
          <w:rFonts w:hint="eastAsia" w:ascii="宋体" w:hAnsi="宋体"/>
          <w:sz w:val="24"/>
        </w:rPr>
        <w:t>淄博市公共资源交易平</w:t>
      </w:r>
      <w:r>
        <w:rPr>
          <w:rFonts w:hint="eastAsia" w:ascii="宋体" w:hAnsi="宋体" w:cs="宋体"/>
          <w:sz w:val="24"/>
        </w:rPr>
        <w:t>台系统自动接收供应商上传的响应文件。</w:t>
      </w:r>
    </w:p>
    <w:p>
      <w:pPr>
        <w:spacing w:line="560" w:lineRule="exact"/>
        <w:ind w:firstLine="480" w:firstLineChars="200"/>
        <w:jc w:val="left"/>
        <w:rPr>
          <w:rFonts w:ascii="宋体" w:hAnsi="宋体" w:cs="宋体"/>
          <w:sz w:val="24"/>
        </w:rPr>
      </w:pPr>
      <w:r>
        <w:rPr>
          <w:rFonts w:hint="eastAsia" w:ascii="宋体" w:hAnsi="宋体" w:cs="宋体"/>
          <w:sz w:val="24"/>
        </w:rPr>
        <w:t>17.2递交响应文件以后，如果供应商要进行撤回的，须在提交响应文件截止时间前在淄博市公共资源交易平台系统中进行撤回。</w:t>
      </w:r>
    </w:p>
    <w:p>
      <w:pPr>
        <w:spacing w:line="560" w:lineRule="exact"/>
        <w:ind w:firstLine="480" w:firstLineChars="200"/>
        <w:jc w:val="left"/>
        <w:rPr>
          <w:rFonts w:ascii="宋体" w:hAnsi="宋体" w:cs="宋体"/>
          <w:sz w:val="24"/>
        </w:rPr>
      </w:pPr>
      <w:r>
        <w:rPr>
          <w:rFonts w:hint="eastAsia" w:ascii="宋体" w:hAnsi="宋体" w:cs="宋体"/>
          <w:sz w:val="24"/>
        </w:rPr>
        <w:t>17.3如果在提交响应文件截止时间前需要对已经成功生成并上传淄博市公共资源交易平台系统中的电子响应文件进行修改、补充的，供应商应当先撤回原文件，使用自备计算机和响应文件制作软件重新制作生成新的电子响应文件，并在提交响应文件截止时间前重新上传。</w:t>
      </w:r>
    </w:p>
    <w:p>
      <w:pPr>
        <w:spacing w:line="560" w:lineRule="exact"/>
        <w:ind w:firstLine="480" w:firstLineChars="200"/>
        <w:jc w:val="left"/>
        <w:rPr>
          <w:rFonts w:ascii="宋体" w:hAnsi="宋体" w:cs="宋体"/>
          <w:sz w:val="24"/>
        </w:rPr>
      </w:pPr>
      <w:r>
        <w:rPr>
          <w:rFonts w:hint="eastAsia" w:ascii="宋体" w:hAnsi="宋体" w:cs="宋体"/>
          <w:sz w:val="24"/>
        </w:rPr>
        <w:t>17.4在提交响应文件截止时间之后，供应商不得对其响应文件做任何修改。</w:t>
      </w:r>
    </w:p>
    <w:p>
      <w:pPr>
        <w:spacing w:line="560" w:lineRule="exact"/>
        <w:ind w:firstLine="480" w:firstLineChars="200"/>
        <w:jc w:val="left"/>
        <w:rPr>
          <w:rFonts w:ascii="宋体" w:hAnsi="宋体" w:cs="宋体"/>
          <w:sz w:val="24"/>
        </w:rPr>
      </w:pPr>
    </w:p>
    <w:p>
      <w:pPr>
        <w:pStyle w:val="4"/>
        <w:spacing w:before="0" w:line="560" w:lineRule="exact"/>
        <w:ind w:firstLine="562" w:firstLineChars="200"/>
        <w:rPr>
          <w:rFonts w:ascii="宋体" w:hAnsi="宋体" w:eastAsia="宋体" w:cs="宋体"/>
          <w:sz w:val="28"/>
          <w:szCs w:val="28"/>
        </w:rPr>
      </w:pPr>
      <w:bookmarkStart w:id="222" w:name="_Toc515647778"/>
      <w:bookmarkStart w:id="223" w:name="_Toc28398"/>
      <w:bookmarkStart w:id="224" w:name="_Toc216582809"/>
      <w:bookmarkStart w:id="225" w:name="_Toc12436"/>
      <w:bookmarkStart w:id="226" w:name="_Toc520356163"/>
      <w:bookmarkStart w:id="227" w:name="_Toc21824"/>
      <w:r>
        <w:rPr>
          <w:rFonts w:hint="eastAsia" w:ascii="宋体" w:hAnsi="宋体" w:eastAsia="宋体" w:cs="宋体"/>
          <w:sz w:val="28"/>
          <w:szCs w:val="28"/>
        </w:rPr>
        <w:t>五、开标及</w:t>
      </w:r>
      <w:bookmarkEnd w:id="222"/>
      <w:bookmarkEnd w:id="223"/>
      <w:bookmarkEnd w:id="224"/>
      <w:bookmarkEnd w:id="225"/>
      <w:bookmarkEnd w:id="226"/>
      <w:r>
        <w:rPr>
          <w:rFonts w:hint="eastAsia" w:ascii="宋体" w:hAnsi="宋体" w:eastAsia="宋体" w:cs="宋体"/>
          <w:sz w:val="28"/>
          <w:szCs w:val="28"/>
        </w:rPr>
        <w:t>谈判</w:t>
      </w:r>
      <w:bookmarkEnd w:id="227"/>
    </w:p>
    <w:p>
      <w:pPr>
        <w:pStyle w:val="5"/>
        <w:spacing w:before="0" w:after="0" w:line="560" w:lineRule="exact"/>
        <w:rPr>
          <w:rFonts w:hAnsi="宋体" w:cs="宋体"/>
          <w:u w:val="none"/>
        </w:rPr>
      </w:pPr>
      <w:bookmarkStart w:id="228" w:name="_Toc1671"/>
      <w:r>
        <w:rPr>
          <w:rFonts w:hint="eastAsia" w:hAnsi="宋体" w:cs="宋体"/>
          <w:u w:val="none"/>
        </w:rPr>
        <w:t>18.开标</w:t>
      </w:r>
      <w:bookmarkEnd w:id="228"/>
    </w:p>
    <w:p>
      <w:pPr>
        <w:spacing w:line="560" w:lineRule="exact"/>
        <w:ind w:firstLine="480" w:firstLineChars="200"/>
        <w:jc w:val="left"/>
        <w:rPr>
          <w:rFonts w:ascii="宋体" w:hAnsi="宋体" w:cs="宋体"/>
          <w:sz w:val="24"/>
        </w:rPr>
      </w:pPr>
      <w:bookmarkStart w:id="229" w:name="_Toc520356165"/>
      <w:bookmarkStart w:id="230" w:name="_Toc19296"/>
      <w:bookmarkStart w:id="231" w:name="_Toc515647780"/>
      <w:bookmarkStart w:id="232" w:name="_Toc21372"/>
      <w:r>
        <w:rPr>
          <w:rFonts w:hint="eastAsia" w:ascii="宋体" w:hAnsi="宋体" w:cs="宋体"/>
          <w:sz w:val="24"/>
        </w:rPr>
        <w:t>18.1采购人和采购代理机构将按</w:t>
      </w:r>
      <w:r>
        <w:rPr>
          <w:rFonts w:hint="eastAsia" w:ascii="宋体" w:hAnsi="宋体" w:cs="宋体"/>
          <w:sz w:val="24"/>
          <w:u w:val="single"/>
        </w:rPr>
        <w:t>供应商须知资料表</w:t>
      </w:r>
      <w:r>
        <w:rPr>
          <w:rFonts w:hint="eastAsia" w:ascii="宋体" w:hAnsi="宋体" w:cs="宋体"/>
          <w:sz w:val="24"/>
        </w:rPr>
        <w:t>规定的</w:t>
      </w:r>
      <w:r>
        <w:rPr>
          <w:rFonts w:hint="eastAsia" w:ascii="宋体" w:hAnsi="宋体"/>
          <w:sz w:val="24"/>
        </w:rPr>
        <w:t>开启响应文件截止</w:t>
      </w:r>
      <w:r>
        <w:rPr>
          <w:rFonts w:hint="eastAsia" w:ascii="宋体" w:hAnsi="宋体" w:cs="宋体"/>
          <w:sz w:val="24"/>
        </w:rPr>
        <w:t>时间和地点组织开标。</w:t>
      </w:r>
    </w:p>
    <w:p>
      <w:pPr>
        <w:spacing w:line="560" w:lineRule="exact"/>
        <w:ind w:firstLine="480" w:firstLineChars="200"/>
        <w:jc w:val="left"/>
        <w:rPr>
          <w:rFonts w:ascii="宋体" w:hAnsi="宋体" w:cs="宋体"/>
          <w:sz w:val="24"/>
        </w:rPr>
      </w:pPr>
      <w:r>
        <w:rPr>
          <w:rFonts w:hint="eastAsia" w:ascii="宋体" w:hAnsi="宋体" w:cs="宋体"/>
          <w:sz w:val="24"/>
        </w:rPr>
        <w:t>本项目采用网上开标模式。各供应商无需到达开标现场，请在开标前登陆淄博市公共资源交易网（http://ggzyjy.zibo.gov.cn/TPFront/）网上开标大厅。</w:t>
      </w:r>
    </w:p>
    <w:p>
      <w:pPr>
        <w:spacing w:line="560" w:lineRule="exact"/>
        <w:ind w:firstLine="480" w:firstLineChars="200"/>
        <w:jc w:val="left"/>
        <w:rPr>
          <w:rFonts w:ascii="宋体" w:hAnsi="宋体" w:cs="宋体"/>
          <w:sz w:val="24"/>
        </w:rPr>
      </w:pPr>
      <w:r>
        <w:rPr>
          <w:rFonts w:hint="eastAsia" w:ascii="宋体" w:hAnsi="宋体" w:cs="宋体"/>
          <w:sz w:val="24"/>
        </w:rPr>
        <w:t>18.2响应截止后，请各供应商根据网上开标流程进行操作并对响应文件进行解密,以及答疑、澄清等。</w:t>
      </w:r>
      <w:r>
        <w:rPr>
          <w:rFonts w:hint="eastAsia" w:ascii="宋体" w:hAnsi="宋体" w:cs="宋体"/>
          <w:sz w:val="24"/>
          <w:lang w:val="zh-CN"/>
        </w:rPr>
        <w:t>开标时，由</w:t>
      </w:r>
      <w:r>
        <w:rPr>
          <w:rFonts w:hint="eastAsia" w:ascii="宋体" w:hAnsi="宋体" w:cs="宋体"/>
          <w:sz w:val="24"/>
        </w:rPr>
        <w:t>供应商</w:t>
      </w:r>
      <w:r>
        <w:rPr>
          <w:rFonts w:hint="eastAsia" w:ascii="宋体" w:hAnsi="宋体" w:cs="宋体"/>
          <w:sz w:val="24"/>
          <w:lang w:val="zh-CN"/>
        </w:rPr>
        <w:t>在</w:t>
      </w:r>
      <w:r>
        <w:rPr>
          <w:rFonts w:hint="eastAsia" w:ascii="宋体" w:hAnsi="宋体" w:cs="宋体"/>
          <w:sz w:val="24"/>
        </w:rPr>
        <w:t>解密开始时间后20分钟内完成解密工作（以网上开标系统解密倒计时为准）</w:t>
      </w:r>
      <w:r>
        <w:rPr>
          <w:rFonts w:hint="eastAsia" w:ascii="宋体" w:hAnsi="宋体" w:cs="宋体"/>
          <w:sz w:val="24"/>
          <w:lang w:val="zh-CN"/>
        </w:rPr>
        <w:t>，因</w:t>
      </w:r>
      <w:r>
        <w:rPr>
          <w:rFonts w:hint="eastAsia" w:ascii="宋体" w:hAnsi="宋体" w:cs="宋体"/>
          <w:sz w:val="24"/>
        </w:rPr>
        <w:t>供应商</w:t>
      </w:r>
      <w:r>
        <w:rPr>
          <w:rFonts w:hint="eastAsia" w:ascii="宋体" w:hAnsi="宋体" w:cs="宋体"/>
          <w:sz w:val="24"/>
          <w:lang w:val="zh-CN"/>
        </w:rPr>
        <w:t>自身原因导致</w:t>
      </w:r>
      <w:r>
        <w:rPr>
          <w:rFonts w:hint="eastAsia" w:ascii="宋体" w:hAnsi="宋体" w:cs="宋体"/>
          <w:sz w:val="24"/>
        </w:rPr>
        <w:t>未在规定时间内成功解密响应文件的，作无效标处理。</w:t>
      </w:r>
    </w:p>
    <w:p>
      <w:pPr>
        <w:spacing w:line="560" w:lineRule="exact"/>
        <w:ind w:firstLine="480" w:firstLineChars="200"/>
        <w:jc w:val="left"/>
        <w:rPr>
          <w:rFonts w:ascii="宋体" w:hAnsi="宋体" w:cs="宋体"/>
          <w:sz w:val="24"/>
        </w:rPr>
      </w:pPr>
      <w:r>
        <w:rPr>
          <w:rFonts w:hint="eastAsia" w:ascii="宋体" w:hAnsi="宋体" w:cs="宋体"/>
          <w:sz w:val="24"/>
        </w:rPr>
        <w:t>18.3采购代理机构将对开标过程进行记录，并存档备查。</w:t>
      </w:r>
    </w:p>
    <w:p>
      <w:pPr>
        <w:spacing w:line="560" w:lineRule="exact"/>
        <w:ind w:firstLine="480" w:firstLineChars="200"/>
        <w:jc w:val="left"/>
        <w:rPr>
          <w:rFonts w:ascii="宋体" w:hAnsi="宋体"/>
          <w:snapToGrid w:val="0"/>
          <w:sz w:val="24"/>
        </w:rPr>
      </w:pPr>
      <w:r>
        <w:rPr>
          <w:rFonts w:hint="eastAsia" w:ascii="宋体" w:hAnsi="宋体" w:cs="宋体"/>
          <w:sz w:val="24"/>
        </w:rPr>
        <w:t>18.4</w:t>
      </w:r>
      <w:r>
        <w:rPr>
          <w:rFonts w:hint="eastAsia" w:ascii="宋体" w:hAnsi="宋体"/>
          <w:sz w:val="24"/>
        </w:rPr>
        <w:t>采购代理机构按照</w:t>
      </w:r>
      <w:r>
        <w:rPr>
          <w:rFonts w:hint="eastAsia" w:ascii="宋体" w:hAnsi="宋体"/>
          <w:sz w:val="24"/>
          <w:u w:val="single"/>
        </w:rPr>
        <w:t>供应商须知资料表</w:t>
      </w:r>
      <w:r>
        <w:rPr>
          <w:rFonts w:hint="eastAsia" w:ascii="宋体" w:hAnsi="宋体"/>
          <w:sz w:val="24"/>
        </w:rPr>
        <w:t>要求通过网上开标大厅进行开标。</w:t>
      </w:r>
    </w:p>
    <w:p>
      <w:pPr>
        <w:spacing w:line="560" w:lineRule="exact"/>
        <w:ind w:firstLine="480" w:firstLineChars="200"/>
        <w:jc w:val="left"/>
        <w:rPr>
          <w:rFonts w:ascii="宋体" w:hAnsi="宋体"/>
          <w:snapToGrid w:val="0"/>
          <w:sz w:val="24"/>
        </w:rPr>
      </w:pPr>
      <w:r>
        <w:rPr>
          <w:rFonts w:hint="eastAsia" w:ascii="宋体" w:hAnsi="宋体" w:cs="宋体"/>
          <w:sz w:val="24"/>
        </w:rPr>
        <w:t>供应商</w:t>
      </w:r>
      <w:r>
        <w:rPr>
          <w:rFonts w:hint="eastAsia" w:ascii="宋体" w:hAnsi="宋体"/>
          <w:snapToGrid w:val="0"/>
          <w:sz w:val="24"/>
        </w:rPr>
        <w:t>对开标过程和开标记录有异议，以及认为采购人、采购代理机构相关工作人员有需要回避的情形的，应在</w:t>
      </w:r>
      <w:r>
        <w:rPr>
          <w:rFonts w:hint="eastAsia" w:ascii="宋体" w:hAnsi="宋体"/>
          <w:snapToGrid w:val="0"/>
          <w:sz w:val="24"/>
          <w:lang w:val="zh-CN"/>
        </w:rPr>
        <w:t>网上开标大厅</w:t>
      </w:r>
      <w:r>
        <w:rPr>
          <w:rFonts w:hint="eastAsia" w:ascii="宋体" w:hAnsi="宋体"/>
          <w:snapToGrid w:val="0"/>
          <w:sz w:val="24"/>
        </w:rPr>
        <w:t>中提出询问或者回避申请。</w:t>
      </w:r>
    </w:p>
    <w:p>
      <w:pPr>
        <w:spacing w:line="560" w:lineRule="exact"/>
        <w:ind w:firstLine="480" w:firstLineChars="200"/>
        <w:jc w:val="left"/>
        <w:rPr>
          <w:rFonts w:ascii="宋体" w:hAnsi="宋体" w:cs="宋体"/>
          <w:sz w:val="24"/>
        </w:rPr>
      </w:pPr>
      <w:r>
        <w:rPr>
          <w:rFonts w:hint="eastAsia" w:ascii="宋体" w:hAnsi="宋体" w:cs="宋体"/>
          <w:sz w:val="24"/>
        </w:rPr>
        <w:t>供应商应在开标前根据“网上开标大厅操作手册（投标人）”（具体操作请参考淄博市公共资源交易网→办事指南→服务指南→网上开标大厅操作手册（投标人））提前调试电脑，技术咨询电话：400-998-0000。</w:t>
      </w:r>
    </w:p>
    <w:p>
      <w:pPr>
        <w:spacing w:line="560" w:lineRule="exact"/>
        <w:ind w:firstLine="480" w:firstLineChars="200"/>
        <w:jc w:val="left"/>
        <w:rPr>
          <w:rFonts w:ascii="宋体" w:hAnsi="宋体" w:cs="宋体"/>
          <w:sz w:val="24"/>
        </w:rPr>
      </w:pPr>
      <w:r>
        <w:rPr>
          <w:rFonts w:hint="eastAsia" w:ascii="宋体" w:hAnsi="宋体" w:cs="宋体"/>
          <w:sz w:val="24"/>
        </w:rPr>
        <w:t>在项目开评标全过程中，供应商应保持实时在线状态，参与远程交互的</w:t>
      </w:r>
      <w:r>
        <w:rPr>
          <w:rFonts w:hint="eastAsia" w:ascii="宋体" w:hAnsi="宋体"/>
          <w:snapToGrid w:val="0"/>
          <w:sz w:val="24"/>
        </w:rPr>
        <w:t>法定代表人（非法人组织的负责人）或其授权代表</w:t>
      </w:r>
      <w:r>
        <w:rPr>
          <w:rFonts w:hint="eastAsia" w:ascii="宋体" w:hAnsi="宋体" w:cs="宋体"/>
          <w:sz w:val="24"/>
        </w:rPr>
        <w:t>应始终为同一个人，中途不得更换，在废标、澄清、提疑、传送文件等特殊情况下需要交互时，供应商一端参与交互的人员将被视为本项目供应商的</w:t>
      </w:r>
      <w:r>
        <w:rPr>
          <w:rFonts w:hint="eastAsia" w:ascii="宋体" w:hAnsi="宋体"/>
          <w:snapToGrid w:val="0"/>
          <w:sz w:val="24"/>
        </w:rPr>
        <w:t>法定代表人（非法人组织的负责人）或其授权代表</w:t>
      </w:r>
      <w:r>
        <w:rPr>
          <w:rFonts w:hint="eastAsia" w:ascii="宋体" w:hAnsi="宋体" w:cs="宋体"/>
          <w:sz w:val="24"/>
        </w:rPr>
        <w:t>。谈判小组会随时通过网上开评标系统发出询标信息，供应商应在谈判小组</w:t>
      </w:r>
      <w:r>
        <w:rPr>
          <w:rFonts w:hint="eastAsia" w:ascii="宋体" w:hAnsi="宋体"/>
          <w:snapToGrid w:val="0"/>
          <w:sz w:val="24"/>
        </w:rPr>
        <w:t>规定时间</w:t>
      </w:r>
      <w:r>
        <w:rPr>
          <w:rFonts w:hint="eastAsia" w:ascii="宋体" w:hAnsi="宋体" w:cs="宋体"/>
          <w:sz w:val="24"/>
        </w:rPr>
        <w:t>内通过</w:t>
      </w:r>
      <w:r>
        <w:rPr>
          <w:rFonts w:hint="eastAsia" w:ascii="宋体" w:hAnsi="宋体"/>
          <w:snapToGrid w:val="0"/>
          <w:sz w:val="24"/>
        </w:rPr>
        <w:t>网上开标大厅或企业会员系统</w:t>
      </w:r>
      <w:r>
        <w:rPr>
          <w:rFonts w:hint="eastAsia" w:ascii="宋体" w:hAnsi="宋体" w:cs="宋体"/>
          <w:sz w:val="24"/>
        </w:rPr>
        <w:t>进行回复，未能按时答复的，谈判小组将视同其放弃澄清、说明、补正、最后报价等。</w:t>
      </w:r>
    </w:p>
    <w:p>
      <w:pPr>
        <w:spacing w:line="560" w:lineRule="exact"/>
        <w:ind w:firstLine="480" w:firstLineChars="200"/>
        <w:jc w:val="left"/>
        <w:rPr>
          <w:rFonts w:ascii="宋体" w:hAnsi="宋体" w:cs="宋体"/>
          <w:sz w:val="24"/>
        </w:rPr>
      </w:pPr>
      <w:r>
        <w:rPr>
          <w:rFonts w:cs="宋体"/>
          <w:sz w:val="24"/>
        </w:rPr>
        <w:t>本项目下载、上传、开标均通过互联网操作，</w:t>
      </w:r>
      <w:r>
        <w:rPr>
          <w:rFonts w:hint="eastAsia" w:ascii="宋体" w:hAnsi="宋体" w:cs="宋体"/>
          <w:sz w:val="24"/>
        </w:rPr>
        <w:t>供应商应</w:t>
      </w:r>
      <w:r>
        <w:rPr>
          <w:rFonts w:cs="宋体"/>
          <w:sz w:val="24"/>
        </w:rPr>
        <w:t>充分考虑网络拥堵及平台操作所需时间等因素，保证在</w:t>
      </w:r>
      <w:r>
        <w:rPr>
          <w:rFonts w:hint="eastAsia" w:cs="宋体"/>
          <w:sz w:val="24"/>
        </w:rPr>
        <w:t>开标及谈判</w:t>
      </w:r>
      <w:r>
        <w:rPr>
          <w:rFonts w:cs="宋体"/>
          <w:sz w:val="24"/>
        </w:rPr>
        <w:t xml:space="preserve">期间电脑、网络、预留电话等能够正常使用。 </w:t>
      </w:r>
    </w:p>
    <w:p>
      <w:pPr>
        <w:spacing w:line="560" w:lineRule="exact"/>
        <w:ind w:firstLine="480" w:firstLineChars="200"/>
        <w:jc w:val="left"/>
        <w:rPr>
          <w:rFonts w:ascii="宋体" w:hAnsi="宋体" w:cs="宋体"/>
          <w:sz w:val="24"/>
        </w:rPr>
      </w:pPr>
      <w:r>
        <w:rPr>
          <w:rFonts w:hint="eastAsia" w:ascii="宋体" w:hAnsi="宋体" w:cs="宋体"/>
          <w:sz w:val="24"/>
        </w:rPr>
        <w:t>因以上造成的一切后果由供应商自行承担。</w:t>
      </w:r>
    </w:p>
    <w:p>
      <w:pPr>
        <w:pStyle w:val="5"/>
        <w:spacing w:line="560" w:lineRule="exact"/>
        <w:rPr>
          <w:rFonts w:hAnsi="宋体" w:cs="宋体"/>
          <w:u w:val="none"/>
        </w:rPr>
      </w:pPr>
      <w:bookmarkStart w:id="233" w:name="_Toc411637993"/>
      <w:bookmarkStart w:id="234" w:name="_Toc20210"/>
      <w:r>
        <w:rPr>
          <w:rFonts w:hint="eastAsia" w:hAnsi="宋体" w:cs="宋体"/>
          <w:u w:val="none"/>
        </w:rPr>
        <w:t>19. 谈判小组</w:t>
      </w:r>
      <w:bookmarkEnd w:id="233"/>
      <w:bookmarkEnd w:id="234"/>
    </w:p>
    <w:p>
      <w:pPr>
        <w:spacing w:line="560" w:lineRule="exact"/>
        <w:ind w:firstLine="480" w:firstLineChars="200"/>
        <w:jc w:val="left"/>
        <w:rPr>
          <w:rFonts w:ascii="宋体" w:hAnsi="宋体" w:cs="宋体"/>
          <w:sz w:val="24"/>
        </w:rPr>
      </w:pPr>
      <w:r>
        <w:rPr>
          <w:rFonts w:hint="eastAsia" w:ascii="宋体" w:hAnsi="宋体" w:cs="宋体"/>
          <w:sz w:val="24"/>
        </w:rPr>
        <w:t>19.1采购代理机构将按照</w:t>
      </w:r>
      <w:r>
        <w:rPr>
          <w:rFonts w:hint="eastAsia" w:ascii="宋体" w:hAnsi="宋体"/>
          <w:sz w:val="24"/>
        </w:rPr>
        <w:t>《政府采购评审专家管理办法》（财库</w:t>
      </w:r>
      <w:r>
        <w:rPr>
          <w:rFonts w:hint="eastAsia" w:ascii="宋体" w:hAnsi="宋体" w:cs="宋体"/>
          <w:sz w:val="24"/>
        </w:rPr>
        <w:t>〔2016〕</w:t>
      </w:r>
      <w:r>
        <w:rPr>
          <w:rFonts w:hint="eastAsia" w:ascii="宋体" w:hAnsi="宋体"/>
          <w:sz w:val="24"/>
        </w:rPr>
        <w:t>198号）、《山东省政府采购评审专家管理实施办法》（鲁财采</w:t>
      </w:r>
      <w:r>
        <w:rPr>
          <w:rFonts w:hint="eastAsia" w:ascii="宋体" w:hAnsi="宋体" w:cs="宋体"/>
          <w:sz w:val="24"/>
        </w:rPr>
        <w:t>〔2018〕</w:t>
      </w:r>
      <w:r>
        <w:rPr>
          <w:rFonts w:hint="eastAsia" w:ascii="宋体" w:hAnsi="宋体"/>
          <w:sz w:val="24"/>
        </w:rPr>
        <w:t>66号）、《山东省政府采购评审专家抽取规则》（鲁财采</w:t>
      </w:r>
      <w:r>
        <w:rPr>
          <w:rFonts w:hint="eastAsia" w:ascii="宋体" w:hAnsi="宋体" w:cs="宋体"/>
          <w:sz w:val="24"/>
        </w:rPr>
        <w:t>〔2017〕</w:t>
      </w:r>
      <w:r>
        <w:rPr>
          <w:rFonts w:hint="eastAsia" w:ascii="宋体" w:hAnsi="宋体"/>
          <w:sz w:val="24"/>
        </w:rPr>
        <w:t>64号）</w:t>
      </w:r>
      <w:r>
        <w:rPr>
          <w:rFonts w:hint="eastAsia" w:ascii="宋体" w:hAnsi="宋体" w:cs="宋体"/>
          <w:sz w:val="24"/>
        </w:rPr>
        <w:t>及有关规定组建谈判小组。谈判小组由采购人</w:t>
      </w:r>
      <w:r>
        <w:rPr>
          <w:rFonts w:hint="eastAsia" w:ascii="宋体" w:hAnsi="宋体" w:cs="宋体"/>
          <w:sz w:val="24"/>
          <w:highlight w:val="none"/>
        </w:rPr>
        <w:t>代表</w:t>
      </w:r>
      <w:r>
        <w:rPr>
          <w:rFonts w:hint="eastAsia" w:ascii="宋体" w:hAnsi="宋体" w:cs="宋体"/>
          <w:sz w:val="24"/>
          <w:highlight w:val="none"/>
          <w:u w:val="single"/>
        </w:rPr>
        <w:t xml:space="preserve"> 1 </w:t>
      </w:r>
      <w:r>
        <w:rPr>
          <w:rFonts w:hint="eastAsia" w:ascii="宋体" w:hAnsi="宋体" w:cs="宋体"/>
          <w:sz w:val="24"/>
          <w:highlight w:val="none"/>
        </w:rPr>
        <w:t>人及评审专家</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4</w:t>
      </w:r>
      <w:r>
        <w:rPr>
          <w:rFonts w:hint="eastAsia" w:ascii="宋体" w:hAnsi="宋体" w:cs="宋体"/>
          <w:sz w:val="24"/>
          <w:highlight w:val="none"/>
          <w:u w:val="single"/>
        </w:rPr>
        <w:t xml:space="preserve"> </w:t>
      </w:r>
      <w:r>
        <w:rPr>
          <w:rFonts w:hint="eastAsia" w:ascii="宋体" w:hAnsi="宋体" w:cs="宋体"/>
          <w:sz w:val="24"/>
          <w:highlight w:val="none"/>
        </w:rPr>
        <w:t>人(3</w:t>
      </w:r>
      <w:r>
        <w:rPr>
          <w:rFonts w:hint="eastAsia" w:ascii="宋体" w:hAnsi="宋体" w:cs="宋体"/>
          <w:sz w:val="24"/>
        </w:rPr>
        <w:t>人以上单数)组成。</w:t>
      </w:r>
    </w:p>
    <w:p>
      <w:pPr>
        <w:spacing w:line="560" w:lineRule="exact"/>
        <w:ind w:firstLine="480" w:firstLineChars="200"/>
        <w:jc w:val="left"/>
        <w:rPr>
          <w:rFonts w:ascii="宋体" w:hAnsi="宋体" w:cs="宋体"/>
          <w:sz w:val="24"/>
        </w:rPr>
      </w:pPr>
      <w:r>
        <w:rPr>
          <w:rFonts w:hint="eastAsia" w:ascii="宋体" w:hAnsi="宋体" w:cs="宋体"/>
          <w:sz w:val="24"/>
        </w:rPr>
        <w:t>19.2谈判小组具有依据竞争性谈判文件进行独立评审的权力，且不受外界任何因素的干扰。谈判小组成员需对评审结果独立写出评审意见，并承担责任。评委成员若拒绝在评审报告上签字且不陈述其不同意理由的，视为同意和接受。</w:t>
      </w:r>
    </w:p>
    <w:p>
      <w:pPr>
        <w:spacing w:line="560" w:lineRule="exact"/>
        <w:ind w:firstLine="480" w:firstLineChars="200"/>
        <w:jc w:val="left"/>
        <w:rPr>
          <w:rFonts w:ascii="宋体" w:hAnsi="宋体" w:cs="宋体"/>
          <w:sz w:val="24"/>
        </w:rPr>
      </w:pPr>
      <w:r>
        <w:rPr>
          <w:rFonts w:hint="eastAsia" w:ascii="宋体" w:hAnsi="宋体" w:cs="宋体"/>
          <w:sz w:val="24"/>
        </w:rPr>
        <w:t>19.3谈判小组的职责：</w:t>
      </w:r>
    </w:p>
    <w:p>
      <w:pPr>
        <w:widowControl/>
        <w:shd w:val="clear" w:color="auto" w:fill="FFFFFF"/>
        <w:spacing w:line="560" w:lineRule="exact"/>
        <w:ind w:firstLine="480" w:firstLineChars="200"/>
        <w:jc w:val="left"/>
        <w:rPr>
          <w:rFonts w:ascii="宋体" w:hAnsi="宋体" w:cs="宋体"/>
          <w:sz w:val="24"/>
        </w:rPr>
      </w:pPr>
      <w:r>
        <w:rPr>
          <w:rFonts w:hint="eastAsia" w:ascii="宋体" w:hAnsi="宋体" w:cs="宋体"/>
          <w:sz w:val="24"/>
        </w:rPr>
        <w:t>（1）确认或者制定竞争性谈判文件；</w:t>
      </w:r>
    </w:p>
    <w:p>
      <w:pPr>
        <w:widowControl/>
        <w:shd w:val="clear" w:color="auto" w:fill="FFFFFF"/>
        <w:spacing w:line="560" w:lineRule="exact"/>
        <w:ind w:firstLine="480" w:firstLineChars="200"/>
        <w:jc w:val="left"/>
        <w:rPr>
          <w:rFonts w:ascii="宋体" w:hAnsi="宋体" w:cs="宋体"/>
          <w:sz w:val="24"/>
        </w:rPr>
      </w:pPr>
      <w:r>
        <w:rPr>
          <w:rFonts w:hint="eastAsia" w:ascii="宋体" w:hAnsi="宋体" w:cs="宋体"/>
          <w:sz w:val="24"/>
        </w:rPr>
        <w:t>（2）从符合相应资格条件的供应商名单中确定不少于3家的供应商参加谈判；</w:t>
      </w:r>
    </w:p>
    <w:p>
      <w:pPr>
        <w:widowControl/>
        <w:shd w:val="clear" w:color="auto" w:fill="FFFFFF"/>
        <w:spacing w:line="560" w:lineRule="exact"/>
        <w:ind w:firstLine="480" w:firstLineChars="200"/>
        <w:jc w:val="left"/>
        <w:rPr>
          <w:rFonts w:ascii="宋体" w:hAnsi="宋体" w:cs="宋体"/>
          <w:sz w:val="24"/>
        </w:rPr>
      </w:pPr>
      <w:r>
        <w:rPr>
          <w:rFonts w:hint="eastAsia" w:ascii="宋体" w:hAnsi="宋体" w:cs="宋体"/>
          <w:sz w:val="24"/>
        </w:rPr>
        <w:t>（3）审查供应商的响应文件并作出评价；</w:t>
      </w:r>
    </w:p>
    <w:p>
      <w:pPr>
        <w:widowControl/>
        <w:shd w:val="clear" w:color="auto" w:fill="FFFFFF"/>
        <w:spacing w:line="560" w:lineRule="exact"/>
        <w:ind w:firstLine="480" w:firstLineChars="200"/>
        <w:jc w:val="left"/>
        <w:rPr>
          <w:rFonts w:ascii="宋体" w:hAnsi="宋体" w:cs="宋体"/>
          <w:sz w:val="24"/>
        </w:rPr>
      </w:pPr>
      <w:r>
        <w:rPr>
          <w:rFonts w:hint="eastAsia" w:ascii="宋体" w:hAnsi="宋体" w:cs="宋体"/>
          <w:sz w:val="24"/>
        </w:rPr>
        <w:t>（4）要求供应商解释或者澄清其响应文件；</w:t>
      </w:r>
    </w:p>
    <w:p>
      <w:pPr>
        <w:widowControl/>
        <w:shd w:val="clear" w:color="auto" w:fill="FFFFFF"/>
        <w:spacing w:line="560" w:lineRule="exact"/>
        <w:ind w:firstLine="480" w:firstLineChars="200"/>
        <w:jc w:val="left"/>
        <w:rPr>
          <w:rFonts w:ascii="宋体" w:hAnsi="宋体" w:cs="宋体"/>
          <w:sz w:val="24"/>
        </w:rPr>
      </w:pPr>
      <w:r>
        <w:rPr>
          <w:rFonts w:hint="eastAsia" w:ascii="宋体" w:hAnsi="宋体" w:cs="宋体"/>
          <w:sz w:val="24"/>
        </w:rPr>
        <w:t>（5）编写评审报告；</w:t>
      </w:r>
    </w:p>
    <w:p>
      <w:pPr>
        <w:widowControl/>
        <w:shd w:val="clear" w:color="auto" w:fill="FFFFFF"/>
        <w:spacing w:line="560" w:lineRule="exact"/>
        <w:ind w:firstLine="480" w:firstLineChars="200"/>
        <w:jc w:val="left"/>
        <w:rPr>
          <w:rFonts w:ascii="宋体" w:hAnsi="宋体" w:cs="宋体"/>
          <w:sz w:val="24"/>
        </w:rPr>
      </w:pPr>
      <w:r>
        <w:rPr>
          <w:rFonts w:hint="eastAsia" w:ascii="宋体" w:hAnsi="宋体" w:cs="宋体"/>
          <w:sz w:val="24"/>
        </w:rPr>
        <w:t>（6）告知采购人、采购代理机构在评审过程中发现的供应商的违法违规行为。</w:t>
      </w:r>
    </w:p>
    <w:p>
      <w:pPr>
        <w:spacing w:line="560" w:lineRule="exact"/>
        <w:ind w:firstLine="480" w:firstLineChars="200"/>
        <w:jc w:val="left"/>
        <w:rPr>
          <w:rFonts w:ascii="宋体" w:hAnsi="宋体" w:cs="宋体"/>
          <w:sz w:val="24"/>
        </w:rPr>
      </w:pPr>
      <w:r>
        <w:rPr>
          <w:rFonts w:hint="eastAsia" w:ascii="宋体" w:hAnsi="宋体" w:cs="宋体"/>
          <w:sz w:val="24"/>
        </w:rPr>
        <w:t>19.4谈判小组的义务：</w:t>
      </w:r>
    </w:p>
    <w:p>
      <w:pPr>
        <w:spacing w:line="560" w:lineRule="exact"/>
        <w:ind w:firstLine="480" w:firstLineChars="200"/>
        <w:jc w:val="left"/>
        <w:rPr>
          <w:rFonts w:ascii="宋体" w:hAnsi="宋体" w:cs="宋体"/>
          <w:sz w:val="24"/>
        </w:rPr>
      </w:pPr>
      <w:r>
        <w:rPr>
          <w:rFonts w:hint="eastAsia" w:ascii="宋体" w:hAnsi="宋体" w:cs="宋体"/>
          <w:sz w:val="24"/>
        </w:rPr>
        <w:t>（1）遵纪守法，客观、公正、廉洁地履行职责；</w:t>
      </w:r>
    </w:p>
    <w:p>
      <w:pPr>
        <w:spacing w:line="560" w:lineRule="exact"/>
        <w:ind w:firstLine="480" w:firstLineChars="200"/>
        <w:jc w:val="left"/>
        <w:rPr>
          <w:rFonts w:ascii="宋体" w:hAnsi="宋体" w:cs="宋体"/>
          <w:sz w:val="24"/>
        </w:rPr>
      </w:pPr>
      <w:r>
        <w:rPr>
          <w:rFonts w:hint="eastAsia" w:ascii="宋体" w:hAnsi="宋体" w:cs="宋体"/>
          <w:sz w:val="24"/>
        </w:rPr>
        <w:t>（2）根据采购文件的规定独立进行评审，对个人的评审意见承担法律责任；</w:t>
      </w:r>
    </w:p>
    <w:p>
      <w:pPr>
        <w:spacing w:line="560" w:lineRule="exact"/>
        <w:ind w:firstLine="480" w:firstLineChars="200"/>
        <w:jc w:val="left"/>
        <w:rPr>
          <w:rFonts w:ascii="宋体" w:hAnsi="宋体" w:cs="宋体"/>
          <w:sz w:val="24"/>
        </w:rPr>
      </w:pPr>
      <w:r>
        <w:rPr>
          <w:rFonts w:hint="eastAsia" w:ascii="宋体" w:hAnsi="宋体" w:cs="宋体"/>
          <w:sz w:val="24"/>
        </w:rPr>
        <w:t>（3）参与评审报告的起草；</w:t>
      </w:r>
    </w:p>
    <w:p>
      <w:pPr>
        <w:spacing w:line="560" w:lineRule="exact"/>
        <w:ind w:firstLine="480" w:firstLineChars="200"/>
        <w:jc w:val="left"/>
        <w:rPr>
          <w:rFonts w:ascii="宋体" w:hAnsi="宋体" w:cs="宋体"/>
          <w:sz w:val="24"/>
        </w:rPr>
      </w:pPr>
      <w:r>
        <w:rPr>
          <w:rFonts w:hint="eastAsia" w:ascii="宋体" w:hAnsi="宋体" w:cs="宋体"/>
          <w:sz w:val="24"/>
        </w:rPr>
        <w:t>（4）配合采购人、采购代理机构答复供应商提出的质疑；</w:t>
      </w:r>
    </w:p>
    <w:p>
      <w:pPr>
        <w:spacing w:line="560" w:lineRule="exact"/>
        <w:ind w:firstLine="480" w:firstLineChars="200"/>
        <w:jc w:val="left"/>
        <w:rPr>
          <w:rFonts w:ascii="宋体" w:hAnsi="宋体" w:cs="宋体"/>
          <w:sz w:val="24"/>
        </w:rPr>
      </w:pPr>
      <w:r>
        <w:rPr>
          <w:rFonts w:hint="eastAsia" w:ascii="宋体" w:hAnsi="宋体" w:cs="宋体"/>
          <w:sz w:val="24"/>
        </w:rPr>
        <w:t>（5）配合财政部门的投诉处理和监督检查工作。</w:t>
      </w:r>
    </w:p>
    <w:p>
      <w:pPr>
        <w:pStyle w:val="5"/>
        <w:spacing w:line="560" w:lineRule="exact"/>
        <w:rPr>
          <w:rFonts w:hAnsi="宋体" w:cs="宋体"/>
          <w:u w:val="none"/>
        </w:rPr>
      </w:pPr>
      <w:bookmarkStart w:id="235" w:name="_Toc12769"/>
      <w:r>
        <w:rPr>
          <w:rFonts w:hint="eastAsia" w:hAnsi="宋体" w:cs="宋体"/>
          <w:u w:val="none"/>
        </w:rPr>
        <w:t>20.</w:t>
      </w:r>
      <w:bookmarkEnd w:id="229"/>
      <w:r>
        <w:rPr>
          <w:rFonts w:hint="eastAsia" w:hAnsi="宋体" w:cs="宋体"/>
          <w:u w:val="none"/>
        </w:rPr>
        <w:t>资格审查</w:t>
      </w:r>
      <w:bookmarkEnd w:id="230"/>
      <w:bookmarkEnd w:id="231"/>
      <w:bookmarkEnd w:id="232"/>
      <w:bookmarkEnd w:id="235"/>
    </w:p>
    <w:p>
      <w:pPr>
        <w:spacing w:line="560" w:lineRule="exact"/>
        <w:ind w:firstLine="480" w:firstLineChars="200"/>
        <w:jc w:val="left"/>
        <w:rPr>
          <w:rFonts w:ascii="宋体" w:hAnsi="宋体" w:cs="宋体"/>
          <w:sz w:val="24"/>
        </w:rPr>
      </w:pPr>
      <w:bookmarkStart w:id="236" w:name="_Toc520356166"/>
      <w:bookmarkStart w:id="237" w:name="_Toc515647781"/>
      <w:bookmarkStart w:id="238" w:name="_Toc28479"/>
      <w:bookmarkStart w:id="239" w:name="_Toc19949"/>
      <w:r>
        <w:rPr>
          <w:rFonts w:hint="eastAsia" w:ascii="宋体" w:hAnsi="宋体" w:cs="宋体"/>
          <w:sz w:val="24"/>
        </w:rPr>
        <w:t>20.1采购人或采购代理机构依据法律法规和竞争性谈判文件中规定的内容，对供应商的资格进行审查。未通过资格审查的供应商不进入谈判；通过资格审查的供应商不足3家的，不得谈判。</w:t>
      </w:r>
    </w:p>
    <w:p>
      <w:pPr>
        <w:spacing w:line="560" w:lineRule="exact"/>
        <w:ind w:firstLine="480" w:firstLineChars="200"/>
        <w:rPr>
          <w:rFonts w:cs="宋体" w:asciiTheme="minorEastAsia" w:hAnsiTheme="minorEastAsia"/>
          <w:sz w:val="24"/>
        </w:rPr>
      </w:pPr>
      <w:r>
        <w:rPr>
          <w:rFonts w:hint="eastAsia" w:ascii="宋体" w:hAnsi="宋体" w:cs="宋体"/>
          <w:sz w:val="24"/>
        </w:rPr>
        <w:t>20.2采购人或采购代理机构将按</w:t>
      </w:r>
      <w:r>
        <w:rPr>
          <w:rFonts w:hint="eastAsia" w:ascii="宋体" w:hAnsi="宋体" w:cs="宋体"/>
          <w:sz w:val="24"/>
          <w:u w:val="single"/>
        </w:rPr>
        <w:t>供应商须知资料表</w:t>
      </w:r>
      <w:r>
        <w:rPr>
          <w:rFonts w:hint="eastAsia" w:ascii="宋体" w:hAnsi="宋体" w:cs="宋体"/>
          <w:sz w:val="24"/>
        </w:rPr>
        <w:t>中</w:t>
      </w:r>
      <w:r>
        <w:rPr>
          <w:rFonts w:hint="eastAsia" w:ascii="宋体" w:hAnsi="宋体"/>
          <w:sz w:val="24"/>
        </w:rPr>
        <w:t>规定的时间查询供应商的信用记录。</w:t>
      </w:r>
      <w:r>
        <w:rPr>
          <w:rFonts w:hint="eastAsia" w:ascii="宋体" w:hAnsi="宋体" w:cs="宋体"/>
          <w:sz w:val="24"/>
        </w:rPr>
        <w:t>供应商在中国政府采购网（</w:t>
      </w:r>
      <w:r>
        <w:fldChar w:fldCharType="begin"/>
      </w:r>
      <w:r>
        <w:instrText xml:space="preserve"> HYPERLINK "http://www.ccgp.gov.cn" </w:instrText>
      </w:r>
      <w:r>
        <w:fldChar w:fldCharType="separate"/>
      </w:r>
      <w:r>
        <w:rPr>
          <w:rFonts w:hint="eastAsia" w:ascii="宋体" w:hAnsi="宋体" w:cs="宋体"/>
        </w:rPr>
        <w:t>www.ccgp.gov.cn</w:t>
      </w:r>
      <w:r>
        <w:rPr>
          <w:rFonts w:hint="eastAsia" w:ascii="宋体" w:hAnsi="宋体" w:cs="宋体"/>
        </w:rPr>
        <w:fldChar w:fldCharType="end"/>
      </w:r>
      <w:r>
        <w:rPr>
          <w:rFonts w:hint="eastAsia" w:ascii="宋体" w:hAnsi="宋体" w:cs="宋体"/>
          <w:sz w:val="24"/>
        </w:rPr>
        <w:t>）被列入政府采购严重违法失信行为记录名单，</w:t>
      </w:r>
      <w:r>
        <w:rPr>
          <w:rFonts w:ascii="宋体" w:hAnsi="宋体" w:cs="宋体"/>
          <w:sz w:val="24"/>
        </w:rPr>
        <w:t>或</w:t>
      </w:r>
      <w:r>
        <w:rPr>
          <w:rFonts w:hint="eastAsia" w:ascii="宋体" w:hAnsi="宋体" w:cs="宋体"/>
          <w:sz w:val="24"/>
        </w:rPr>
        <w:t>在“信用中国”网站（</w:t>
      </w:r>
      <w:r>
        <w:fldChar w:fldCharType="begin"/>
      </w:r>
      <w:r>
        <w:instrText xml:space="preserve"> HYPERLINK "http://www.creditchina.gov.cn" </w:instrText>
      </w:r>
      <w:r>
        <w:fldChar w:fldCharType="separate"/>
      </w:r>
      <w:r>
        <w:rPr>
          <w:rFonts w:hint="eastAsia" w:ascii="宋体" w:hAnsi="宋体" w:cs="宋体"/>
        </w:rPr>
        <w:t>www.creditchina.gov.cn</w:t>
      </w:r>
      <w:r>
        <w:rPr>
          <w:rFonts w:hint="eastAsia" w:ascii="宋体" w:hAnsi="宋体" w:cs="宋体"/>
        </w:rPr>
        <w:fldChar w:fldCharType="end"/>
      </w:r>
      <w:r>
        <w:rPr>
          <w:rFonts w:hint="eastAsia" w:ascii="宋体" w:hAnsi="宋体" w:cs="宋体"/>
          <w:sz w:val="24"/>
        </w:rPr>
        <w:t>）被列入失信被执行人、重大税收违法案件当事人名单的</w:t>
      </w:r>
      <w:r>
        <w:rPr>
          <w:rFonts w:hint="eastAsia" w:ascii="宋体" w:hAnsi="宋体"/>
          <w:sz w:val="24"/>
        </w:rPr>
        <w:t>，其响应将被拒绝</w:t>
      </w:r>
      <w:r>
        <w:rPr>
          <w:rFonts w:hint="eastAsia" w:ascii="宋体" w:hAnsi="宋体" w:cs="宋体"/>
          <w:sz w:val="24"/>
        </w:rPr>
        <w:t>。</w:t>
      </w:r>
    </w:p>
    <w:p>
      <w:pPr>
        <w:spacing w:line="560" w:lineRule="exact"/>
        <w:ind w:firstLine="480" w:firstLineChars="200"/>
        <w:jc w:val="left"/>
        <w:rPr>
          <w:rFonts w:ascii="宋体" w:hAnsi="宋体" w:cs="宋体"/>
          <w:sz w:val="24"/>
        </w:rPr>
      </w:pPr>
      <w:r>
        <w:rPr>
          <w:rFonts w:hint="eastAsia" w:ascii="宋体" w:hAnsi="宋体" w:cs="宋体"/>
          <w:sz w:val="24"/>
        </w:rPr>
        <w:t>以联合体形式进行响应的，联合体任何成员存在以上不良信用记录的，联合体其响应将被</w:t>
      </w:r>
      <w:r>
        <w:rPr>
          <w:rFonts w:hint="eastAsia" w:ascii="宋体" w:hAnsi="宋体"/>
          <w:sz w:val="24"/>
        </w:rPr>
        <w:t>拒绝</w:t>
      </w:r>
      <w:r>
        <w:rPr>
          <w:rFonts w:hint="eastAsia" w:ascii="宋体" w:hAnsi="宋体" w:cs="宋体"/>
          <w:sz w:val="24"/>
        </w:rPr>
        <w:t>。</w:t>
      </w:r>
    </w:p>
    <w:p>
      <w:pPr>
        <w:spacing w:line="560" w:lineRule="exact"/>
        <w:ind w:firstLine="480" w:firstLineChars="200"/>
        <w:jc w:val="left"/>
        <w:rPr>
          <w:rFonts w:hAnsi="宋体" w:cs="宋体"/>
        </w:rPr>
      </w:pPr>
      <w:r>
        <w:rPr>
          <w:rFonts w:hint="eastAsia" w:cs="宋体" w:asciiTheme="minorEastAsia" w:hAnsiTheme="minorEastAsia"/>
          <w:sz w:val="24"/>
        </w:rPr>
        <w:t>采购人或采购代理机构将信用记录查询情况签字并存档备查。供应商信用记录情况以采购人或采购代理机构查询结果为准。供应商自行提供的与网站信息不一致的其他证明材料亦不作为资格审查的依据。</w:t>
      </w:r>
    </w:p>
    <w:p>
      <w:pPr>
        <w:pStyle w:val="8"/>
        <w:spacing w:line="560" w:lineRule="exact"/>
        <w:ind w:firstLine="480" w:firstLineChars="200"/>
        <w:rPr>
          <w:rFonts w:hAnsi="宋体" w:cs="宋体"/>
        </w:rPr>
      </w:pPr>
      <w:r>
        <w:rPr>
          <w:rFonts w:hint="eastAsia" w:hAnsi="宋体" w:cs="宋体"/>
        </w:rPr>
        <w:t>在本竞争性谈判文件规定的查询时间之后，网站信息发生的任何变更均不再作为谈判依据。</w:t>
      </w:r>
    </w:p>
    <w:p>
      <w:pPr>
        <w:pStyle w:val="5"/>
        <w:spacing w:before="0" w:after="0" w:line="560" w:lineRule="exact"/>
        <w:rPr>
          <w:rFonts w:hAnsi="宋体" w:cs="宋体"/>
          <w:b w:val="0"/>
          <w:bCs/>
          <w:szCs w:val="24"/>
          <w:bdr w:val="single" w:color="auto" w:sz="4" w:space="0"/>
        </w:rPr>
      </w:pPr>
      <w:bookmarkStart w:id="240" w:name="_Toc8623"/>
      <w:r>
        <w:rPr>
          <w:rFonts w:hint="eastAsia" w:hAnsi="宋体" w:cs="宋体"/>
          <w:szCs w:val="24"/>
          <w:u w:val="none"/>
        </w:rPr>
        <w:t>21.响应文件</w:t>
      </w:r>
      <w:bookmarkEnd w:id="236"/>
      <w:r>
        <w:rPr>
          <w:rFonts w:hint="eastAsia" w:hAnsi="宋体" w:cs="宋体"/>
          <w:szCs w:val="24"/>
          <w:u w:val="none"/>
        </w:rPr>
        <w:t>符合性审查与澄清</w:t>
      </w:r>
      <w:bookmarkEnd w:id="237"/>
      <w:bookmarkEnd w:id="238"/>
      <w:bookmarkEnd w:id="239"/>
      <w:bookmarkEnd w:id="240"/>
    </w:p>
    <w:p>
      <w:pPr>
        <w:spacing w:line="560" w:lineRule="exact"/>
        <w:ind w:firstLine="480" w:firstLineChars="200"/>
        <w:jc w:val="left"/>
        <w:rPr>
          <w:rFonts w:ascii="宋体" w:hAnsi="宋体" w:cs="宋体"/>
          <w:sz w:val="24"/>
        </w:rPr>
      </w:pPr>
      <w:r>
        <w:rPr>
          <w:rFonts w:hint="eastAsia" w:ascii="宋体" w:hAnsi="宋体" w:cs="宋体"/>
          <w:sz w:val="24"/>
        </w:rPr>
        <w:t>21.1符合性审查是指依据竞争性谈判文件的规定，从响应文件的有效性、完整性和响应程度进行审查，以确定是否对竞争性谈判文件的实质性要求做出响应。</w:t>
      </w:r>
      <w:bookmarkStart w:id="241" w:name="_Hlt522424701"/>
      <w:bookmarkEnd w:id="241"/>
      <w:bookmarkStart w:id="242" w:name="_Toc520356167"/>
    </w:p>
    <w:p>
      <w:pPr>
        <w:spacing w:line="560" w:lineRule="exact"/>
        <w:ind w:firstLine="480" w:firstLineChars="200"/>
        <w:jc w:val="left"/>
        <w:rPr>
          <w:rFonts w:ascii="宋体" w:hAnsi="宋体" w:cs="宋体"/>
          <w:sz w:val="24"/>
        </w:rPr>
      </w:pPr>
      <w:r>
        <w:rPr>
          <w:rFonts w:hint="eastAsia" w:ascii="宋体" w:hAnsi="宋体" w:cs="宋体"/>
          <w:sz w:val="24"/>
        </w:rPr>
        <w:t>21.2经谈判小组集体审核通过，对于不符合条件的供应商要说明其不符合要求的原因，由其</w:t>
      </w:r>
      <w:r>
        <w:rPr>
          <w:rFonts w:hint="eastAsia" w:ascii="宋体" w:hAnsi="宋体"/>
          <w:sz w:val="24"/>
        </w:rPr>
        <w:t>法定代表人（</w:t>
      </w:r>
      <w:r>
        <w:rPr>
          <w:rFonts w:hint="eastAsia" w:ascii="宋体" w:hAnsi="宋体" w:cs="宋体"/>
          <w:sz w:val="24"/>
        </w:rPr>
        <w:t>非法人组织的负责人</w:t>
      </w:r>
      <w:r>
        <w:rPr>
          <w:rFonts w:hint="eastAsia" w:ascii="宋体" w:hAnsi="宋体"/>
          <w:sz w:val="24"/>
        </w:rPr>
        <w:t>）或其授权代表签章</w:t>
      </w:r>
      <w:r>
        <w:rPr>
          <w:rFonts w:hint="eastAsia" w:ascii="宋体" w:hAnsi="宋体" w:cs="宋体"/>
          <w:sz w:val="24"/>
        </w:rPr>
        <w:t>，供应商代表拒不签字的，并不影响谈判小组所做出的结论。</w:t>
      </w:r>
    </w:p>
    <w:p>
      <w:pPr>
        <w:spacing w:line="560" w:lineRule="exact"/>
        <w:ind w:firstLine="480" w:firstLineChars="200"/>
        <w:jc w:val="left"/>
        <w:rPr>
          <w:rFonts w:ascii="宋体" w:hAnsi="宋体" w:cs="宋体"/>
          <w:sz w:val="24"/>
        </w:rPr>
      </w:pPr>
      <w:r>
        <w:rPr>
          <w:rFonts w:hint="eastAsia" w:ascii="宋体" w:hAnsi="宋体" w:cs="宋体"/>
          <w:sz w:val="24"/>
        </w:rPr>
        <w:t>21.3响应文件的澄清</w:t>
      </w:r>
    </w:p>
    <w:p>
      <w:pPr>
        <w:spacing w:line="560" w:lineRule="exact"/>
        <w:ind w:firstLine="480" w:firstLineChars="200"/>
        <w:jc w:val="left"/>
        <w:rPr>
          <w:rFonts w:ascii="宋体" w:hAnsi="宋体" w:cs="宋体"/>
          <w:sz w:val="24"/>
        </w:rPr>
      </w:pPr>
      <w:r>
        <w:rPr>
          <w:rFonts w:hint="eastAsia" w:ascii="宋体" w:hAnsi="宋体" w:cs="宋体"/>
          <w:sz w:val="24"/>
        </w:rPr>
        <w:t>21.3.1在谈判期间，谈判小组将</w:t>
      </w:r>
      <w:r>
        <w:rPr>
          <w:rFonts w:hint="eastAsia" w:ascii="宋体" w:hAnsi="宋体"/>
          <w:sz w:val="24"/>
        </w:rPr>
        <w:t>通过网上开评标系统</w:t>
      </w:r>
      <w:r>
        <w:rPr>
          <w:rFonts w:hint="eastAsia" w:ascii="宋体" w:hAnsi="宋体" w:cs="宋体"/>
          <w:sz w:val="24"/>
        </w:rPr>
        <w:t>要求供应商对其响应文件中含义不明确、对同类问题表述不一致或者有明显文字和计算错误的内容，以及谈判小组认为供应商的报价明显低于其他通过符合性审查供应商的报价，有可能影响履约的情况作必要的澄清、说明或补正。供应商的澄清、说明或补正应在谈判小组规定的时间内</w:t>
      </w:r>
      <w:r>
        <w:rPr>
          <w:rFonts w:hint="eastAsia" w:ascii="宋体" w:hAnsi="宋体"/>
          <w:sz w:val="24"/>
        </w:rPr>
        <w:t>通过网上开评标系统</w:t>
      </w:r>
      <w:r>
        <w:rPr>
          <w:rFonts w:hint="eastAsia" w:ascii="宋体" w:hAnsi="宋体" w:cs="宋体"/>
          <w:sz w:val="24"/>
        </w:rPr>
        <w:t>进行，并不得超出响应文件范围或者改变响应文件的实质性内容。</w:t>
      </w:r>
    </w:p>
    <w:p>
      <w:pPr>
        <w:spacing w:line="560" w:lineRule="exact"/>
        <w:ind w:firstLine="480" w:firstLineChars="200"/>
        <w:jc w:val="left"/>
        <w:rPr>
          <w:rFonts w:ascii="宋体" w:hAnsi="宋体" w:cs="宋体"/>
          <w:sz w:val="24"/>
        </w:rPr>
      </w:pPr>
      <w:r>
        <w:rPr>
          <w:rFonts w:hint="eastAsia" w:ascii="宋体" w:hAnsi="宋体" w:cs="宋体"/>
          <w:sz w:val="24"/>
        </w:rPr>
        <w:t>21.3.2供应商的澄清、说明或补正将作为响应文件的一部分。</w:t>
      </w:r>
    </w:p>
    <w:p>
      <w:pPr>
        <w:spacing w:line="560" w:lineRule="exact"/>
        <w:ind w:firstLine="480" w:firstLineChars="200"/>
        <w:jc w:val="left"/>
        <w:rPr>
          <w:rFonts w:ascii="宋体" w:hAnsi="宋体" w:cs="宋体"/>
          <w:sz w:val="24"/>
        </w:rPr>
      </w:pPr>
      <w:r>
        <w:rPr>
          <w:rFonts w:hint="eastAsia" w:ascii="宋体" w:hAnsi="宋体" w:cs="宋体"/>
          <w:sz w:val="24"/>
        </w:rPr>
        <w:t>21.3.3谈判小组要求供应商澄清、说明或者更正响应文件应当以书面形式作出。供应商的澄清、说明或者更正应当加盖供应商公章及法定代表人（非法人组织的负责人）或其授权代表签章。由授权代表签字的，应当附法定代表人授权书。供应商为自然人的，应当由本人签字并附身份证明。否则，谈判小组有权不予认可。</w:t>
      </w:r>
    </w:p>
    <w:p>
      <w:pPr>
        <w:spacing w:line="560" w:lineRule="exact"/>
        <w:ind w:firstLine="480" w:firstLineChars="200"/>
        <w:jc w:val="left"/>
        <w:rPr>
          <w:rFonts w:ascii="宋体" w:hAnsi="宋体" w:cs="宋体"/>
          <w:sz w:val="24"/>
        </w:rPr>
      </w:pPr>
      <w:r>
        <w:rPr>
          <w:rFonts w:hint="eastAsia" w:ascii="宋体" w:hAnsi="宋体" w:cs="宋体"/>
          <w:sz w:val="24"/>
        </w:rPr>
        <w:t>21.4供应商所报产品如被列入财政部与国家主管部门颁发的节能产品目录或环境标志产品目录，应提供符合要求的产品认证证书，在谈判时予以优先采购，具体优先采购办法见第五章评审方法和标准。</w:t>
      </w:r>
    </w:p>
    <w:p>
      <w:pPr>
        <w:spacing w:line="560" w:lineRule="exact"/>
        <w:ind w:firstLine="480" w:firstLineChars="200"/>
        <w:jc w:val="left"/>
        <w:rPr>
          <w:rFonts w:ascii="宋体" w:hAnsi="宋体" w:cs="宋体"/>
          <w:sz w:val="24"/>
        </w:rPr>
      </w:pPr>
      <w:r>
        <w:rPr>
          <w:rFonts w:hint="eastAsia" w:ascii="宋体" w:hAnsi="宋体" w:cs="宋体"/>
          <w:sz w:val="24"/>
        </w:rPr>
        <w:t>如采购人所采购产品为政府强制采购的节能产品，供应商应提供符合要求的产品认证证明材料，否则其响应文件将被认定为无效。</w:t>
      </w:r>
    </w:p>
    <w:p>
      <w:pPr>
        <w:spacing w:line="560" w:lineRule="exact"/>
        <w:ind w:firstLine="480" w:firstLineChars="200"/>
        <w:jc w:val="left"/>
        <w:rPr>
          <w:rFonts w:ascii="宋体" w:hAnsi="宋体" w:cs="宋体"/>
          <w:sz w:val="24"/>
        </w:rPr>
      </w:pPr>
      <w:r>
        <w:rPr>
          <w:rFonts w:hint="eastAsia" w:ascii="宋体" w:hAnsi="宋体" w:cs="宋体"/>
          <w:sz w:val="24"/>
        </w:rPr>
        <w:t>21.5已提交响应文件的供应商，在提交最后报价之前，可以根据谈判情况退出谈判。</w:t>
      </w:r>
    </w:p>
    <w:p>
      <w:pPr>
        <w:spacing w:line="560" w:lineRule="exact"/>
        <w:ind w:firstLine="480" w:firstLineChars="200"/>
        <w:jc w:val="left"/>
        <w:rPr>
          <w:rFonts w:ascii="宋体" w:hAnsi="宋体" w:cs="宋体"/>
          <w:sz w:val="24"/>
        </w:rPr>
      </w:pPr>
      <w:r>
        <w:rPr>
          <w:rFonts w:hint="eastAsia" w:ascii="宋体" w:hAnsi="宋体" w:cs="宋体"/>
          <w:sz w:val="24"/>
        </w:rPr>
        <w:t>21.6谈判小组可以接受响应文件中不构成实质性偏离的不正规或不一致。</w:t>
      </w:r>
    </w:p>
    <w:p>
      <w:pPr>
        <w:pStyle w:val="5"/>
        <w:spacing w:before="0" w:after="0" w:line="560" w:lineRule="exact"/>
        <w:rPr>
          <w:rFonts w:hAnsi="宋体" w:cs="宋体"/>
          <w:szCs w:val="24"/>
          <w:u w:val="none"/>
        </w:rPr>
      </w:pPr>
      <w:bookmarkStart w:id="243" w:name="_Toc515647783"/>
      <w:bookmarkStart w:id="244" w:name="_Toc6092"/>
      <w:bookmarkStart w:id="245" w:name="_Toc4950"/>
      <w:bookmarkStart w:id="246" w:name="_Toc24804"/>
      <w:r>
        <w:rPr>
          <w:rFonts w:hint="eastAsia" w:hAnsi="宋体" w:cs="宋体"/>
          <w:szCs w:val="24"/>
          <w:u w:val="none"/>
        </w:rPr>
        <w:t>22.</w:t>
      </w:r>
      <w:bookmarkEnd w:id="243"/>
      <w:r>
        <w:rPr>
          <w:rFonts w:hint="eastAsia" w:hAnsi="宋体" w:cs="宋体"/>
          <w:szCs w:val="24"/>
          <w:u w:val="none"/>
        </w:rPr>
        <w:t>无效</w:t>
      </w:r>
      <w:bookmarkEnd w:id="244"/>
      <w:bookmarkEnd w:id="245"/>
      <w:r>
        <w:rPr>
          <w:rFonts w:hint="eastAsia" w:hAnsi="宋体" w:cs="宋体"/>
          <w:szCs w:val="24"/>
          <w:u w:val="none"/>
        </w:rPr>
        <w:t>响应</w:t>
      </w:r>
      <w:bookmarkEnd w:id="246"/>
    </w:p>
    <w:p>
      <w:pPr>
        <w:spacing w:line="560" w:lineRule="exact"/>
        <w:ind w:firstLine="480" w:firstLineChars="200"/>
        <w:jc w:val="left"/>
        <w:rPr>
          <w:rFonts w:ascii="宋体" w:hAnsi="宋体" w:cs="宋体"/>
          <w:sz w:val="24"/>
        </w:rPr>
      </w:pPr>
      <w:r>
        <w:rPr>
          <w:rFonts w:hint="eastAsia" w:ascii="宋体" w:hAnsi="宋体" w:cs="宋体"/>
          <w:sz w:val="24"/>
        </w:rPr>
        <w:t>22.1在比较与评价之前，根据本须知的规定，谈判小组要审查每份响应文件是否实质上响应了竞争性谈判文件的要求，未实质性响应竞争性谈判文件的响应文件按无效响应处理。</w:t>
      </w:r>
    </w:p>
    <w:p>
      <w:pPr>
        <w:spacing w:line="560" w:lineRule="exact"/>
        <w:ind w:firstLine="480" w:firstLineChars="200"/>
        <w:jc w:val="left"/>
        <w:rPr>
          <w:rFonts w:ascii="宋体" w:hAnsi="宋体" w:cs="宋体"/>
          <w:sz w:val="24"/>
        </w:rPr>
      </w:pPr>
      <w:r>
        <w:rPr>
          <w:rFonts w:hint="eastAsia" w:ascii="宋体" w:hAnsi="宋体" w:cs="宋体"/>
          <w:sz w:val="24"/>
        </w:rPr>
        <w:t>22.2如发现下列情况之一的，其响应将被认定为</w:t>
      </w:r>
      <w:r>
        <w:rPr>
          <w:rFonts w:hint="eastAsia" w:ascii="宋体" w:hAnsi="宋体" w:cs="宋体"/>
          <w:bCs/>
          <w:sz w:val="24"/>
        </w:rPr>
        <w:t>无效响应</w:t>
      </w:r>
      <w:r>
        <w:rPr>
          <w:rFonts w:hint="eastAsia" w:ascii="宋体" w:hAnsi="宋体" w:cs="宋体"/>
          <w:sz w:val="24"/>
        </w:rPr>
        <w:t>：</w:t>
      </w:r>
    </w:p>
    <w:p>
      <w:pPr>
        <w:spacing w:line="560" w:lineRule="exact"/>
        <w:ind w:left="420" w:leftChars="200"/>
        <w:jc w:val="left"/>
        <w:rPr>
          <w:rFonts w:ascii="宋体" w:hAnsi="宋体" w:cs="宋体"/>
          <w:sz w:val="24"/>
        </w:rPr>
      </w:pPr>
      <w:r>
        <w:rPr>
          <w:rFonts w:hint="eastAsia" w:ascii="宋体" w:hAnsi="宋体" w:cs="宋体"/>
          <w:sz w:val="24"/>
        </w:rPr>
        <w:t>（1）</w:t>
      </w:r>
      <w:r>
        <w:rPr>
          <w:rFonts w:hint="eastAsia" w:cs="宋体"/>
          <w:sz w:val="24"/>
        </w:rPr>
        <w:t>不具备《中华人民共和国政府采购法》第二十二条规定条件；</w:t>
      </w:r>
    </w:p>
    <w:p>
      <w:pPr>
        <w:spacing w:line="560" w:lineRule="exact"/>
        <w:ind w:left="420" w:leftChars="200"/>
        <w:jc w:val="left"/>
        <w:rPr>
          <w:rFonts w:ascii="宋体" w:hAnsi="宋体" w:cs="宋体"/>
          <w:sz w:val="24"/>
        </w:rPr>
      </w:pPr>
      <w:r>
        <w:rPr>
          <w:rFonts w:hint="eastAsia" w:ascii="宋体" w:hAnsi="宋体" w:cs="宋体"/>
          <w:sz w:val="24"/>
        </w:rPr>
        <w:t>（2）未按照竞争性谈判文件规定要求签署、盖章的；</w:t>
      </w:r>
    </w:p>
    <w:p>
      <w:pPr>
        <w:spacing w:line="560" w:lineRule="exact"/>
        <w:ind w:firstLine="480" w:firstLineChars="200"/>
        <w:jc w:val="left"/>
        <w:rPr>
          <w:rFonts w:ascii="宋体" w:hAnsi="宋体" w:cs="宋体"/>
          <w:sz w:val="24"/>
        </w:rPr>
      </w:pPr>
      <w:r>
        <w:rPr>
          <w:rFonts w:hint="eastAsia" w:ascii="宋体" w:hAnsi="宋体" w:cs="宋体"/>
          <w:sz w:val="24"/>
        </w:rPr>
        <w:t>（3）</w:t>
      </w:r>
      <w:r>
        <w:rPr>
          <w:rFonts w:hint="eastAsia" w:ascii="宋体" w:hAnsi="宋体"/>
          <w:sz w:val="24"/>
        </w:rPr>
        <w:t>响应分项报价表未按要求填写；</w:t>
      </w:r>
    </w:p>
    <w:p>
      <w:pPr>
        <w:spacing w:line="560" w:lineRule="exact"/>
        <w:ind w:firstLine="480" w:firstLineChars="200"/>
        <w:jc w:val="left"/>
        <w:rPr>
          <w:rFonts w:ascii="宋体" w:hAnsi="宋体" w:cs="宋体"/>
          <w:sz w:val="24"/>
        </w:rPr>
      </w:pPr>
      <w:r>
        <w:rPr>
          <w:rFonts w:hint="eastAsia" w:ascii="宋体" w:hAnsi="宋体" w:cs="宋体"/>
          <w:sz w:val="24"/>
        </w:rPr>
        <w:t>（4）未满足竞争性谈判文件商务和技术条款的实质性要求的；</w:t>
      </w:r>
    </w:p>
    <w:p>
      <w:pPr>
        <w:spacing w:line="560" w:lineRule="exact"/>
        <w:ind w:firstLine="480" w:firstLineChars="200"/>
        <w:jc w:val="left"/>
        <w:rPr>
          <w:rFonts w:ascii="宋体" w:hAnsi="宋体" w:cs="宋体"/>
          <w:sz w:val="24"/>
        </w:rPr>
      </w:pPr>
      <w:r>
        <w:rPr>
          <w:rFonts w:hint="eastAsia" w:ascii="宋体" w:hAnsi="宋体" w:cs="宋体"/>
          <w:sz w:val="24"/>
        </w:rPr>
        <w:t>（5）违反竞争性谈判文件规定提供进口产品的；</w:t>
      </w:r>
    </w:p>
    <w:p>
      <w:pPr>
        <w:spacing w:line="560" w:lineRule="exact"/>
        <w:ind w:firstLine="480" w:firstLineChars="200"/>
        <w:jc w:val="left"/>
        <w:rPr>
          <w:rFonts w:ascii="宋体" w:hAnsi="宋体" w:cs="宋体"/>
          <w:sz w:val="24"/>
        </w:rPr>
      </w:pPr>
      <w:r>
        <w:rPr>
          <w:rFonts w:hint="eastAsia" w:ascii="宋体" w:hAnsi="宋体" w:cs="宋体"/>
          <w:sz w:val="24"/>
        </w:rPr>
        <w:t>（6）未按竞争性谈判文件规定提供政府强制采购节能产品的认证证明材料的；</w:t>
      </w:r>
    </w:p>
    <w:p>
      <w:pPr>
        <w:spacing w:line="560" w:lineRule="exact"/>
        <w:ind w:firstLine="480" w:firstLineChars="200"/>
        <w:jc w:val="left"/>
        <w:rPr>
          <w:rFonts w:ascii="宋体" w:hAnsi="宋体" w:cs="宋体"/>
          <w:sz w:val="24"/>
        </w:rPr>
      </w:pPr>
      <w:r>
        <w:rPr>
          <w:rFonts w:hint="eastAsia" w:ascii="宋体" w:hAnsi="宋体" w:cs="宋体"/>
          <w:sz w:val="24"/>
        </w:rPr>
        <w:t>（7）报价超过项目预算或最高限价的</w:t>
      </w:r>
      <w:r>
        <w:rPr>
          <w:rFonts w:hint="eastAsia" w:ascii="宋体" w:hAnsi="宋体"/>
          <w:sz w:val="24"/>
        </w:rPr>
        <w:t>、拒绝报价、报价不确定、无报价或</w:t>
      </w:r>
      <w:r>
        <w:rPr>
          <w:rFonts w:hint="eastAsia" w:cs="宋体"/>
          <w:sz w:val="24"/>
          <w:lang w:val="zh-CN"/>
        </w:rPr>
        <w:t>未按采购文件要求报价的、缺项漏项的</w:t>
      </w:r>
      <w:r>
        <w:rPr>
          <w:rFonts w:hint="eastAsia" w:ascii="宋体" w:hAnsi="宋体" w:cs="宋体"/>
          <w:sz w:val="24"/>
        </w:rPr>
        <w:t>；</w:t>
      </w:r>
    </w:p>
    <w:p>
      <w:pPr>
        <w:spacing w:line="560" w:lineRule="exact"/>
        <w:ind w:firstLine="480" w:firstLineChars="200"/>
        <w:jc w:val="left"/>
        <w:rPr>
          <w:rFonts w:ascii="宋体" w:hAnsi="宋体" w:cs="宋体"/>
          <w:sz w:val="24"/>
        </w:rPr>
      </w:pPr>
      <w:r>
        <w:rPr>
          <w:rFonts w:hint="eastAsia" w:ascii="宋体" w:hAnsi="宋体" w:cs="宋体"/>
          <w:sz w:val="24"/>
        </w:rPr>
        <w:t>（8）响应有效期不足的；</w:t>
      </w:r>
    </w:p>
    <w:p>
      <w:pPr>
        <w:spacing w:line="560" w:lineRule="exact"/>
        <w:ind w:firstLine="480" w:firstLineChars="200"/>
        <w:jc w:val="left"/>
        <w:rPr>
          <w:rFonts w:ascii="宋体" w:hAnsi="宋体" w:cs="宋体"/>
          <w:sz w:val="24"/>
        </w:rPr>
      </w:pPr>
      <w:r>
        <w:rPr>
          <w:rFonts w:hint="eastAsia" w:ascii="宋体" w:hAnsi="宋体" w:cs="宋体"/>
          <w:sz w:val="24"/>
        </w:rPr>
        <w:t>（9）联合体响应文件未附联合体响应协议书的；</w:t>
      </w:r>
    </w:p>
    <w:p>
      <w:pPr>
        <w:spacing w:line="560" w:lineRule="exact"/>
        <w:ind w:firstLine="480" w:firstLineChars="200"/>
        <w:jc w:val="left"/>
        <w:rPr>
          <w:rFonts w:ascii="宋体" w:hAnsi="宋体" w:cs="宋体"/>
          <w:sz w:val="24"/>
        </w:rPr>
      </w:pPr>
      <w:r>
        <w:rPr>
          <w:rFonts w:hint="eastAsia" w:ascii="宋体" w:hAnsi="宋体" w:cs="宋体"/>
          <w:sz w:val="24"/>
        </w:rPr>
        <w:t>（10）不符合竞争性谈判文件中有关分包规定的；</w:t>
      </w:r>
    </w:p>
    <w:p>
      <w:pPr>
        <w:spacing w:line="560" w:lineRule="exact"/>
        <w:ind w:firstLine="480" w:firstLineChars="200"/>
        <w:jc w:val="left"/>
        <w:rPr>
          <w:rFonts w:ascii="宋体" w:hAnsi="宋体" w:cs="宋体"/>
          <w:sz w:val="24"/>
        </w:rPr>
      </w:pPr>
      <w:r>
        <w:rPr>
          <w:rFonts w:hint="eastAsia" w:ascii="宋体" w:hAnsi="宋体" w:cs="宋体"/>
          <w:sz w:val="24"/>
        </w:rPr>
        <w:t>（11）属于串通响应，或者依法被视为串通响应；</w:t>
      </w:r>
    </w:p>
    <w:p>
      <w:pPr>
        <w:spacing w:line="560" w:lineRule="exact"/>
        <w:ind w:firstLine="480" w:firstLineChars="200"/>
        <w:jc w:val="left"/>
        <w:rPr>
          <w:rFonts w:ascii="宋体" w:hAnsi="宋体" w:cs="宋体"/>
          <w:sz w:val="24"/>
        </w:rPr>
      </w:pPr>
      <w:r>
        <w:rPr>
          <w:rFonts w:hint="eastAsia" w:ascii="宋体" w:hAnsi="宋体" w:cs="宋体"/>
          <w:sz w:val="24"/>
        </w:rPr>
        <w:t>（12）</w:t>
      </w:r>
      <w:r>
        <w:rPr>
          <w:rFonts w:hint="eastAsia" w:ascii="宋体" w:hAnsi="宋体"/>
          <w:sz w:val="24"/>
        </w:rPr>
        <w:t>谈判小组认为供应商的报价明显低于其他通过符合性审查供应商的报价</w:t>
      </w:r>
      <w:r>
        <w:rPr>
          <w:rFonts w:hint="eastAsia" w:ascii="宋体" w:hAnsi="宋体" w:cs="宋体"/>
          <w:sz w:val="24"/>
        </w:rPr>
        <w:t>，有可能影响服务质量或者不能诚信履约的，要求供应商在</w:t>
      </w:r>
      <w:r>
        <w:rPr>
          <w:rFonts w:hint="eastAsia" w:ascii="宋体" w:hAnsi="宋体"/>
          <w:sz w:val="24"/>
        </w:rPr>
        <w:t>谈判小组</w:t>
      </w:r>
      <w:r>
        <w:rPr>
          <w:rFonts w:hint="eastAsia" w:ascii="宋体" w:hAnsi="宋体" w:cs="宋体"/>
          <w:sz w:val="24"/>
        </w:rPr>
        <w:t>规定的时间内提供书面说明，但该供应商未提交相关证明材料以证明其报价合理性的；</w:t>
      </w:r>
    </w:p>
    <w:p>
      <w:pPr>
        <w:spacing w:line="560" w:lineRule="exact"/>
        <w:ind w:firstLine="480" w:firstLineChars="200"/>
        <w:jc w:val="left"/>
        <w:rPr>
          <w:rFonts w:ascii="宋体" w:hAnsi="宋体"/>
          <w:sz w:val="24"/>
        </w:rPr>
      </w:pPr>
      <w:r>
        <w:rPr>
          <w:rFonts w:hint="eastAsia" w:ascii="宋体" w:hAnsi="宋体" w:cs="宋体"/>
          <w:sz w:val="24"/>
        </w:rPr>
        <w:t>（13）响应文件含有采购人不能接受的附加条件的</w:t>
      </w:r>
      <w:r>
        <w:rPr>
          <w:rFonts w:hint="eastAsia" w:ascii="宋体" w:hAnsi="宋体"/>
          <w:sz w:val="24"/>
        </w:rPr>
        <w:t>；</w:t>
      </w:r>
    </w:p>
    <w:p>
      <w:pPr>
        <w:spacing w:line="560" w:lineRule="exact"/>
        <w:ind w:firstLine="480" w:firstLineChars="200"/>
        <w:jc w:val="left"/>
        <w:rPr>
          <w:rFonts w:ascii="宋体" w:hAnsi="宋体"/>
          <w:sz w:val="24"/>
        </w:rPr>
      </w:pPr>
      <w:r>
        <w:rPr>
          <w:rFonts w:hint="eastAsia" w:ascii="宋体" w:hAnsi="宋体"/>
          <w:sz w:val="24"/>
        </w:rPr>
        <w:t>（14）不具备竞争性谈判文件中规定的资格要求的；</w:t>
      </w:r>
    </w:p>
    <w:p>
      <w:pPr>
        <w:spacing w:line="560" w:lineRule="exact"/>
        <w:ind w:firstLine="480" w:firstLineChars="200"/>
        <w:jc w:val="left"/>
        <w:rPr>
          <w:rFonts w:ascii="宋体" w:hAnsi="宋体" w:cs="宋体"/>
          <w:sz w:val="24"/>
        </w:rPr>
      </w:pPr>
      <w:r>
        <w:rPr>
          <w:rFonts w:hint="eastAsia" w:ascii="宋体" w:hAnsi="宋体"/>
          <w:sz w:val="24"/>
        </w:rPr>
        <w:t>（15）</w:t>
      </w:r>
      <w:r>
        <w:rPr>
          <w:rFonts w:hint="eastAsia" w:ascii="宋体" w:hAnsi="宋体" w:cs="宋体"/>
          <w:sz w:val="24"/>
        </w:rPr>
        <w:t>响应文件未完全满足</w:t>
      </w:r>
      <w:r>
        <w:rPr>
          <w:rFonts w:hint="eastAsia" w:ascii="宋体" w:hAnsi="宋体"/>
          <w:sz w:val="24"/>
        </w:rPr>
        <w:t>竞争性谈判文件</w:t>
      </w:r>
      <w:r>
        <w:rPr>
          <w:rFonts w:hint="eastAsia" w:ascii="宋体" w:hAnsi="宋体" w:cs="宋体"/>
          <w:sz w:val="24"/>
        </w:rPr>
        <w:t>中带有“★”号的条款或指标，或超过</w:t>
      </w:r>
      <w:r>
        <w:rPr>
          <w:rFonts w:hint="eastAsia" w:ascii="宋体" w:hAnsi="宋体"/>
          <w:sz w:val="24"/>
        </w:rPr>
        <w:t>竞争性谈判文件</w:t>
      </w:r>
      <w:r>
        <w:rPr>
          <w:rFonts w:hint="eastAsia" w:ascii="宋体" w:hAnsi="宋体" w:cs="宋体"/>
          <w:sz w:val="24"/>
        </w:rPr>
        <w:t>规定的允许出现偏差的最大范围、幅度和最高项数；</w:t>
      </w:r>
    </w:p>
    <w:p>
      <w:pPr>
        <w:spacing w:line="560" w:lineRule="exact"/>
        <w:ind w:firstLine="480" w:firstLineChars="200"/>
        <w:jc w:val="left"/>
        <w:rPr>
          <w:rFonts w:ascii="宋体" w:hAnsi="宋体" w:cs="宋体"/>
          <w:sz w:val="24"/>
        </w:rPr>
      </w:pPr>
      <w:r>
        <w:rPr>
          <w:rFonts w:hint="eastAsia" w:ascii="宋体" w:hAnsi="宋体" w:cs="宋体"/>
          <w:sz w:val="24"/>
        </w:rPr>
        <w:t>（16）响应文件提供虚假材料；</w:t>
      </w:r>
    </w:p>
    <w:p>
      <w:pPr>
        <w:spacing w:line="560" w:lineRule="exact"/>
        <w:ind w:firstLine="480" w:firstLineChars="200"/>
        <w:jc w:val="left"/>
        <w:rPr>
          <w:rFonts w:ascii="宋体" w:hAnsi="宋体" w:cs="宋体"/>
          <w:sz w:val="24"/>
        </w:rPr>
      </w:pPr>
      <w:r>
        <w:rPr>
          <w:rFonts w:hint="eastAsia" w:ascii="宋体" w:hAnsi="宋体" w:cs="宋体"/>
          <w:sz w:val="24"/>
        </w:rPr>
        <w:t>（17）对采购人、采购代理机构、谈判小组及其他工作人员施加影响，有碍公平、公正；</w:t>
      </w:r>
    </w:p>
    <w:p>
      <w:pPr>
        <w:spacing w:line="560" w:lineRule="exact"/>
        <w:ind w:firstLine="480" w:firstLineChars="200"/>
        <w:jc w:val="left"/>
        <w:rPr>
          <w:rFonts w:ascii="宋体" w:hAnsi="宋体" w:cs="宋体"/>
          <w:sz w:val="24"/>
        </w:rPr>
      </w:pPr>
      <w:r>
        <w:rPr>
          <w:rFonts w:hint="eastAsia" w:ascii="宋体" w:hAnsi="宋体" w:cs="宋体"/>
          <w:sz w:val="24"/>
        </w:rPr>
        <w:t>（18）供应商递交的电子响应文件均无法满足正常开标、谈判使用功能的；</w:t>
      </w:r>
    </w:p>
    <w:p>
      <w:pPr>
        <w:spacing w:line="560" w:lineRule="exact"/>
        <w:ind w:firstLine="480" w:firstLineChars="200"/>
        <w:jc w:val="left"/>
        <w:rPr>
          <w:rFonts w:ascii="宋体" w:hAnsi="宋体" w:cs="宋体"/>
          <w:sz w:val="24"/>
          <w:lang w:val="zh-CN"/>
        </w:rPr>
      </w:pPr>
      <w:r>
        <w:rPr>
          <w:rFonts w:hint="eastAsia" w:ascii="宋体" w:hAnsi="宋体" w:cs="宋体"/>
          <w:sz w:val="24"/>
        </w:rPr>
        <w:t>（19）</w:t>
      </w:r>
      <w:r>
        <w:rPr>
          <w:rFonts w:hint="eastAsia" w:ascii="宋体" w:hAnsi="宋体" w:cs="宋体"/>
          <w:sz w:val="24"/>
          <w:lang w:val="zh-CN"/>
        </w:rPr>
        <w:t>由于供应商的自身原因，（包括但不限于以下情况：忘记 CA 锁密码、CA 锁过期、上传响应文件后更新 CA 锁），在规定时间内解密不成功的；</w:t>
      </w:r>
    </w:p>
    <w:p>
      <w:pPr>
        <w:spacing w:line="560" w:lineRule="exact"/>
        <w:ind w:firstLine="480" w:firstLineChars="200"/>
        <w:jc w:val="left"/>
        <w:rPr>
          <w:rFonts w:ascii="宋体" w:hAnsi="宋体" w:cs="宋体"/>
          <w:sz w:val="24"/>
          <w:lang w:val="zh-CN"/>
        </w:rPr>
      </w:pPr>
      <w:r>
        <w:rPr>
          <w:rFonts w:hint="eastAsia" w:ascii="宋体" w:hAnsi="宋体" w:cs="宋体"/>
          <w:sz w:val="24"/>
          <w:lang w:val="zh-CN"/>
        </w:rPr>
        <w:t>（</w:t>
      </w:r>
      <w:r>
        <w:rPr>
          <w:rFonts w:hint="eastAsia" w:ascii="宋体" w:hAnsi="宋体" w:cs="宋体"/>
          <w:sz w:val="24"/>
        </w:rPr>
        <w:t>20</w:t>
      </w:r>
      <w:r>
        <w:rPr>
          <w:rFonts w:hint="eastAsia" w:ascii="宋体" w:hAnsi="宋体" w:cs="宋体"/>
          <w:sz w:val="24"/>
          <w:lang w:val="zh-CN"/>
        </w:rPr>
        <w:t>）不同供应商的响应文件存在非正常一致的；</w:t>
      </w:r>
    </w:p>
    <w:p>
      <w:pPr>
        <w:spacing w:line="560" w:lineRule="exact"/>
        <w:ind w:firstLine="480" w:firstLineChars="200"/>
        <w:jc w:val="left"/>
        <w:rPr>
          <w:rFonts w:ascii="宋体" w:hAnsi="宋体" w:cs="宋体"/>
          <w:sz w:val="24"/>
          <w:lang w:val="zh-CN"/>
        </w:rPr>
      </w:pPr>
      <w:r>
        <w:rPr>
          <w:rFonts w:hint="eastAsia" w:ascii="宋体" w:hAnsi="宋体" w:cs="宋体"/>
          <w:sz w:val="24"/>
          <w:lang w:val="zh-CN"/>
        </w:rPr>
        <w:t>（</w:t>
      </w:r>
      <w:r>
        <w:rPr>
          <w:rFonts w:hint="eastAsia" w:ascii="宋体" w:hAnsi="宋体" w:cs="宋体"/>
          <w:sz w:val="24"/>
        </w:rPr>
        <w:t>21</w:t>
      </w:r>
      <w:r>
        <w:rPr>
          <w:rFonts w:hint="eastAsia" w:ascii="宋体" w:hAnsi="宋体" w:cs="宋体"/>
          <w:sz w:val="24"/>
          <w:lang w:val="zh-CN"/>
        </w:rPr>
        <w:t>）不同供应商的响应文件由同一单位或者同一个人编制，电子响应文件的文件制作机器码或者文件创建标识码一致的；</w:t>
      </w:r>
    </w:p>
    <w:p>
      <w:pPr>
        <w:spacing w:line="560" w:lineRule="exact"/>
        <w:ind w:firstLine="480" w:firstLineChars="200"/>
        <w:jc w:val="left"/>
        <w:rPr>
          <w:rFonts w:ascii="宋体" w:hAnsi="宋体" w:cs="宋体"/>
          <w:sz w:val="24"/>
          <w:lang w:val="zh-CN"/>
        </w:rPr>
      </w:pPr>
      <w:r>
        <w:rPr>
          <w:rFonts w:hint="eastAsia" w:ascii="宋体" w:hAnsi="宋体" w:cs="宋体"/>
          <w:sz w:val="24"/>
          <w:lang w:val="zh-CN"/>
        </w:rPr>
        <w:t>（</w:t>
      </w:r>
      <w:r>
        <w:rPr>
          <w:rFonts w:hint="eastAsia" w:ascii="宋体" w:hAnsi="宋体" w:cs="宋体"/>
          <w:sz w:val="24"/>
        </w:rPr>
        <w:t>22</w:t>
      </w:r>
      <w:r>
        <w:rPr>
          <w:rFonts w:hint="eastAsia" w:ascii="宋体" w:hAnsi="宋体" w:cs="宋体"/>
          <w:sz w:val="24"/>
          <w:lang w:val="zh-CN"/>
        </w:rPr>
        <w:t>）上传电子响应文件的IP地址相同，经谈判小组认定否决其响应的。</w:t>
      </w:r>
    </w:p>
    <w:p>
      <w:pPr>
        <w:spacing w:line="560" w:lineRule="exact"/>
        <w:ind w:firstLine="480" w:firstLineChars="200"/>
        <w:jc w:val="left"/>
        <w:rPr>
          <w:rFonts w:ascii="宋体" w:hAnsi="宋体" w:cs="宋体"/>
          <w:sz w:val="24"/>
        </w:rPr>
      </w:pPr>
      <w:r>
        <w:rPr>
          <w:rFonts w:hint="eastAsia" w:ascii="宋体" w:hAnsi="宋体" w:cs="宋体"/>
          <w:sz w:val="24"/>
        </w:rPr>
        <w:t>（23）对竞争性谈判文件</w:t>
      </w:r>
      <w:r>
        <w:rPr>
          <w:rFonts w:hint="eastAsia" w:ascii="宋体" w:hAnsi="宋体"/>
          <w:sz w:val="24"/>
        </w:rPr>
        <w:t>要求的技术要求整体复制粘贴经谈判小组认定与所提供服务不符的</w:t>
      </w:r>
      <w:r>
        <w:rPr>
          <w:rFonts w:hint="eastAsia" w:ascii="宋体" w:hAnsi="宋体" w:cs="宋体"/>
          <w:sz w:val="24"/>
        </w:rPr>
        <w:t>；</w:t>
      </w:r>
    </w:p>
    <w:p>
      <w:pPr>
        <w:tabs>
          <w:tab w:val="left" w:pos="0"/>
        </w:tabs>
        <w:spacing w:line="560" w:lineRule="exact"/>
        <w:ind w:firstLine="480" w:firstLineChars="200"/>
        <w:jc w:val="left"/>
        <w:rPr>
          <w:rFonts w:ascii="宋体" w:hAnsi="宋体" w:cs="宋体"/>
          <w:sz w:val="24"/>
        </w:rPr>
      </w:pPr>
      <w:r>
        <w:rPr>
          <w:rFonts w:hint="eastAsia" w:ascii="宋体" w:hAnsi="宋体" w:cs="宋体"/>
          <w:sz w:val="24"/>
        </w:rPr>
        <w:t>（24）属于竞争性谈判文件</w:t>
      </w:r>
      <w:r>
        <w:rPr>
          <w:rFonts w:hint="eastAsia" w:ascii="宋体" w:hAnsi="宋体"/>
          <w:sz w:val="24"/>
        </w:rPr>
        <w:t>规定的其他响应无效情形</w:t>
      </w:r>
      <w:r>
        <w:rPr>
          <w:rFonts w:hint="eastAsia" w:ascii="宋体" w:hAnsi="宋体" w:cs="宋体"/>
          <w:sz w:val="24"/>
        </w:rPr>
        <w:t>。</w:t>
      </w:r>
    </w:p>
    <w:p>
      <w:pPr>
        <w:spacing w:line="560" w:lineRule="exact"/>
        <w:ind w:firstLine="480" w:firstLineChars="200"/>
      </w:pPr>
      <w:r>
        <w:rPr>
          <w:rFonts w:hint="eastAsia" w:ascii="宋体" w:hAnsi="宋体"/>
          <w:sz w:val="24"/>
        </w:rPr>
        <w:t>（25）不符合法规和竞争性谈判文件规定的其他实质性要求的。</w:t>
      </w:r>
    </w:p>
    <w:p>
      <w:pPr>
        <w:pStyle w:val="5"/>
        <w:spacing w:before="0" w:after="0" w:line="560" w:lineRule="exact"/>
        <w:rPr>
          <w:rFonts w:hAnsi="宋体" w:cs="宋体"/>
          <w:szCs w:val="24"/>
          <w:u w:val="none"/>
        </w:rPr>
      </w:pPr>
      <w:bookmarkStart w:id="247" w:name="_Toc11801"/>
      <w:r>
        <w:rPr>
          <w:rFonts w:hint="eastAsia" w:hAnsi="宋体" w:cs="宋体"/>
          <w:szCs w:val="24"/>
          <w:u w:val="none"/>
        </w:rPr>
        <w:t>23.谈判</w:t>
      </w:r>
      <w:bookmarkEnd w:id="247"/>
    </w:p>
    <w:p>
      <w:pPr>
        <w:spacing w:line="560" w:lineRule="exact"/>
        <w:ind w:firstLine="480" w:firstLineChars="200"/>
        <w:jc w:val="left"/>
        <w:rPr>
          <w:rFonts w:ascii="宋体" w:hAnsi="宋体" w:cs="宋体"/>
          <w:sz w:val="24"/>
        </w:rPr>
      </w:pPr>
      <w:r>
        <w:rPr>
          <w:rFonts w:hint="eastAsia" w:ascii="宋体" w:hAnsi="宋体" w:cs="宋体"/>
          <w:sz w:val="24"/>
        </w:rPr>
        <w:t>23.1谈判小组所有成员集中与单一供应商分别进行谈判。</w:t>
      </w:r>
    </w:p>
    <w:p>
      <w:pPr>
        <w:spacing w:line="560" w:lineRule="exact"/>
        <w:ind w:firstLine="480" w:firstLineChars="200"/>
        <w:jc w:val="left"/>
        <w:rPr>
          <w:rFonts w:ascii="宋体" w:hAnsi="宋体" w:cs="宋体"/>
          <w:sz w:val="24"/>
        </w:rPr>
      </w:pPr>
      <w:r>
        <w:rPr>
          <w:rFonts w:hint="eastAsia" w:ascii="宋体" w:hAnsi="宋体" w:cs="宋体"/>
          <w:sz w:val="24"/>
        </w:rPr>
        <w:t>23.2在谈判过程中，谈判小组可以根据谈判文件和谈判情况实质性变动采购需求中的技术、服务要求以及合同条款，但不得变动谈判文件中的其他内容。实质性变动的内容，须经采购人代表确认。</w:t>
      </w:r>
    </w:p>
    <w:p>
      <w:pPr>
        <w:spacing w:line="560" w:lineRule="exact"/>
        <w:ind w:firstLine="480" w:firstLineChars="200"/>
        <w:jc w:val="left"/>
        <w:rPr>
          <w:rFonts w:ascii="宋体" w:hAnsi="宋体" w:cs="宋体"/>
          <w:sz w:val="24"/>
        </w:rPr>
      </w:pPr>
      <w:r>
        <w:rPr>
          <w:rFonts w:hint="eastAsia" w:ascii="宋体" w:hAnsi="宋体" w:cs="宋体"/>
          <w:sz w:val="24"/>
        </w:rPr>
        <w:t>23.3对谈判文件作出的实质性变动是谈判文件的有效组成部分，谈判小组应当及时</w:t>
      </w:r>
      <w:r>
        <w:rPr>
          <w:rFonts w:hint="eastAsia" w:ascii="宋体" w:hAnsi="宋体"/>
          <w:sz w:val="24"/>
        </w:rPr>
        <w:t>通过网上开评标系统</w:t>
      </w:r>
      <w:r>
        <w:rPr>
          <w:rFonts w:hint="eastAsia" w:ascii="宋体" w:hAnsi="宋体" w:cs="宋体"/>
          <w:sz w:val="24"/>
        </w:rPr>
        <w:t>同时通知所有参加谈判的供应商。</w:t>
      </w:r>
    </w:p>
    <w:p>
      <w:pPr>
        <w:spacing w:line="560" w:lineRule="exact"/>
        <w:ind w:firstLine="480" w:firstLineChars="200"/>
        <w:jc w:val="left"/>
        <w:rPr>
          <w:rFonts w:ascii="宋体" w:hAnsi="宋体" w:cs="宋体"/>
          <w:sz w:val="24"/>
        </w:rPr>
      </w:pPr>
      <w:r>
        <w:rPr>
          <w:rFonts w:hint="eastAsia" w:ascii="宋体" w:hAnsi="宋体" w:cs="宋体"/>
          <w:sz w:val="24"/>
        </w:rPr>
        <w:t>23.4供应商应当按照谈判文件的变动情况和谈判小组的要求重新提交响应文件，并由其法定代表人（非法人组织的负责人）或其授权代表签章。供应商为自然人的，应当由本人签字并附身份证明。</w:t>
      </w:r>
    </w:p>
    <w:p>
      <w:pPr>
        <w:spacing w:line="560" w:lineRule="exact"/>
        <w:ind w:firstLine="480" w:firstLineChars="200"/>
        <w:jc w:val="left"/>
        <w:rPr>
          <w:rFonts w:ascii="宋体" w:hAnsi="宋体" w:cs="宋体"/>
          <w:sz w:val="24"/>
        </w:rPr>
      </w:pPr>
      <w:r>
        <w:rPr>
          <w:rFonts w:hint="eastAsia" w:ascii="宋体" w:hAnsi="宋体" w:cs="宋体"/>
          <w:sz w:val="24"/>
        </w:rPr>
        <w:t>23.</w:t>
      </w:r>
      <w:r>
        <w:rPr>
          <w:rFonts w:hint="eastAsia" w:ascii="宋体" w:hAnsi="宋体" w:cs="宋体"/>
          <w:sz w:val="24"/>
          <w:highlight w:val="none"/>
        </w:rPr>
        <w:t>5本项目共</w:t>
      </w:r>
      <w:r>
        <w:rPr>
          <w:rFonts w:hint="eastAsia" w:ascii="宋体" w:hAnsi="宋体" w:cs="宋体"/>
          <w:sz w:val="24"/>
          <w:highlight w:val="none"/>
          <w:u w:val="single"/>
        </w:rPr>
        <w:t xml:space="preserve"> 2 </w:t>
      </w:r>
      <w:r>
        <w:rPr>
          <w:rFonts w:hint="eastAsia" w:ascii="宋体" w:hAnsi="宋体" w:cs="宋体"/>
          <w:sz w:val="24"/>
          <w:highlight w:val="none"/>
        </w:rPr>
        <w:t>轮报价</w:t>
      </w:r>
      <w:r>
        <w:rPr>
          <w:rFonts w:hint="eastAsia" w:ascii="宋体" w:hAnsi="宋体" w:cs="宋体"/>
          <w:sz w:val="24"/>
        </w:rPr>
        <w:t>。谈判文件能够详细列明采购标的的技术、货物要求的，谈判结束后，谈判小组应当要求所有实质性响应的供应商在规定时间内提交另一轮报价，该报价为最后报价，提交最后报价的供应商不得少于3家，法律规定的其他情形除外。谈判文件不能详细列明采购标的的技术、货物要求，需经谈判由供应商提供最终设计方案或解决方案的，谈判结束后，谈判小组应当按照少数服从多数的原则投票推荐3家以上供应商的设计方案或者解决方案，并要求其在规定时间内提交另一轮报价，该报价为最后报价。</w:t>
      </w:r>
    </w:p>
    <w:p>
      <w:pPr>
        <w:spacing w:line="560" w:lineRule="exact"/>
        <w:ind w:firstLine="480" w:firstLineChars="200"/>
        <w:jc w:val="left"/>
        <w:rPr>
          <w:rFonts w:ascii="宋体" w:hAnsi="宋体" w:cs="宋体"/>
          <w:sz w:val="24"/>
        </w:rPr>
      </w:pPr>
      <w:r>
        <w:rPr>
          <w:rFonts w:hint="eastAsia" w:ascii="宋体" w:hAnsi="宋体" w:cs="宋体"/>
          <w:sz w:val="24"/>
        </w:rPr>
        <w:t>23.6最后报价是供应商响应文件的有效组成部分，供应商法定代表人（非法人组织的负责人）或其授权代表对最后报价签章确认。节能、环保产品、中小微企业产品价格认定均按照最后报价后的浮动比例同比例进行调整。</w:t>
      </w:r>
    </w:p>
    <w:p>
      <w:pPr>
        <w:spacing w:line="560" w:lineRule="exact"/>
        <w:ind w:firstLine="480" w:firstLineChars="200"/>
        <w:jc w:val="left"/>
        <w:rPr>
          <w:rFonts w:ascii="宋体" w:hAnsi="宋体" w:cs="宋体"/>
          <w:sz w:val="24"/>
        </w:rPr>
      </w:pPr>
      <w:r>
        <w:rPr>
          <w:rFonts w:hint="eastAsia" w:ascii="宋体" w:hAnsi="宋体" w:cs="宋体"/>
          <w:sz w:val="24"/>
        </w:rPr>
        <w:t>23.7已提交响应文件的供应商，在提交最后报价之前，可以根据谈判情况退出谈判。该退出申请由供应商法定代表人（非法人组织的负责人）或其授权代表签章确认。</w:t>
      </w:r>
    </w:p>
    <w:p>
      <w:pPr>
        <w:pStyle w:val="5"/>
        <w:spacing w:before="0" w:after="0" w:line="560" w:lineRule="exact"/>
        <w:rPr>
          <w:rFonts w:hAnsi="宋体" w:cs="宋体"/>
          <w:szCs w:val="24"/>
          <w:u w:val="none"/>
        </w:rPr>
      </w:pPr>
      <w:bookmarkStart w:id="248" w:name="_Toc515647784"/>
      <w:bookmarkStart w:id="249" w:name="_Toc13652"/>
      <w:bookmarkStart w:id="250" w:name="_Toc22941"/>
      <w:bookmarkStart w:id="251" w:name="_Toc16873"/>
      <w:r>
        <w:rPr>
          <w:rFonts w:hint="eastAsia" w:hAnsi="宋体" w:cs="宋体"/>
          <w:szCs w:val="24"/>
          <w:u w:val="none"/>
        </w:rPr>
        <w:t>24.</w:t>
      </w:r>
      <w:bookmarkEnd w:id="242"/>
      <w:bookmarkEnd w:id="248"/>
      <w:bookmarkEnd w:id="249"/>
      <w:bookmarkEnd w:id="250"/>
      <w:r>
        <w:rPr>
          <w:rFonts w:hint="eastAsia" w:hAnsi="宋体" w:cs="宋体"/>
          <w:szCs w:val="24"/>
          <w:u w:val="none"/>
        </w:rPr>
        <w:t>比较和评价</w:t>
      </w:r>
      <w:bookmarkEnd w:id="251"/>
    </w:p>
    <w:p>
      <w:pPr>
        <w:spacing w:line="560" w:lineRule="exact"/>
        <w:ind w:firstLine="480" w:firstLineChars="200"/>
        <w:jc w:val="left"/>
        <w:rPr>
          <w:rFonts w:ascii="宋体" w:hAnsi="宋体" w:cs="宋体"/>
          <w:sz w:val="24"/>
        </w:rPr>
      </w:pPr>
      <w:r>
        <w:rPr>
          <w:rFonts w:hint="eastAsia" w:ascii="宋体" w:hAnsi="宋体" w:cs="宋体"/>
          <w:sz w:val="24"/>
        </w:rPr>
        <w:t>24.1谈判小组应当从质量和服务均能满足采购文件实质性响应要求的供应商中，按照最后报价由低到高的顺序提出3名以上成交候选人。</w:t>
      </w:r>
    </w:p>
    <w:p>
      <w:pPr>
        <w:spacing w:line="560" w:lineRule="exact"/>
        <w:ind w:firstLine="480" w:firstLineChars="200"/>
        <w:jc w:val="left"/>
        <w:rPr>
          <w:rFonts w:ascii="宋体" w:hAnsi="宋体" w:cs="宋体"/>
          <w:sz w:val="24"/>
        </w:rPr>
      </w:pPr>
      <w:r>
        <w:rPr>
          <w:rFonts w:hint="eastAsia" w:ascii="宋体" w:hAnsi="宋体" w:cs="宋体"/>
          <w:sz w:val="24"/>
        </w:rPr>
        <w:t>24.2谈判严格按照竞争性谈判文件的要求和条件进行。详细评审标准见竞争性谈判文件第四章。</w:t>
      </w:r>
    </w:p>
    <w:p>
      <w:pPr>
        <w:spacing w:line="560" w:lineRule="exact"/>
        <w:ind w:firstLine="480" w:firstLineChars="200"/>
        <w:jc w:val="left"/>
        <w:rPr>
          <w:rFonts w:ascii="宋体" w:hAnsi="宋体" w:cs="宋体"/>
          <w:sz w:val="24"/>
        </w:rPr>
      </w:pPr>
      <w:r>
        <w:rPr>
          <w:rFonts w:hint="eastAsia" w:ascii="宋体" w:hAnsi="宋体" w:cs="宋体"/>
          <w:sz w:val="24"/>
        </w:rPr>
        <w:t>最低评标价法，是指响应文件满足采购文件全部实质性要求，且响应报价最低的供应商为成交候选人的评标方法。</w:t>
      </w:r>
    </w:p>
    <w:p>
      <w:pPr>
        <w:pStyle w:val="12"/>
        <w:spacing w:line="560" w:lineRule="exact"/>
        <w:ind w:firstLine="480" w:firstLineChars="200"/>
        <w:jc w:val="left"/>
        <w:rPr>
          <w:rFonts w:hAnsi="宋体" w:cs="宋体"/>
          <w:sz w:val="24"/>
          <w:szCs w:val="24"/>
          <w:highlight w:val="none"/>
        </w:rPr>
      </w:pPr>
      <w:r>
        <w:rPr>
          <w:rFonts w:hint="eastAsia" w:hAnsi="宋体" w:cs="宋体"/>
          <w:sz w:val="24"/>
          <w:szCs w:val="24"/>
        </w:rPr>
        <w:t>24.3根据《政府采购促进中小企业发展管理办法》（财库</w:t>
      </w:r>
      <w:r>
        <w:rPr>
          <w:rFonts w:hint="eastAsia" w:ascii="仿宋_GB2312" w:hAnsi="仿宋_GB2312" w:eastAsia="仿宋_GB2312" w:cs="仿宋_GB2312"/>
          <w:sz w:val="24"/>
          <w:szCs w:val="24"/>
        </w:rPr>
        <w:t>〔</w:t>
      </w:r>
      <w:r>
        <w:rPr>
          <w:rFonts w:hint="eastAsia" w:hAnsi="宋体" w:cs="宋体"/>
          <w:sz w:val="24"/>
          <w:szCs w:val="24"/>
        </w:rPr>
        <w:t>2020</w:t>
      </w:r>
      <w:r>
        <w:rPr>
          <w:rFonts w:hint="eastAsia" w:ascii="仿宋_GB2312" w:hAnsi="仿宋_GB2312" w:eastAsia="仿宋_GB2312" w:cs="仿宋_GB2312"/>
          <w:sz w:val="24"/>
          <w:szCs w:val="24"/>
        </w:rPr>
        <w:t>〕</w:t>
      </w:r>
      <w:r>
        <w:rPr>
          <w:rFonts w:hint="eastAsia" w:hAnsi="宋体" w:cs="宋体"/>
          <w:sz w:val="24"/>
          <w:szCs w:val="24"/>
        </w:rPr>
        <w:t>46号）、《财政部 司法部关于政府采购支持监狱企业发展有关问题的通知》（财库</w:t>
      </w:r>
      <w:r>
        <w:rPr>
          <w:rFonts w:hint="eastAsia" w:ascii="仿宋_GB2312" w:hAnsi="仿宋_GB2312" w:eastAsia="仿宋_GB2312" w:cs="仿宋_GB2312"/>
          <w:sz w:val="24"/>
          <w:szCs w:val="24"/>
        </w:rPr>
        <w:t>〔</w:t>
      </w:r>
      <w:r>
        <w:rPr>
          <w:rFonts w:hint="eastAsia" w:hAnsi="宋体" w:cs="宋体"/>
          <w:sz w:val="24"/>
          <w:szCs w:val="24"/>
        </w:rPr>
        <w:t>2014</w:t>
      </w:r>
      <w:r>
        <w:rPr>
          <w:rFonts w:hint="eastAsia" w:ascii="仿宋_GB2312" w:hAnsi="仿宋_GB2312" w:eastAsia="仿宋_GB2312" w:cs="仿宋_GB2312"/>
          <w:sz w:val="24"/>
          <w:szCs w:val="24"/>
        </w:rPr>
        <w:t>〕</w:t>
      </w:r>
      <w:r>
        <w:rPr>
          <w:rFonts w:hint="eastAsia" w:hAnsi="宋体" w:cs="宋体"/>
          <w:sz w:val="24"/>
          <w:szCs w:val="24"/>
        </w:rPr>
        <w:t>68号）和《三部门联合发布关于促进残疾人就业政府采购政策的通知》（</w:t>
      </w:r>
      <w:bookmarkStart w:id="252" w:name="sendNo"/>
      <w:r>
        <w:rPr>
          <w:rFonts w:hint="eastAsia" w:hAnsi="宋体" w:cs="宋体"/>
          <w:bCs/>
          <w:sz w:val="24"/>
          <w:szCs w:val="24"/>
        </w:rPr>
        <w:t>财库</w:t>
      </w:r>
      <w:bookmarkEnd w:id="252"/>
      <w:r>
        <w:rPr>
          <w:rFonts w:hint="eastAsia" w:ascii="仿宋_GB2312" w:hAnsi="仿宋_GB2312" w:eastAsia="仿宋_GB2312" w:cs="仿宋_GB2312"/>
          <w:sz w:val="24"/>
          <w:szCs w:val="24"/>
        </w:rPr>
        <w:t>〔</w:t>
      </w:r>
      <w:r>
        <w:rPr>
          <w:rFonts w:hint="eastAsia" w:hAnsi="宋体" w:cs="宋体"/>
          <w:bCs/>
          <w:sz w:val="24"/>
          <w:szCs w:val="24"/>
        </w:rPr>
        <w:t>2017</w:t>
      </w:r>
      <w:r>
        <w:rPr>
          <w:rFonts w:hint="eastAsia" w:ascii="仿宋_GB2312" w:hAnsi="仿宋_GB2312" w:eastAsia="仿宋_GB2312" w:cs="仿宋_GB2312"/>
          <w:sz w:val="24"/>
          <w:szCs w:val="24"/>
        </w:rPr>
        <w:t>〕</w:t>
      </w:r>
      <w:r>
        <w:rPr>
          <w:rFonts w:hint="eastAsia" w:hAnsi="宋体" w:cs="宋体"/>
          <w:bCs/>
          <w:sz w:val="24"/>
          <w:szCs w:val="24"/>
        </w:rPr>
        <w:t>141号</w:t>
      </w:r>
      <w:r>
        <w:rPr>
          <w:rFonts w:hint="eastAsia" w:hAnsi="宋体" w:cs="宋体"/>
          <w:sz w:val="24"/>
          <w:szCs w:val="24"/>
        </w:rPr>
        <w:t>）的规定，对满足价格扣除条件且在响应文件中提交了《中小企业声明函》或省级以上监狱管理局、戒毒管理局（含新疆生产建设兵团）出具的属于监狱企业的证明文件的供应商，其响</w:t>
      </w:r>
      <w:r>
        <w:rPr>
          <w:rFonts w:hint="eastAsia" w:hAnsi="宋体" w:cs="宋体"/>
          <w:sz w:val="24"/>
          <w:szCs w:val="24"/>
          <w:highlight w:val="none"/>
        </w:rPr>
        <w:t>应扣除</w:t>
      </w:r>
      <w:r>
        <w:rPr>
          <w:rFonts w:hint="eastAsia" w:hAnsi="宋体" w:cs="宋体"/>
          <w:sz w:val="24"/>
          <w:szCs w:val="24"/>
          <w:highlight w:val="none"/>
          <w:u w:val="single"/>
        </w:rPr>
        <w:t xml:space="preserve"> / </w:t>
      </w:r>
      <w:r>
        <w:rPr>
          <w:rFonts w:hint="eastAsia" w:hAnsi="宋体" w:cs="宋体"/>
          <w:sz w:val="24"/>
          <w:szCs w:val="24"/>
          <w:highlight w:val="none"/>
        </w:rPr>
        <w:t>%后参与谈判。具体办法及比例详见竞争性谈判文件</w:t>
      </w:r>
      <w:r>
        <w:rPr>
          <w:rFonts w:hint="eastAsia" w:hAnsi="宋体" w:cs="宋体"/>
          <w:sz w:val="24"/>
          <w:highlight w:val="none"/>
        </w:rPr>
        <w:t>第四章</w:t>
      </w:r>
      <w:r>
        <w:rPr>
          <w:rFonts w:hint="eastAsia" w:hAnsi="宋体" w:cs="宋体"/>
          <w:sz w:val="24"/>
          <w:szCs w:val="24"/>
          <w:highlight w:val="none"/>
        </w:rPr>
        <w:t>。</w:t>
      </w:r>
    </w:p>
    <w:p>
      <w:pPr>
        <w:pStyle w:val="12"/>
        <w:spacing w:line="560" w:lineRule="exact"/>
        <w:ind w:firstLine="480" w:firstLineChars="200"/>
        <w:jc w:val="left"/>
        <w:rPr>
          <w:rFonts w:hAnsi="宋体" w:cs="宋体"/>
          <w:sz w:val="24"/>
          <w:szCs w:val="24"/>
        </w:rPr>
      </w:pPr>
      <w:r>
        <w:rPr>
          <w:rFonts w:hint="eastAsia" w:hAnsi="宋体" w:cs="宋体"/>
          <w:sz w:val="24"/>
          <w:szCs w:val="24"/>
          <w:highlight w:val="none"/>
        </w:rPr>
        <w:t>24.4根据国家有关节能、环保政策，对满足加分条件且在响应文件中提交了国家确定的认证机构出具的、处于有效期之内的节能产品、环境标志产品认证证书</w:t>
      </w:r>
      <w:r>
        <w:rPr>
          <w:rFonts w:hint="eastAsia" w:hAnsi="宋体"/>
          <w:sz w:val="24"/>
          <w:szCs w:val="24"/>
          <w:highlight w:val="none"/>
        </w:rPr>
        <w:t>或</w:t>
      </w:r>
      <w:r>
        <w:rPr>
          <w:rFonts w:hint="eastAsia" w:hAnsi="宋体" w:cs="宋体"/>
          <w:sz w:val="24"/>
          <w:highlight w:val="none"/>
        </w:rPr>
        <w:t>提供加盖供应商公章的节能产品、</w:t>
      </w:r>
      <w:r>
        <w:rPr>
          <w:rFonts w:hint="eastAsia" w:hAnsi="宋体"/>
          <w:sz w:val="24"/>
          <w:szCs w:val="24"/>
          <w:highlight w:val="none"/>
        </w:rPr>
        <w:t>环境标志产品</w:t>
      </w:r>
      <w:r>
        <w:rPr>
          <w:rFonts w:hint="eastAsia" w:hAnsi="宋体" w:cs="宋体"/>
          <w:sz w:val="24"/>
          <w:highlight w:val="none"/>
        </w:rPr>
        <w:t>认证结果信息发布平台或中国政府采购网（www.ccgp.gov.cn）产品网站查询截图</w:t>
      </w:r>
      <w:r>
        <w:rPr>
          <w:rFonts w:hint="eastAsia" w:hAnsi="宋体" w:cs="宋体"/>
          <w:sz w:val="24"/>
          <w:szCs w:val="24"/>
          <w:highlight w:val="none"/>
        </w:rPr>
        <w:t>的供应商，可给予认证产品</w:t>
      </w:r>
      <w:r>
        <w:rPr>
          <w:rFonts w:hint="eastAsia" w:hAnsi="宋体" w:cs="宋体"/>
          <w:sz w:val="24"/>
          <w:szCs w:val="24"/>
          <w:highlight w:val="none"/>
          <w:u w:val="none"/>
          <w:lang w:eastAsia="zh-CN"/>
        </w:rPr>
        <w:t>一定的</w:t>
      </w:r>
      <w:r>
        <w:rPr>
          <w:rFonts w:hint="eastAsia" w:hAnsi="宋体" w:cs="宋体"/>
          <w:sz w:val="24"/>
          <w:szCs w:val="24"/>
          <w:highlight w:val="none"/>
        </w:rPr>
        <w:t>优惠</w:t>
      </w:r>
      <w:r>
        <w:rPr>
          <w:rFonts w:hint="eastAsia" w:hAnsi="宋体" w:cs="宋体"/>
          <w:sz w:val="24"/>
          <w:szCs w:val="24"/>
          <w:highlight w:val="none"/>
          <w:lang w:eastAsia="zh-CN"/>
        </w:rPr>
        <w:t>政策</w:t>
      </w:r>
      <w:r>
        <w:rPr>
          <w:rFonts w:hint="eastAsia" w:hAnsi="宋体" w:cs="宋体"/>
          <w:sz w:val="24"/>
          <w:szCs w:val="24"/>
          <w:highlight w:val="none"/>
        </w:rPr>
        <w:t>，</w:t>
      </w:r>
      <w:r>
        <w:rPr>
          <w:rFonts w:hint="eastAsia" w:hAnsi="宋体" w:cs="宋体"/>
          <w:sz w:val="24"/>
          <w:szCs w:val="24"/>
        </w:rPr>
        <w:t>同等条件下，优先采购认证产品。具体办法及比例详见竞争性谈判文件</w:t>
      </w:r>
      <w:r>
        <w:rPr>
          <w:rFonts w:hint="eastAsia" w:hAnsi="宋体" w:cs="宋体"/>
          <w:sz w:val="24"/>
        </w:rPr>
        <w:t>第四章</w:t>
      </w:r>
      <w:r>
        <w:rPr>
          <w:rFonts w:hint="eastAsia" w:hAnsi="宋体" w:cs="宋体"/>
          <w:sz w:val="24"/>
          <w:szCs w:val="24"/>
        </w:rPr>
        <w:t>。</w:t>
      </w:r>
    </w:p>
    <w:p>
      <w:pPr>
        <w:spacing w:line="560" w:lineRule="exact"/>
        <w:ind w:firstLine="480" w:firstLineChars="200"/>
        <w:jc w:val="left"/>
        <w:rPr>
          <w:rFonts w:ascii="宋体" w:hAnsi="宋体" w:cs="宋体"/>
          <w:sz w:val="24"/>
        </w:rPr>
      </w:pPr>
      <w:r>
        <w:rPr>
          <w:rFonts w:hint="eastAsia" w:ascii="宋体" w:hAnsi="宋体" w:cs="宋体"/>
          <w:sz w:val="24"/>
        </w:rPr>
        <w:t>24.5公开发布的</w:t>
      </w:r>
      <w:r>
        <w:rPr>
          <w:rFonts w:hint="eastAsia" w:hAnsi="宋体" w:cs="宋体"/>
          <w:sz w:val="24"/>
        </w:rPr>
        <w:t>竞争性</w:t>
      </w:r>
      <w:r>
        <w:rPr>
          <w:rFonts w:hint="eastAsia" w:ascii="宋体" w:hAnsi="宋体" w:cs="宋体"/>
          <w:sz w:val="24"/>
        </w:rPr>
        <w:t>谈判文件中的评分细则，在谈判期间，不允许做出更改。</w:t>
      </w:r>
    </w:p>
    <w:p>
      <w:pPr>
        <w:spacing w:line="560" w:lineRule="exact"/>
        <w:ind w:firstLine="480" w:firstLineChars="200"/>
        <w:jc w:val="left"/>
        <w:rPr>
          <w:rFonts w:hAnsi="宋体" w:cs="宋体"/>
          <w:sz w:val="24"/>
        </w:rPr>
      </w:pPr>
      <w:r>
        <w:rPr>
          <w:rFonts w:hint="eastAsia" w:ascii="宋体" w:hAnsi="宋体" w:cs="宋体"/>
          <w:sz w:val="24"/>
        </w:rPr>
        <w:t>24.6谈判小组判断响应文件的响应性仅基于响应文件本身而不靠外部因素。谈判小组将拒绝被确定为非实质性响应的报价，供应商不能通过修正或撤销不符之处而使其响应成为实质性响应的报价。谈判小组可以允许供应商修改其响应文件中不构成实质偏离的、微小的、非正规的不一致或不规则的地方。</w:t>
      </w:r>
    </w:p>
    <w:p>
      <w:pPr>
        <w:spacing w:line="560" w:lineRule="exact"/>
        <w:ind w:firstLine="480" w:firstLineChars="200"/>
        <w:jc w:val="left"/>
        <w:rPr>
          <w:rFonts w:ascii="宋体" w:hAnsi="宋体"/>
          <w:sz w:val="24"/>
        </w:rPr>
      </w:pPr>
      <w:r>
        <w:rPr>
          <w:rFonts w:hint="eastAsia" w:ascii="宋体" w:hAnsi="宋体" w:cs="宋体"/>
          <w:sz w:val="24"/>
        </w:rPr>
        <w:t>24.7</w:t>
      </w:r>
      <w:r>
        <w:rPr>
          <w:rFonts w:hint="eastAsia" w:hAnsi="宋体" w:cs="宋体"/>
          <w:sz w:val="24"/>
        </w:rPr>
        <w:t>谈判</w:t>
      </w:r>
      <w:r>
        <w:rPr>
          <w:rFonts w:hint="eastAsia" w:ascii="宋体" w:hAnsi="宋体"/>
          <w:sz w:val="24"/>
        </w:rPr>
        <w:t>过程要求：电子开标、</w:t>
      </w:r>
      <w:r>
        <w:rPr>
          <w:rFonts w:hint="eastAsia" w:hAnsi="宋体" w:cs="宋体"/>
          <w:sz w:val="24"/>
        </w:rPr>
        <w:t>谈判</w:t>
      </w:r>
      <w:r>
        <w:rPr>
          <w:rFonts w:hint="eastAsia" w:ascii="宋体" w:hAnsi="宋体"/>
          <w:sz w:val="24"/>
        </w:rPr>
        <w:t>如出现下列情形，导致网上开评标系统无法正常运行或无法正常谈判时，应采取应急措施。</w:t>
      </w:r>
    </w:p>
    <w:p>
      <w:pPr>
        <w:spacing w:line="560" w:lineRule="exact"/>
        <w:ind w:firstLine="480" w:firstLineChars="200"/>
        <w:jc w:val="left"/>
        <w:rPr>
          <w:rFonts w:ascii="宋体" w:hAnsi="宋体"/>
          <w:sz w:val="24"/>
        </w:rPr>
      </w:pPr>
      <w:r>
        <w:rPr>
          <w:rFonts w:hint="eastAsia" w:ascii="宋体" w:hAnsi="宋体"/>
          <w:sz w:val="24"/>
        </w:rPr>
        <w:t>（1）系统服务器发生故障，无法访问或无法使用系统；</w:t>
      </w:r>
    </w:p>
    <w:p>
      <w:pPr>
        <w:spacing w:line="560" w:lineRule="exact"/>
        <w:ind w:firstLine="480" w:firstLineChars="200"/>
        <w:jc w:val="left"/>
        <w:rPr>
          <w:rFonts w:ascii="宋体" w:hAnsi="宋体"/>
          <w:sz w:val="24"/>
        </w:rPr>
      </w:pPr>
      <w:r>
        <w:rPr>
          <w:rFonts w:hint="eastAsia" w:ascii="宋体" w:hAnsi="宋体"/>
          <w:sz w:val="24"/>
        </w:rPr>
        <w:t>（2）系统的软件或数据库出现错误，不能进行正常操作；</w:t>
      </w:r>
    </w:p>
    <w:p>
      <w:pPr>
        <w:spacing w:line="560" w:lineRule="exact"/>
        <w:ind w:firstLine="480" w:firstLineChars="200"/>
        <w:jc w:val="left"/>
        <w:rPr>
          <w:rFonts w:ascii="宋体" w:hAnsi="宋体"/>
          <w:sz w:val="24"/>
        </w:rPr>
      </w:pPr>
      <w:r>
        <w:rPr>
          <w:rFonts w:hint="eastAsia" w:ascii="宋体" w:hAnsi="宋体"/>
          <w:sz w:val="24"/>
        </w:rPr>
        <w:t>（3）系统发现有安全漏洞，存在潜在的泄密危险；</w:t>
      </w:r>
    </w:p>
    <w:p>
      <w:pPr>
        <w:spacing w:line="560" w:lineRule="exact"/>
        <w:ind w:firstLine="480" w:firstLineChars="200"/>
        <w:jc w:val="left"/>
        <w:rPr>
          <w:rFonts w:ascii="宋体" w:hAnsi="宋体"/>
          <w:sz w:val="24"/>
        </w:rPr>
      </w:pPr>
      <w:r>
        <w:rPr>
          <w:rFonts w:hint="eastAsia" w:ascii="宋体" w:hAnsi="宋体"/>
          <w:sz w:val="24"/>
        </w:rPr>
        <w:t>（4）病毒发作或受到外来病毒的攻击；</w:t>
      </w:r>
    </w:p>
    <w:p>
      <w:pPr>
        <w:spacing w:line="560" w:lineRule="exact"/>
        <w:ind w:firstLine="480" w:firstLineChars="200"/>
        <w:jc w:val="left"/>
        <w:rPr>
          <w:rFonts w:ascii="宋体" w:hAnsi="宋体"/>
          <w:sz w:val="24"/>
        </w:rPr>
      </w:pPr>
      <w:r>
        <w:rPr>
          <w:rFonts w:hint="eastAsia" w:ascii="宋体" w:hAnsi="宋体"/>
          <w:sz w:val="24"/>
        </w:rPr>
        <w:t xml:space="preserve">（5）出现其他不可抗拒的客观原因造成网上开评标系统无法正常使用。 </w:t>
      </w:r>
    </w:p>
    <w:p>
      <w:pPr>
        <w:pStyle w:val="12"/>
        <w:spacing w:line="560" w:lineRule="exact"/>
        <w:ind w:firstLine="480" w:firstLineChars="200"/>
        <w:jc w:val="left"/>
        <w:rPr>
          <w:rFonts w:hAnsi="宋体" w:cs="宋体"/>
          <w:sz w:val="24"/>
          <w:szCs w:val="24"/>
        </w:rPr>
      </w:pPr>
      <w:r>
        <w:rPr>
          <w:rFonts w:hint="eastAsia" w:hAnsi="宋体"/>
          <w:sz w:val="24"/>
        </w:rPr>
        <w:t>出现上述情况时，应对未开标的暂停开标。已在系统内开标、</w:t>
      </w:r>
      <w:r>
        <w:rPr>
          <w:rFonts w:hint="eastAsia" w:hAnsi="宋体" w:cs="宋体"/>
          <w:sz w:val="24"/>
          <w:szCs w:val="24"/>
        </w:rPr>
        <w:t>谈判</w:t>
      </w:r>
      <w:r>
        <w:rPr>
          <w:rFonts w:hint="eastAsia" w:hAnsi="宋体"/>
          <w:sz w:val="24"/>
        </w:rPr>
        <w:t>的立即停止。采取应急措施时，应当对原有资料及信息作出妥善保密处理。</w:t>
      </w:r>
    </w:p>
    <w:p>
      <w:pPr>
        <w:pStyle w:val="5"/>
        <w:spacing w:before="0" w:after="0" w:line="560" w:lineRule="exact"/>
        <w:rPr>
          <w:rFonts w:hAnsi="宋体" w:cs="宋体"/>
          <w:szCs w:val="24"/>
          <w:u w:val="none"/>
        </w:rPr>
      </w:pPr>
      <w:bookmarkStart w:id="253" w:name="_Toc520356168"/>
      <w:bookmarkStart w:id="254" w:name="_Toc20227"/>
      <w:bookmarkStart w:id="255" w:name="_Toc9378"/>
      <w:bookmarkStart w:id="256" w:name="_Toc515647785"/>
      <w:bookmarkStart w:id="257" w:name="_Toc98"/>
      <w:r>
        <w:rPr>
          <w:rFonts w:hint="eastAsia" w:hAnsi="宋体" w:cs="宋体"/>
          <w:szCs w:val="24"/>
          <w:u w:val="none"/>
        </w:rPr>
        <w:t>2</w:t>
      </w:r>
      <w:bookmarkEnd w:id="253"/>
      <w:r>
        <w:rPr>
          <w:rFonts w:hint="eastAsia" w:hAnsi="宋体" w:cs="宋体"/>
          <w:szCs w:val="24"/>
          <w:u w:val="none"/>
        </w:rPr>
        <w:t>5.</w:t>
      </w:r>
      <w:bookmarkEnd w:id="254"/>
      <w:bookmarkEnd w:id="255"/>
      <w:bookmarkEnd w:id="256"/>
      <w:r>
        <w:rPr>
          <w:rFonts w:hint="eastAsia" w:hAnsi="宋体" w:cs="宋体"/>
          <w:szCs w:val="24"/>
          <w:u w:val="none"/>
        </w:rPr>
        <w:t>采购项目终止</w:t>
      </w:r>
      <w:bookmarkEnd w:id="257"/>
    </w:p>
    <w:p>
      <w:pPr>
        <w:spacing w:line="560" w:lineRule="exact"/>
        <w:ind w:firstLine="480" w:firstLineChars="200"/>
        <w:jc w:val="left"/>
        <w:rPr>
          <w:rFonts w:ascii="宋体" w:hAnsi="宋体" w:cs="宋体"/>
          <w:sz w:val="24"/>
        </w:rPr>
      </w:pPr>
      <w:r>
        <w:rPr>
          <w:rFonts w:hint="eastAsia" w:ascii="宋体" w:hAnsi="宋体" w:cs="宋体"/>
          <w:sz w:val="24"/>
        </w:rPr>
        <w:t>出现下列情形之一的，采购人应当终止竞争性谈判采购活动，发布项目终止公告并说明原因，重新开展采购活动：</w:t>
      </w:r>
    </w:p>
    <w:p>
      <w:pPr>
        <w:spacing w:line="560" w:lineRule="exact"/>
        <w:ind w:firstLine="480" w:firstLineChars="200"/>
        <w:jc w:val="left"/>
        <w:rPr>
          <w:rFonts w:ascii="宋体" w:hAnsi="宋体" w:cs="宋体"/>
          <w:sz w:val="24"/>
        </w:rPr>
      </w:pPr>
      <w:r>
        <w:rPr>
          <w:rFonts w:hint="eastAsia" w:ascii="宋体" w:hAnsi="宋体" w:cs="宋体"/>
          <w:sz w:val="24"/>
        </w:rPr>
        <w:t>（1）因情况变化，不再符合规定的竞争性谈判采购方式适用情形的；</w:t>
      </w:r>
    </w:p>
    <w:p>
      <w:pPr>
        <w:spacing w:line="560" w:lineRule="exact"/>
        <w:ind w:firstLine="480" w:firstLineChars="200"/>
        <w:jc w:val="left"/>
        <w:rPr>
          <w:rFonts w:ascii="宋体" w:hAnsi="宋体" w:cs="宋体"/>
          <w:sz w:val="24"/>
        </w:rPr>
      </w:pPr>
      <w:r>
        <w:rPr>
          <w:rFonts w:hint="eastAsia" w:ascii="宋体" w:hAnsi="宋体" w:cs="宋体"/>
          <w:sz w:val="24"/>
        </w:rPr>
        <w:t>（2）出现影响采购公正的违法、违规行为的；</w:t>
      </w:r>
    </w:p>
    <w:p>
      <w:pPr>
        <w:spacing w:line="560" w:lineRule="exact"/>
        <w:ind w:firstLine="480" w:firstLineChars="200"/>
        <w:jc w:val="left"/>
        <w:rPr>
          <w:rFonts w:ascii="宋体" w:hAnsi="宋体" w:cs="宋体"/>
          <w:sz w:val="24"/>
        </w:rPr>
      </w:pPr>
      <w:r>
        <w:rPr>
          <w:rFonts w:hint="eastAsia" w:ascii="宋体" w:hAnsi="宋体" w:cs="宋体"/>
          <w:sz w:val="24"/>
        </w:rPr>
        <w:t>（3）除《政府采购非招标采购方式管理办法》第二十七条第二项规定的情形外，在采购过程中符合要求的供应商或者报价未超过采购预算的供应商不足3家的。</w:t>
      </w:r>
    </w:p>
    <w:p>
      <w:pPr>
        <w:spacing w:line="560" w:lineRule="exact"/>
        <w:ind w:firstLine="480" w:firstLineChars="200"/>
        <w:jc w:val="left"/>
        <w:rPr>
          <w:rFonts w:ascii="宋体" w:hAnsi="宋体" w:cs="宋体"/>
          <w:sz w:val="24"/>
        </w:rPr>
      </w:pPr>
      <w:r>
        <w:rPr>
          <w:rFonts w:hint="eastAsia" w:ascii="宋体" w:hAnsi="宋体" w:cs="宋体"/>
          <w:sz w:val="24"/>
        </w:rPr>
        <w:t>（4）因重大变故，采购任务取消的。</w:t>
      </w:r>
    </w:p>
    <w:p>
      <w:pPr>
        <w:pStyle w:val="5"/>
        <w:spacing w:before="0" w:after="0" w:line="560" w:lineRule="exact"/>
        <w:rPr>
          <w:rFonts w:hAnsi="宋体" w:cs="宋体"/>
          <w:szCs w:val="24"/>
          <w:u w:val="none"/>
        </w:rPr>
      </w:pPr>
      <w:bookmarkStart w:id="258" w:name="_Toc515647786"/>
      <w:bookmarkStart w:id="259" w:name="_Toc31289"/>
      <w:bookmarkStart w:id="260" w:name="_Toc24972"/>
      <w:bookmarkStart w:id="261" w:name="_Toc21167"/>
      <w:bookmarkStart w:id="262" w:name="_Toc520356169"/>
      <w:r>
        <w:rPr>
          <w:rFonts w:hint="eastAsia" w:hAnsi="宋体" w:cs="宋体"/>
          <w:szCs w:val="24"/>
          <w:u w:val="none"/>
        </w:rPr>
        <w:t>26.保密</w:t>
      </w:r>
      <w:bookmarkEnd w:id="258"/>
      <w:bookmarkEnd w:id="259"/>
      <w:bookmarkEnd w:id="260"/>
      <w:r>
        <w:rPr>
          <w:rFonts w:hint="eastAsia" w:hAnsi="宋体" w:cs="宋体"/>
          <w:szCs w:val="24"/>
          <w:u w:val="none"/>
        </w:rPr>
        <w:t>要求</w:t>
      </w:r>
      <w:bookmarkEnd w:id="261"/>
    </w:p>
    <w:p>
      <w:pPr>
        <w:spacing w:line="560" w:lineRule="exact"/>
        <w:ind w:firstLine="480" w:firstLineChars="200"/>
        <w:jc w:val="left"/>
        <w:rPr>
          <w:rFonts w:ascii="宋体" w:hAnsi="宋体" w:cs="宋体"/>
          <w:sz w:val="24"/>
        </w:rPr>
      </w:pPr>
      <w:r>
        <w:rPr>
          <w:rFonts w:hint="eastAsia" w:ascii="宋体" w:hAnsi="宋体" w:cs="宋体"/>
          <w:sz w:val="24"/>
        </w:rPr>
        <w:t>26.1谈判将在严格保密的情况下进行。</w:t>
      </w:r>
    </w:p>
    <w:p>
      <w:pPr>
        <w:spacing w:line="560" w:lineRule="exact"/>
        <w:ind w:firstLine="480" w:firstLineChars="200"/>
        <w:jc w:val="left"/>
        <w:rPr>
          <w:rFonts w:ascii="宋体" w:hAnsi="宋体" w:cs="宋体"/>
          <w:sz w:val="24"/>
        </w:rPr>
      </w:pPr>
      <w:r>
        <w:rPr>
          <w:rFonts w:hint="eastAsia" w:ascii="宋体" w:hAnsi="宋体" w:cs="宋体"/>
          <w:sz w:val="24"/>
        </w:rPr>
        <w:t>26.2政府采购评审专家应当遵守谈判工作纪律，</w:t>
      </w:r>
      <w:r>
        <w:rPr>
          <w:rFonts w:hint="eastAsia" w:ascii="宋体" w:hAnsi="宋体" w:cs="宋体"/>
          <w:bCs/>
          <w:sz w:val="24"/>
        </w:rPr>
        <w:t>不得记录、复制或者带走任何评标资料，</w:t>
      </w:r>
      <w:r>
        <w:rPr>
          <w:rFonts w:hint="eastAsia" w:ascii="宋体" w:hAnsi="宋体" w:cs="宋体"/>
          <w:sz w:val="24"/>
        </w:rPr>
        <w:t>不得泄露</w:t>
      </w:r>
      <w:r>
        <w:rPr>
          <w:rFonts w:hint="eastAsia" w:hAnsi="宋体" w:cs="宋体"/>
          <w:sz w:val="24"/>
        </w:rPr>
        <w:t>竞争性</w:t>
      </w:r>
      <w:r>
        <w:rPr>
          <w:rFonts w:hint="eastAsia" w:ascii="宋体" w:hAnsi="宋体" w:cs="宋体"/>
          <w:sz w:val="24"/>
        </w:rPr>
        <w:t>谈判文件、谈判情况和谈判中获悉的商业秘密。</w:t>
      </w:r>
    </w:p>
    <w:p>
      <w:pPr>
        <w:spacing w:line="560" w:lineRule="exact"/>
        <w:ind w:firstLine="480" w:firstLineChars="200"/>
        <w:jc w:val="left"/>
        <w:rPr>
          <w:rFonts w:ascii="宋体" w:hAnsi="宋体" w:cs="宋体"/>
          <w:sz w:val="24"/>
        </w:rPr>
      </w:pPr>
    </w:p>
    <w:p>
      <w:pPr>
        <w:pStyle w:val="4"/>
        <w:spacing w:before="0" w:line="560" w:lineRule="exact"/>
        <w:ind w:firstLine="562" w:firstLineChars="200"/>
        <w:rPr>
          <w:rFonts w:ascii="宋体" w:hAnsi="宋体" w:eastAsia="宋体" w:cs="宋体"/>
          <w:sz w:val="28"/>
          <w:szCs w:val="28"/>
        </w:rPr>
      </w:pPr>
      <w:bookmarkStart w:id="263" w:name="_Toc216582810"/>
      <w:bookmarkStart w:id="264" w:name="_Toc515647787"/>
      <w:bookmarkStart w:id="265" w:name="_Toc80"/>
      <w:bookmarkStart w:id="266" w:name="_Toc12143"/>
      <w:bookmarkStart w:id="267" w:name="_Toc23904"/>
      <w:r>
        <w:rPr>
          <w:rFonts w:hint="eastAsia" w:ascii="宋体" w:hAnsi="宋体" w:eastAsia="宋体" w:cs="宋体"/>
          <w:sz w:val="28"/>
          <w:szCs w:val="28"/>
        </w:rPr>
        <w:t>六</w:t>
      </w:r>
      <w:bookmarkEnd w:id="262"/>
      <w:r>
        <w:rPr>
          <w:rFonts w:hint="eastAsia" w:ascii="宋体" w:hAnsi="宋体" w:eastAsia="宋体" w:cs="宋体"/>
          <w:sz w:val="28"/>
          <w:szCs w:val="28"/>
        </w:rPr>
        <w:t>、确定成交</w:t>
      </w:r>
      <w:bookmarkEnd w:id="263"/>
      <w:bookmarkEnd w:id="264"/>
      <w:bookmarkEnd w:id="265"/>
      <w:bookmarkEnd w:id="266"/>
      <w:bookmarkEnd w:id="267"/>
    </w:p>
    <w:p>
      <w:pPr>
        <w:pStyle w:val="5"/>
        <w:spacing w:before="0" w:after="0" w:line="560" w:lineRule="exact"/>
        <w:rPr>
          <w:rFonts w:hAnsi="宋体" w:cs="宋体"/>
          <w:szCs w:val="24"/>
          <w:u w:val="none"/>
        </w:rPr>
      </w:pPr>
      <w:bookmarkStart w:id="268" w:name="_Toc515647788"/>
      <w:bookmarkStart w:id="269" w:name="_Ref467307010"/>
      <w:bookmarkStart w:id="270" w:name="_Toc520356170"/>
      <w:bookmarkStart w:id="271" w:name="_Toc23762"/>
      <w:bookmarkStart w:id="272" w:name="_Toc23617"/>
      <w:bookmarkStart w:id="273" w:name="_Toc24769"/>
      <w:r>
        <w:rPr>
          <w:rFonts w:hint="eastAsia" w:hAnsi="宋体" w:cs="宋体"/>
          <w:szCs w:val="24"/>
          <w:u w:val="none"/>
        </w:rPr>
        <w:t>27.成交候选人的确定原则及标准</w:t>
      </w:r>
      <w:bookmarkEnd w:id="268"/>
      <w:bookmarkEnd w:id="269"/>
      <w:bookmarkEnd w:id="270"/>
      <w:bookmarkEnd w:id="271"/>
      <w:bookmarkEnd w:id="272"/>
      <w:bookmarkEnd w:id="273"/>
    </w:p>
    <w:p>
      <w:pPr>
        <w:spacing w:line="560" w:lineRule="exact"/>
        <w:ind w:firstLine="480" w:firstLineChars="200"/>
        <w:rPr>
          <w:rFonts w:ascii="宋体" w:hAnsi="宋体" w:cs="宋体"/>
          <w:sz w:val="24"/>
        </w:rPr>
      </w:pPr>
      <w:r>
        <w:rPr>
          <w:rFonts w:hint="eastAsia" w:ascii="宋体" w:hAnsi="宋体" w:cs="宋体"/>
          <w:sz w:val="24"/>
        </w:rPr>
        <w:t>对实质上响应</w:t>
      </w:r>
      <w:r>
        <w:rPr>
          <w:rFonts w:hint="eastAsia" w:hAnsi="宋体" w:cs="宋体"/>
          <w:sz w:val="24"/>
        </w:rPr>
        <w:t>竞争性</w:t>
      </w:r>
      <w:r>
        <w:rPr>
          <w:rFonts w:hint="eastAsia" w:ascii="宋体" w:hAnsi="宋体" w:cs="宋体"/>
          <w:sz w:val="24"/>
        </w:rPr>
        <w:t>谈判文件的供应商按照谈判文件第四章规定的评审方法进行排序，确定成交候选人。</w:t>
      </w:r>
    </w:p>
    <w:p>
      <w:pPr>
        <w:pStyle w:val="5"/>
        <w:spacing w:before="0" w:after="0" w:line="560" w:lineRule="exact"/>
        <w:rPr>
          <w:rFonts w:hAnsi="宋体" w:cs="宋体"/>
          <w:szCs w:val="24"/>
          <w:u w:val="none"/>
        </w:rPr>
      </w:pPr>
      <w:bookmarkStart w:id="274" w:name="_Toc23951"/>
      <w:bookmarkStart w:id="275" w:name="_Toc16031"/>
      <w:bookmarkStart w:id="276" w:name="_Toc9653"/>
      <w:bookmarkStart w:id="277" w:name="_Toc515647789"/>
      <w:r>
        <w:rPr>
          <w:rFonts w:hint="eastAsia" w:hAnsi="宋体" w:cs="宋体"/>
          <w:szCs w:val="24"/>
          <w:u w:val="none"/>
        </w:rPr>
        <w:t>28.确定成交候选人和成交供应商</w:t>
      </w:r>
      <w:bookmarkEnd w:id="274"/>
      <w:bookmarkEnd w:id="275"/>
      <w:bookmarkEnd w:id="276"/>
      <w:bookmarkEnd w:id="277"/>
    </w:p>
    <w:p>
      <w:pPr>
        <w:spacing w:line="560" w:lineRule="exact"/>
        <w:ind w:firstLine="480" w:firstLineChars="200"/>
        <w:jc w:val="left"/>
        <w:rPr>
          <w:rFonts w:ascii="宋体" w:hAnsi="宋体" w:cs="宋体"/>
          <w:sz w:val="24"/>
        </w:rPr>
      </w:pPr>
      <w:r>
        <w:rPr>
          <w:rFonts w:hint="eastAsia" w:ascii="宋体" w:hAnsi="宋体" w:cs="宋体"/>
          <w:sz w:val="24"/>
        </w:rPr>
        <w:t>谈判小组将根据评标标准，按</w:t>
      </w:r>
      <w:r>
        <w:rPr>
          <w:rFonts w:hint="eastAsia" w:ascii="宋体" w:hAnsi="宋体" w:cs="宋体"/>
          <w:sz w:val="24"/>
          <w:u w:val="single"/>
        </w:rPr>
        <w:t>供应商须知资料表中</w:t>
      </w:r>
      <w:r>
        <w:rPr>
          <w:rFonts w:hint="eastAsia" w:ascii="宋体" w:hAnsi="宋体" w:cs="宋体"/>
          <w:sz w:val="24"/>
        </w:rPr>
        <w:t>规定数量推荐成交候选人或根据采购人的委托直接确定成交供应商。</w:t>
      </w:r>
    </w:p>
    <w:p>
      <w:pPr>
        <w:pStyle w:val="5"/>
        <w:spacing w:before="0" w:after="0" w:line="560" w:lineRule="exact"/>
        <w:rPr>
          <w:rFonts w:hAnsi="宋体" w:cs="宋体"/>
          <w:szCs w:val="24"/>
          <w:u w:val="none"/>
        </w:rPr>
      </w:pPr>
      <w:bookmarkStart w:id="278" w:name="_Toc13795"/>
      <w:bookmarkStart w:id="279" w:name="_Toc51176613"/>
      <w:r>
        <w:rPr>
          <w:rFonts w:hint="eastAsia" w:hAnsi="宋体" w:cs="宋体"/>
          <w:szCs w:val="24"/>
          <w:u w:val="none"/>
        </w:rPr>
        <w:t>29.采购任务取消</w:t>
      </w:r>
      <w:bookmarkEnd w:id="278"/>
      <w:bookmarkEnd w:id="279"/>
    </w:p>
    <w:p>
      <w:pPr>
        <w:spacing w:line="560" w:lineRule="exact"/>
        <w:ind w:firstLine="480" w:firstLineChars="200"/>
        <w:jc w:val="left"/>
        <w:rPr>
          <w:rFonts w:ascii="宋体" w:hAnsi="宋体" w:cs="宋体"/>
          <w:sz w:val="24"/>
        </w:rPr>
      </w:pPr>
      <w:r>
        <w:rPr>
          <w:rFonts w:hint="eastAsia" w:ascii="宋体" w:hAnsi="宋体" w:cs="宋体"/>
          <w:sz w:val="24"/>
        </w:rPr>
        <w:t>因重大变故采购任务取消时，采购人有权拒绝任何供应商成交，对受影响的供应商不承担任何责任。</w:t>
      </w:r>
    </w:p>
    <w:p>
      <w:pPr>
        <w:pStyle w:val="5"/>
        <w:spacing w:before="0" w:after="0" w:line="560" w:lineRule="exact"/>
        <w:rPr>
          <w:rFonts w:hAnsi="宋体" w:cs="宋体"/>
          <w:szCs w:val="24"/>
          <w:u w:val="none"/>
        </w:rPr>
      </w:pPr>
      <w:bookmarkStart w:id="280" w:name="_Toc520356174"/>
      <w:bookmarkStart w:id="281" w:name="_Toc19087101"/>
      <w:bookmarkStart w:id="282" w:name="_Toc518923095"/>
      <w:bookmarkStart w:id="283" w:name="_Toc12847"/>
      <w:r>
        <w:rPr>
          <w:rFonts w:hint="eastAsia" w:hAnsi="宋体" w:cs="宋体"/>
          <w:szCs w:val="24"/>
          <w:u w:val="none"/>
        </w:rPr>
        <w:t>30.发出成交</w:t>
      </w:r>
      <w:bookmarkEnd w:id="280"/>
      <w:r>
        <w:rPr>
          <w:rFonts w:hint="eastAsia" w:hAnsi="宋体" w:cs="宋体"/>
          <w:szCs w:val="24"/>
          <w:u w:val="none"/>
        </w:rPr>
        <w:t>通知书</w:t>
      </w:r>
      <w:bookmarkEnd w:id="281"/>
      <w:bookmarkEnd w:id="282"/>
      <w:bookmarkEnd w:id="283"/>
    </w:p>
    <w:p>
      <w:pPr>
        <w:spacing w:line="560" w:lineRule="exact"/>
        <w:ind w:firstLine="480" w:firstLineChars="200"/>
        <w:jc w:val="left"/>
        <w:rPr>
          <w:rFonts w:ascii="宋体" w:hAnsi="宋体" w:cs="宋体"/>
          <w:sz w:val="24"/>
        </w:rPr>
      </w:pPr>
      <w:r>
        <w:rPr>
          <w:rFonts w:hint="eastAsia" w:ascii="宋体" w:hAnsi="宋体" w:cs="宋体"/>
          <w:sz w:val="24"/>
        </w:rPr>
        <w:t>在响应有效期内，成交供应商确定后，采购人或者采购代理机构按照规定应同时公告供应商未中标的原因，发布成交公告，在公告成交结果的同时，向成交供应商发出成交通知书，成交通知书是合同的组成部分。</w:t>
      </w:r>
    </w:p>
    <w:p>
      <w:pPr>
        <w:pStyle w:val="5"/>
        <w:spacing w:before="0" w:after="0" w:line="560" w:lineRule="exact"/>
        <w:rPr>
          <w:rFonts w:hAnsi="宋体" w:cs="宋体"/>
          <w:szCs w:val="24"/>
          <w:u w:val="none"/>
        </w:rPr>
      </w:pPr>
      <w:bookmarkStart w:id="284" w:name="_Toc19087104"/>
      <w:bookmarkStart w:id="285" w:name="_Toc6387"/>
      <w:bookmarkStart w:id="286" w:name="_Ref467306377"/>
      <w:bookmarkStart w:id="287" w:name="_Ref467307204"/>
      <w:bookmarkStart w:id="288" w:name="_Ref467307062"/>
      <w:bookmarkStart w:id="289" w:name="_Toc520356175"/>
      <w:bookmarkStart w:id="290" w:name="_Toc518923096"/>
      <w:bookmarkStart w:id="291" w:name="_Ref467306978"/>
      <w:r>
        <w:rPr>
          <w:rFonts w:hint="eastAsia" w:hAnsi="宋体" w:cs="宋体"/>
          <w:szCs w:val="24"/>
          <w:u w:val="none"/>
        </w:rPr>
        <w:t>31.签订合同</w:t>
      </w:r>
      <w:bookmarkEnd w:id="284"/>
      <w:bookmarkEnd w:id="285"/>
      <w:bookmarkEnd w:id="286"/>
      <w:bookmarkEnd w:id="287"/>
      <w:bookmarkEnd w:id="288"/>
      <w:bookmarkEnd w:id="289"/>
      <w:bookmarkEnd w:id="290"/>
      <w:bookmarkEnd w:id="291"/>
    </w:p>
    <w:p>
      <w:pPr>
        <w:spacing w:line="560" w:lineRule="exact"/>
        <w:ind w:firstLine="480" w:firstLineChars="200"/>
        <w:jc w:val="left"/>
        <w:rPr>
          <w:rFonts w:ascii="宋体" w:hAnsi="宋体" w:cs="宋体"/>
          <w:sz w:val="24"/>
        </w:rPr>
      </w:pPr>
      <w:r>
        <w:rPr>
          <w:rFonts w:hint="eastAsia" w:ascii="宋体" w:hAnsi="宋体" w:cs="宋体"/>
          <w:sz w:val="24"/>
        </w:rPr>
        <w:t>31.1成交供应商应当自发出成交通知书之日起10个工作日内，与采购人签订合同。</w:t>
      </w:r>
    </w:p>
    <w:p>
      <w:pPr>
        <w:spacing w:line="560" w:lineRule="exact"/>
        <w:ind w:firstLine="480" w:firstLineChars="200"/>
        <w:jc w:val="left"/>
        <w:rPr>
          <w:rFonts w:ascii="宋体" w:hAnsi="宋体" w:cs="宋体"/>
          <w:sz w:val="24"/>
        </w:rPr>
      </w:pPr>
      <w:r>
        <w:rPr>
          <w:rFonts w:hint="eastAsia" w:ascii="宋体" w:hAnsi="宋体" w:cs="宋体"/>
          <w:sz w:val="24"/>
        </w:rPr>
        <w:t>31.2</w:t>
      </w:r>
      <w:bookmarkStart w:id="292" w:name="_Ref467306425"/>
      <w:bookmarkStart w:id="293" w:name="_Toc520356176"/>
      <w:bookmarkStart w:id="294" w:name="_Ref467307090"/>
      <w:r>
        <w:rPr>
          <w:rFonts w:hint="eastAsia" w:ascii="宋体" w:hAnsi="宋体" w:cs="宋体"/>
          <w:sz w:val="24"/>
        </w:rPr>
        <w:t>竞争性谈判文件、成交供应商的响应文件及其澄清文件等，均为签订合同的依据。</w:t>
      </w:r>
    </w:p>
    <w:p>
      <w:pPr>
        <w:spacing w:line="560" w:lineRule="exact"/>
        <w:ind w:firstLine="480" w:firstLineChars="200"/>
        <w:jc w:val="left"/>
        <w:rPr>
          <w:rFonts w:ascii="宋体" w:hAnsi="宋体" w:cs="宋体"/>
          <w:sz w:val="24"/>
        </w:rPr>
      </w:pPr>
      <w:r>
        <w:rPr>
          <w:rFonts w:hint="eastAsia" w:ascii="宋体" w:hAnsi="宋体" w:cs="宋体"/>
          <w:sz w:val="24"/>
        </w:rPr>
        <w:t>31.3如成交供应商拒绝与采购人签订合同的，采购人可以按照评审报告推荐的成交候选人名单排序，确定下一成交候选人为成交供应商，也可以重新开展政府采购活动。</w:t>
      </w:r>
    </w:p>
    <w:p>
      <w:pPr>
        <w:spacing w:line="560" w:lineRule="exact"/>
        <w:ind w:firstLine="480" w:firstLineChars="200"/>
        <w:jc w:val="left"/>
        <w:rPr>
          <w:rFonts w:ascii="宋体" w:hAnsi="宋体" w:cs="宋体"/>
          <w:sz w:val="24"/>
        </w:rPr>
      </w:pPr>
      <w:r>
        <w:rPr>
          <w:rFonts w:hint="eastAsia" w:ascii="宋体" w:hAnsi="宋体" w:cs="宋体"/>
          <w:sz w:val="24"/>
        </w:rPr>
        <w:t>31.4当出现法规规定的成交无效或成交结果无效情形时，采购人依规可与排名下一位的成交候选人另行签订合同，或依法重新开展采购活动。</w:t>
      </w:r>
    </w:p>
    <w:p>
      <w:pPr>
        <w:pStyle w:val="5"/>
        <w:spacing w:before="0" w:after="0" w:line="560" w:lineRule="exact"/>
        <w:rPr>
          <w:rFonts w:hAnsi="宋体" w:cs="宋体"/>
          <w:szCs w:val="24"/>
          <w:u w:val="none"/>
        </w:rPr>
      </w:pPr>
      <w:bookmarkStart w:id="295" w:name="_Toc3037"/>
      <w:bookmarkStart w:id="296" w:name="_Toc19087105"/>
      <w:bookmarkStart w:id="297" w:name="_Toc518923097"/>
      <w:r>
        <w:rPr>
          <w:rFonts w:hint="eastAsia" w:hAnsi="宋体" w:cs="宋体"/>
          <w:szCs w:val="24"/>
          <w:u w:val="none"/>
        </w:rPr>
        <w:t>32.履约保证金</w:t>
      </w:r>
      <w:bookmarkEnd w:id="292"/>
      <w:bookmarkEnd w:id="293"/>
      <w:bookmarkEnd w:id="294"/>
      <w:bookmarkEnd w:id="295"/>
      <w:bookmarkEnd w:id="296"/>
      <w:bookmarkEnd w:id="297"/>
    </w:p>
    <w:p>
      <w:pPr>
        <w:spacing w:line="560" w:lineRule="exact"/>
        <w:ind w:firstLine="480" w:firstLineChars="200"/>
        <w:jc w:val="left"/>
        <w:rPr>
          <w:rFonts w:ascii="宋体" w:hAnsi="宋体" w:cs="宋体"/>
          <w:sz w:val="24"/>
        </w:rPr>
      </w:pPr>
      <w:r>
        <w:rPr>
          <w:rFonts w:hint="eastAsia" w:ascii="宋体" w:hAnsi="宋体" w:cs="宋体"/>
          <w:sz w:val="24"/>
        </w:rPr>
        <w:t>成交供应商应按照</w:t>
      </w:r>
      <w:r>
        <w:rPr>
          <w:rFonts w:hint="eastAsia" w:ascii="宋体" w:hAnsi="宋体" w:cs="宋体"/>
          <w:sz w:val="24"/>
          <w:u w:val="single"/>
        </w:rPr>
        <w:t>供应商须知资料表</w:t>
      </w:r>
      <w:r>
        <w:rPr>
          <w:rFonts w:hint="eastAsia" w:ascii="宋体" w:hAnsi="宋体" w:cs="宋体"/>
          <w:sz w:val="24"/>
        </w:rPr>
        <w:t>规定向采购人提交履约保证。</w:t>
      </w:r>
    </w:p>
    <w:p>
      <w:pPr>
        <w:pStyle w:val="5"/>
        <w:spacing w:before="0" w:after="0" w:line="560" w:lineRule="exact"/>
        <w:rPr>
          <w:rFonts w:hAnsi="宋体" w:cs="宋体"/>
          <w:szCs w:val="24"/>
          <w:u w:val="none"/>
        </w:rPr>
      </w:pPr>
      <w:bookmarkStart w:id="298" w:name="_Toc51176617"/>
      <w:bookmarkStart w:id="299" w:name="_Toc31411"/>
      <w:bookmarkStart w:id="300" w:name="_Toc518923099"/>
      <w:bookmarkStart w:id="301" w:name="_Toc62193426"/>
      <w:bookmarkStart w:id="302" w:name="_Toc20205"/>
      <w:r>
        <w:rPr>
          <w:rFonts w:hint="eastAsia" w:hAnsi="宋体" w:cs="宋体"/>
          <w:szCs w:val="24"/>
          <w:u w:val="none"/>
        </w:rPr>
        <w:t>33.</w:t>
      </w:r>
      <w:bookmarkEnd w:id="298"/>
      <w:bookmarkEnd w:id="299"/>
      <w:bookmarkEnd w:id="300"/>
      <w:r>
        <w:rPr>
          <w:rFonts w:hint="eastAsia" w:hAnsi="宋体" w:cs="宋体"/>
          <w:szCs w:val="24"/>
          <w:u w:val="none"/>
        </w:rPr>
        <w:t xml:space="preserve"> 政府采购履约融资担保</w:t>
      </w:r>
      <w:bookmarkEnd w:id="301"/>
      <w:bookmarkEnd w:id="302"/>
    </w:p>
    <w:p>
      <w:pPr>
        <w:spacing w:line="560" w:lineRule="exact"/>
        <w:ind w:firstLine="480" w:firstLineChars="200"/>
        <w:jc w:val="left"/>
        <w:rPr>
          <w:rFonts w:ascii="宋体" w:hAnsi="宋体" w:cs="宋体"/>
          <w:sz w:val="24"/>
        </w:rPr>
      </w:pPr>
      <w:r>
        <w:rPr>
          <w:rFonts w:hint="eastAsia" w:ascii="宋体" w:hAnsi="宋体" w:cs="宋体"/>
          <w:sz w:val="24"/>
        </w:rPr>
        <w:t>有融资需求的供应商在签订《政府采购合同》后，可依据《山东省政府采购合同融资管理办法》（鲁财采〔2018〕17号）有关规定，通过全省统一的信息化平台自行选择符合自身需要的金融产品，提供金融机构要求的相关材料，发起融资申请，也可通过淄博市公共资源交易中心金融服务平台进行融资贷款。</w:t>
      </w:r>
    </w:p>
    <w:p>
      <w:pPr>
        <w:pStyle w:val="5"/>
        <w:spacing w:before="0" w:after="0" w:line="560" w:lineRule="exact"/>
        <w:rPr>
          <w:rFonts w:hAnsi="宋体" w:cs="宋体"/>
          <w:szCs w:val="24"/>
          <w:u w:val="none"/>
        </w:rPr>
      </w:pPr>
      <w:bookmarkStart w:id="303" w:name="_Toc518923098"/>
      <w:bookmarkStart w:id="304" w:name="_Toc15872"/>
      <w:bookmarkStart w:id="305" w:name="_Toc19016170"/>
      <w:bookmarkStart w:id="306" w:name="_Toc19087106"/>
      <w:bookmarkStart w:id="307" w:name="_Toc518923100"/>
      <w:r>
        <w:rPr>
          <w:rFonts w:hint="eastAsia" w:hAnsi="宋体" w:cs="宋体"/>
          <w:szCs w:val="24"/>
          <w:u w:val="none"/>
        </w:rPr>
        <w:t>34.</w:t>
      </w:r>
      <w:bookmarkEnd w:id="303"/>
      <w:r>
        <w:rPr>
          <w:rFonts w:hint="eastAsia" w:hAnsi="宋体" w:cs="宋体"/>
          <w:szCs w:val="24"/>
          <w:u w:val="none"/>
        </w:rPr>
        <w:t>预付款</w:t>
      </w:r>
      <w:bookmarkEnd w:id="304"/>
      <w:bookmarkEnd w:id="305"/>
      <w:bookmarkEnd w:id="306"/>
    </w:p>
    <w:p>
      <w:pPr>
        <w:spacing w:line="560" w:lineRule="exact"/>
        <w:ind w:firstLine="480" w:firstLineChars="200"/>
        <w:jc w:val="left"/>
        <w:rPr>
          <w:rFonts w:ascii="宋体" w:hAnsi="宋体" w:cs="宋体"/>
          <w:sz w:val="24"/>
        </w:rPr>
      </w:pPr>
      <w:r>
        <w:rPr>
          <w:rFonts w:hint="eastAsia" w:ascii="宋体" w:hAnsi="宋体" w:cs="宋体"/>
          <w:sz w:val="24"/>
        </w:rPr>
        <w:t>预付款是在指政府采购合同签订后、履行前，采购人向成交供应商预先支付部分合同款项，</w:t>
      </w:r>
      <w:r>
        <w:rPr>
          <w:rFonts w:hint="eastAsia" w:ascii="宋体" w:hAnsi="宋体"/>
          <w:sz w:val="24"/>
        </w:rPr>
        <w:t>具体执行见</w:t>
      </w:r>
      <w:r>
        <w:rPr>
          <w:rFonts w:hint="eastAsia" w:ascii="宋体" w:hAnsi="宋体"/>
          <w:sz w:val="24"/>
          <w:u w:val="single"/>
        </w:rPr>
        <w:t>供应商须知资料表</w:t>
      </w:r>
      <w:r>
        <w:rPr>
          <w:rFonts w:hint="eastAsia" w:ascii="宋体" w:hAnsi="宋体" w:cs="宋体"/>
          <w:sz w:val="24"/>
        </w:rPr>
        <w:t>。</w:t>
      </w:r>
    </w:p>
    <w:p>
      <w:pPr>
        <w:pStyle w:val="5"/>
        <w:spacing w:before="0" w:after="0" w:line="560" w:lineRule="exact"/>
        <w:rPr>
          <w:rFonts w:hAnsi="宋体" w:cs="宋体"/>
          <w:szCs w:val="24"/>
          <w:u w:val="none"/>
        </w:rPr>
      </w:pPr>
      <w:bookmarkStart w:id="308" w:name="_Toc25840"/>
      <w:bookmarkStart w:id="309" w:name="_Toc19087107"/>
      <w:r>
        <w:rPr>
          <w:rFonts w:hint="eastAsia" w:hAnsi="宋体" w:cs="宋体"/>
          <w:szCs w:val="24"/>
          <w:u w:val="none"/>
        </w:rPr>
        <w:t>35.廉洁自律规定</w:t>
      </w:r>
      <w:bookmarkEnd w:id="307"/>
      <w:bookmarkEnd w:id="308"/>
      <w:bookmarkEnd w:id="309"/>
    </w:p>
    <w:p>
      <w:pPr>
        <w:spacing w:line="560" w:lineRule="exact"/>
        <w:ind w:left="19" w:leftChars="9" w:firstLine="458" w:firstLineChars="191"/>
        <w:rPr>
          <w:rFonts w:ascii="宋体" w:hAnsi="宋体" w:cs="宋体"/>
          <w:sz w:val="24"/>
        </w:rPr>
      </w:pPr>
      <w:bookmarkStart w:id="310" w:name="_Toc19087108"/>
      <w:bookmarkStart w:id="311" w:name="_Toc518923101"/>
      <w:r>
        <w:rPr>
          <w:rFonts w:hint="eastAsia" w:ascii="宋体" w:hAnsi="宋体" w:cs="宋体"/>
          <w:sz w:val="24"/>
        </w:rPr>
        <w:t>35.1 采购人、采购代理机构不得与供应商恶意串通操纵政府采购活动。</w:t>
      </w:r>
    </w:p>
    <w:p>
      <w:pPr>
        <w:spacing w:line="560" w:lineRule="exact"/>
        <w:ind w:left="19" w:leftChars="9" w:firstLine="458" w:firstLineChars="191"/>
        <w:rPr>
          <w:rFonts w:ascii="宋体" w:hAnsi="宋体" w:cs="宋体"/>
          <w:sz w:val="24"/>
        </w:rPr>
      </w:pPr>
      <w:r>
        <w:rPr>
          <w:rFonts w:hint="eastAsia" w:ascii="宋体" w:hAnsi="宋体" w:cs="宋体"/>
          <w:sz w:val="24"/>
        </w:rPr>
        <w:t>35.2 采购人、采购代理机构不得接受供应商组织的宴请、旅游、娱乐，不得收受礼品、现金、有价证券等，不得向供应商报销应当由个人承担的费用。</w:t>
      </w:r>
    </w:p>
    <w:p>
      <w:pPr>
        <w:spacing w:line="560" w:lineRule="exact"/>
        <w:ind w:left="19" w:leftChars="9" w:firstLine="458" w:firstLineChars="191"/>
        <w:rPr>
          <w:rFonts w:ascii="宋体" w:hAnsi="宋体" w:cs="宋体"/>
          <w:sz w:val="24"/>
        </w:rPr>
      </w:pPr>
      <w:r>
        <w:rPr>
          <w:rFonts w:hint="eastAsia" w:ascii="宋体" w:hAnsi="宋体" w:cs="宋体"/>
          <w:sz w:val="24"/>
        </w:rPr>
        <w:t>35.3 为强化政府采购活动的监督，供应商可按</w:t>
      </w:r>
      <w:r>
        <w:rPr>
          <w:rFonts w:hint="eastAsia" w:ascii="宋体" w:hAnsi="宋体" w:cs="宋体"/>
          <w:sz w:val="24"/>
          <w:u w:val="single"/>
        </w:rPr>
        <w:t>供应商须知资料表</w:t>
      </w:r>
      <w:r>
        <w:rPr>
          <w:rFonts w:hint="eastAsia" w:ascii="宋体" w:hAnsi="宋体" w:cs="宋体"/>
          <w:sz w:val="24"/>
        </w:rPr>
        <w:t>中的监督电话和邮箱，反映采购人、采购代理机构的廉洁自律等问题。</w:t>
      </w:r>
    </w:p>
    <w:p>
      <w:pPr>
        <w:pStyle w:val="5"/>
        <w:spacing w:before="0" w:after="0" w:line="560" w:lineRule="exact"/>
        <w:rPr>
          <w:rFonts w:hAnsi="宋体" w:cs="宋体"/>
          <w:szCs w:val="24"/>
          <w:u w:val="none"/>
        </w:rPr>
      </w:pPr>
      <w:bookmarkStart w:id="312" w:name="_Toc31959"/>
      <w:r>
        <w:rPr>
          <w:rFonts w:hint="eastAsia" w:hAnsi="宋体" w:cs="宋体"/>
          <w:szCs w:val="24"/>
          <w:u w:val="none"/>
        </w:rPr>
        <w:t>36.人员回避</w:t>
      </w:r>
      <w:bookmarkEnd w:id="310"/>
      <w:bookmarkEnd w:id="311"/>
      <w:bookmarkEnd w:id="312"/>
    </w:p>
    <w:p>
      <w:pPr>
        <w:spacing w:line="560" w:lineRule="exact"/>
        <w:ind w:firstLine="480" w:firstLineChars="200"/>
        <w:jc w:val="left"/>
        <w:rPr>
          <w:rFonts w:ascii="宋体" w:hAnsi="宋体" w:cs="宋体"/>
          <w:sz w:val="24"/>
        </w:rPr>
      </w:pPr>
      <w:r>
        <w:rPr>
          <w:rFonts w:hint="eastAsia" w:ascii="宋体" w:hAnsi="宋体" w:cs="宋体"/>
          <w:sz w:val="24"/>
        </w:rPr>
        <w:t>供应商认为采购人员、采购代理机构工作人员及其相关人员有法律法规所列与其他供应商有利害关系的，可以向采购人或采购代理机构书面提出回避申请，并说明理由。</w:t>
      </w:r>
    </w:p>
    <w:p>
      <w:pPr>
        <w:pStyle w:val="5"/>
        <w:spacing w:before="0" w:after="0" w:line="560" w:lineRule="exact"/>
        <w:rPr>
          <w:rFonts w:hAnsi="宋体" w:cs="宋体"/>
          <w:szCs w:val="24"/>
          <w:u w:val="none"/>
        </w:rPr>
      </w:pPr>
      <w:bookmarkStart w:id="313" w:name="_Toc19087109"/>
      <w:bookmarkStart w:id="314" w:name="_Toc518923102"/>
      <w:bookmarkStart w:id="315" w:name="_Toc4974"/>
      <w:r>
        <w:rPr>
          <w:rFonts w:hint="eastAsia" w:hAnsi="宋体" w:cs="宋体"/>
          <w:szCs w:val="24"/>
          <w:u w:val="none"/>
        </w:rPr>
        <w:t>37.质疑与接收</w:t>
      </w:r>
      <w:bookmarkEnd w:id="313"/>
      <w:bookmarkEnd w:id="314"/>
      <w:bookmarkEnd w:id="315"/>
    </w:p>
    <w:p>
      <w:pPr>
        <w:spacing w:line="560" w:lineRule="exact"/>
        <w:ind w:firstLine="480" w:firstLineChars="200"/>
        <w:jc w:val="left"/>
        <w:rPr>
          <w:rFonts w:ascii="宋体" w:hAnsi="宋体" w:cs="宋体"/>
          <w:sz w:val="24"/>
        </w:rPr>
      </w:pPr>
      <w:r>
        <w:rPr>
          <w:rFonts w:hint="eastAsia" w:ascii="宋体" w:hAnsi="宋体" w:cs="宋体"/>
          <w:sz w:val="24"/>
        </w:rPr>
        <w:t>37.1供应商认为竞争性谈判文件、谈判过程和成交结果使自己的权益受到损害的，可以根据《中华人民共和国政府采购法》、《中华人民共和国政府采购法实施条例》和《政府采购质疑和投诉办法》的有关规定，依法向采购人或其委托的采购代理机构提出质疑。</w:t>
      </w:r>
    </w:p>
    <w:p>
      <w:pPr>
        <w:spacing w:line="560" w:lineRule="exact"/>
        <w:ind w:firstLine="480" w:firstLineChars="200"/>
        <w:jc w:val="left"/>
        <w:rPr>
          <w:rFonts w:ascii="宋体" w:hAnsi="宋体" w:cs="宋体"/>
          <w:sz w:val="24"/>
        </w:rPr>
      </w:pPr>
      <w:r>
        <w:rPr>
          <w:rFonts w:hint="eastAsia" w:ascii="宋体" w:hAnsi="宋体" w:cs="宋体"/>
          <w:sz w:val="24"/>
        </w:rPr>
        <w:t>37.2质疑供应商应按照财政部制定的《政府采购质疑函范本》格式（可从财政部官方网站下载）和《政府采购质疑和投诉办法》的要求，在法定质疑期内以书面形式提出质疑，针对同一采购程序环节的质疑应一次性提出。</w:t>
      </w:r>
    </w:p>
    <w:p>
      <w:pPr>
        <w:spacing w:line="560" w:lineRule="exact"/>
        <w:ind w:firstLine="480" w:firstLineChars="200"/>
        <w:jc w:val="left"/>
        <w:rPr>
          <w:rFonts w:ascii="宋体" w:hAnsi="宋体" w:cs="宋体"/>
          <w:sz w:val="24"/>
        </w:rPr>
      </w:pPr>
      <w:r>
        <w:rPr>
          <w:rFonts w:hint="eastAsia" w:ascii="宋体" w:hAnsi="宋体" w:cs="宋体"/>
          <w:sz w:val="24"/>
        </w:rPr>
        <w:t>超出法定质疑期的、重复提出的、分次提出的或内容、形式不符合《政府采购质疑和投诉办法》的，质疑供应商将依法承担不利后果。</w:t>
      </w:r>
    </w:p>
    <w:p>
      <w:pPr>
        <w:spacing w:line="560" w:lineRule="exact"/>
        <w:ind w:firstLine="480" w:firstLineChars="200"/>
        <w:jc w:val="left"/>
        <w:rPr>
          <w:rFonts w:ascii="宋体" w:hAnsi="宋体" w:cs="宋体"/>
          <w:sz w:val="24"/>
          <w:u w:val="single"/>
        </w:rPr>
      </w:pPr>
      <w:r>
        <w:rPr>
          <w:rFonts w:hint="eastAsia" w:ascii="宋体" w:hAnsi="宋体" w:cs="宋体"/>
          <w:sz w:val="24"/>
        </w:rPr>
        <w:t>37.3采购人或采购代理机构质疑函接收部门、联系电话和通讯地址,详见</w:t>
      </w:r>
      <w:r>
        <w:rPr>
          <w:rFonts w:hint="eastAsia" w:ascii="宋体" w:hAnsi="宋体" w:cs="宋体"/>
          <w:sz w:val="24"/>
          <w:u w:val="single"/>
        </w:rPr>
        <w:t>供应商须知资料表。</w:t>
      </w:r>
    </w:p>
    <w:p>
      <w:pPr>
        <w:spacing w:line="560" w:lineRule="exact"/>
        <w:ind w:firstLine="480" w:firstLineChars="200"/>
        <w:jc w:val="left"/>
        <w:rPr>
          <w:rFonts w:ascii="宋体" w:hAnsi="宋体"/>
          <w:sz w:val="24"/>
        </w:rPr>
      </w:pPr>
      <w:r>
        <w:rPr>
          <w:rFonts w:hint="eastAsia" w:ascii="宋体" w:hAnsi="宋体"/>
          <w:sz w:val="24"/>
        </w:rPr>
        <w:t xml:space="preserve">37.4质疑应当按照法律、法规规定，以书面形式向采购代理机构或采购人提出，并办理签收手续，未以书面形式向提交的视为无效质疑。 </w:t>
      </w:r>
    </w:p>
    <w:p>
      <w:pPr>
        <w:spacing w:line="560" w:lineRule="exact"/>
        <w:ind w:firstLine="480" w:firstLineChars="200"/>
        <w:jc w:val="left"/>
        <w:rPr>
          <w:rFonts w:ascii="宋体" w:hAnsi="宋体"/>
          <w:sz w:val="24"/>
        </w:rPr>
      </w:pPr>
      <w:r>
        <w:rPr>
          <w:rFonts w:hint="eastAsia" w:ascii="宋体" w:hAnsi="宋体"/>
          <w:sz w:val="24"/>
        </w:rPr>
        <w:t>37.5质疑函应当包括以下主要内容：</w:t>
      </w:r>
    </w:p>
    <w:p>
      <w:pPr>
        <w:spacing w:line="560" w:lineRule="exact"/>
        <w:ind w:firstLine="480" w:firstLineChars="200"/>
        <w:jc w:val="left"/>
        <w:rPr>
          <w:rFonts w:ascii="宋体" w:hAnsi="宋体"/>
          <w:sz w:val="24"/>
        </w:rPr>
      </w:pPr>
      <w:r>
        <w:rPr>
          <w:rFonts w:hint="eastAsia" w:ascii="宋体" w:hAnsi="宋体"/>
          <w:sz w:val="24"/>
        </w:rPr>
        <w:t xml:space="preserve">（1）质疑人和被质疑人的名称、法定代表人、住所、电话、邮编、联系人及联系电话等； </w:t>
      </w:r>
    </w:p>
    <w:p>
      <w:pPr>
        <w:spacing w:line="560" w:lineRule="exact"/>
        <w:ind w:firstLine="480" w:firstLineChars="200"/>
        <w:jc w:val="left"/>
        <w:rPr>
          <w:rFonts w:ascii="宋体" w:hAnsi="宋体"/>
          <w:sz w:val="24"/>
        </w:rPr>
      </w:pPr>
      <w:r>
        <w:rPr>
          <w:rFonts w:hint="eastAsia" w:ascii="宋体" w:hAnsi="宋体"/>
          <w:sz w:val="24"/>
        </w:rPr>
        <w:t xml:space="preserve">（2）采购项目名称、项目编号及包号； </w:t>
      </w:r>
    </w:p>
    <w:p>
      <w:pPr>
        <w:spacing w:line="560" w:lineRule="exact"/>
        <w:ind w:firstLine="480" w:firstLineChars="200"/>
        <w:jc w:val="left"/>
        <w:rPr>
          <w:rFonts w:ascii="宋体" w:hAnsi="宋体"/>
          <w:sz w:val="24"/>
        </w:rPr>
      </w:pPr>
      <w:r>
        <w:rPr>
          <w:rFonts w:hint="eastAsia" w:ascii="宋体" w:hAnsi="宋体"/>
          <w:sz w:val="24"/>
        </w:rPr>
        <w:t xml:space="preserve">（3）具体、明确的质疑事项以及与质疑事项相关的诉求； </w:t>
      </w:r>
    </w:p>
    <w:p>
      <w:pPr>
        <w:spacing w:line="560" w:lineRule="exact"/>
        <w:ind w:firstLine="480" w:firstLineChars="200"/>
        <w:jc w:val="left"/>
        <w:rPr>
          <w:rFonts w:ascii="宋体" w:hAnsi="宋体"/>
          <w:sz w:val="24"/>
        </w:rPr>
      </w:pPr>
      <w:r>
        <w:rPr>
          <w:rFonts w:hint="eastAsia" w:ascii="宋体" w:hAnsi="宋体"/>
          <w:sz w:val="24"/>
        </w:rPr>
        <w:t xml:space="preserve">（4）法律依据、事实与理由。按照“谁主张、谁举证”的原则，质疑书应当提供事实依据及相关证明材料，否则质疑将视为无有效证据支持，将被予以驳回。 </w:t>
      </w:r>
    </w:p>
    <w:p>
      <w:pPr>
        <w:spacing w:line="560" w:lineRule="exact"/>
        <w:ind w:firstLine="480" w:firstLineChars="200"/>
        <w:jc w:val="left"/>
        <w:rPr>
          <w:rFonts w:ascii="宋体" w:hAnsi="宋体"/>
          <w:sz w:val="24"/>
        </w:rPr>
      </w:pPr>
      <w:r>
        <w:rPr>
          <w:rFonts w:hint="eastAsia" w:ascii="宋体" w:hAnsi="宋体"/>
          <w:sz w:val="24"/>
        </w:rPr>
        <w:t>（5）提出质疑的日期。</w:t>
      </w:r>
    </w:p>
    <w:p>
      <w:pPr>
        <w:spacing w:line="560" w:lineRule="exact"/>
        <w:ind w:firstLine="480" w:firstLineChars="200"/>
        <w:jc w:val="left"/>
        <w:rPr>
          <w:rFonts w:ascii="宋体" w:hAnsi="宋体"/>
          <w:sz w:val="24"/>
        </w:rPr>
      </w:pPr>
      <w:r>
        <w:rPr>
          <w:rFonts w:hint="eastAsia" w:ascii="宋体" w:hAnsi="宋体"/>
          <w:sz w:val="24"/>
        </w:rPr>
        <w:t>质疑函应当据实署名。质疑人为自然人的，应当由本人签字并附有效身份证明；质疑人为法人或者其他组织的，应当由法定代表人</w:t>
      </w:r>
      <w:r>
        <w:rPr>
          <w:rFonts w:hint="eastAsia" w:ascii="宋体" w:hAnsi="宋体" w:cs="宋体"/>
          <w:sz w:val="24"/>
        </w:rPr>
        <w:t>（非法人组织的负责人）</w:t>
      </w:r>
      <w:r>
        <w:rPr>
          <w:rFonts w:hint="eastAsia" w:ascii="宋体" w:hAnsi="宋体"/>
          <w:sz w:val="24"/>
        </w:rPr>
        <w:t>签字并加盖公章，同时一并提交营业执照和法定代表人</w:t>
      </w:r>
      <w:r>
        <w:rPr>
          <w:rFonts w:hint="eastAsia" w:ascii="宋体" w:hAnsi="宋体" w:cs="宋体"/>
          <w:sz w:val="24"/>
        </w:rPr>
        <w:t>（非法人组织的负责人）</w:t>
      </w:r>
      <w:r>
        <w:rPr>
          <w:rFonts w:hint="eastAsia" w:ascii="宋体" w:hAnsi="宋体"/>
          <w:sz w:val="24"/>
        </w:rPr>
        <w:t>有效身份证明。无法提供证件原件的，应当提供真实有效的复印件，并签字或者盖章。 质疑人可以委托代理人办理质疑事项，代理人办理质疑事项时，除提交质疑书外，还应当提交质疑人的授权委托书及代理人的有效身份证明，授权委托书应当载明委托代理的具体权限、期限和事项。</w:t>
      </w:r>
    </w:p>
    <w:p>
      <w:pPr>
        <w:spacing w:line="560" w:lineRule="exact"/>
        <w:ind w:firstLine="480" w:firstLineChars="200"/>
        <w:jc w:val="left"/>
        <w:rPr>
          <w:rFonts w:ascii="宋体" w:hAnsi="宋体"/>
          <w:sz w:val="24"/>
        </w:rPr>
      </w:pPr>
      <w:r>
        <w:rPr>
          <w:rFonts w:hint="eastAsia" w:ascii="宋体" w:hAnsi="宋体"/>
          <w:sz w:val="24"/>
        </w:rPr>
        <w:t xml:space="preserve">37.6质疑有以下情形之一的，采购代理机构应当予以书面回复并说明原因： </w:t>
      </w:r>
    </w:p>
    <w:p>
      <w:pPr>
        <w:spacing w:line="560" w:lineRule="exact"/>
        <w:ind w:firstLine="480" w:firstLineChars="200"/>
        <w:jc w:val="left"/>
        <w:rPr>
          <w:rFonts w:ascii="宋体" w:hAnsi="宋体"/>
          <w:sz w:val="24"/>
        </w:rPr>
      </w:pPr>
      <w:r>
        <w:rPr>
          <w:rFonts w:hint="eastAsia" w:ascii="宋体" w:hAnsi="宋体"/>
          <w:sz w:val="24"/>
        </w:rPr>
        <w:t xml:space="preserve">（1）质疑人不是参与该本项目政府采购活动供应商的（潜在供应商对其已依法获取的可质疑的竞争性谈判文件的质疑除外）； </w:t>
      </w:r>
    </w:p>
    <w:p>
      <w:pPr>
        <w:spacing w:line="560" w:lineRule="exact"/>
        <w:ind w:firstLine="480" w:firstLineChars="200"/>
        <w:jc w:val="left"/>
        <w:rPr>
          <w:rFonts w:ascii="宋体" w:hAnsi="宋体"/>
          <w:sz w:val="24"/>
        </w:rPr>
      </w:pPr>
      <w:r>
        <w:rPr>
          <w:rFonts w:hint="eastAsia" w:ascii="宋体" w:hAnsi="宋体"/>
          <w:sz w:val="24"/>
        </w:rPr>
        <w:t xml:space="preserve">（2）质疑人与质疑事项不存在利害关系的； </w:t>
      </w:r>
    </w:p>
    <w:p>
      <w:pPr>
        <w:spacing w:line="560" w:lineRule="exact"/>
        <w:ind w:firstLine="480" w:firstLineChars="200"/>
        <w:jc w:val="left"/>
        <w:rPr>
          <w:rFonts w:ascii="宋体" w:hAnsi="宋体"/>
          <w:sz w:val="24"/>
        </w:rPr>
      </w:pPr>
      <w:r>
        <w:rPr>
          <w:rFonts w:hint="eastAsia" w:ascii="宋体" w:hAnsi="宋体"/>
          <w:sz w:val="24"/>
        </w:rPr>
        <w:t xml:space="preserve">（3）所有质疑事项均不符合相关法律、法规的； </w:t>
      </w:r>
    </w:p>
    <w:p>
      <w:pPr>
        <w:spacing w:line="560" w:lineRule="exact"/>
        <w:ind w:firstLine="480" w:firstLineChars="200"/>
        <w:jc w:val="left"/>
        <w:rPr>
          <w:rFonts w:ascii="宋体" w:hAnsi="宋体"/>
          <w:sz w:val="24"/>
        </w:rPr>
      </w:pPr>
      <w:r>
        <w:rPr>
          <w:rFonts w:hint="eastAsia" w:ascii="宋体" w:hAnsi="宋体"/>
          <w:sz w:val="24"/>
        </w:rPr>
        <w:t xml:space="preserve">（4）提起质疑的时间超过规定规定期限的； </w:t>
      </w:r>
    </w:p>
    <w:p>
      <w:pPr>
        <w:spacing w:line="560" w:lineRule="exact"/>
        <w:ind w:firstLine="480" w:firstLineChars="200"/>
        <w:jc w:val="left"/>
        <w:rPr>
          <w:rFonts w:ascii="宋体" w:hAnsi="宋体"/>
          <w:sz w:val="24"/>
        </w:rPr>
      </w:pPr>
      <w:r>
        <w:rPr>
          <w:rFonts w:hint="eastAsia" w:ascii="宋体" w:hAnsi="宋体"/>
          <w:sz w:val="24"/>
        </w:rPr>
        <w:t xml:space="preserve">（5）质疑答复后，同一质疑人就同一事项再次提出质疑的； </w:t>
      </w:r>
    </w:p>
    <w:p>
      <w:pPr>
        <w:spacing w:line="560" w:lineRule="exact"/>
        <w:ind w:firstLine="480" w:firstLineChars="200"/>
        <w:jc w:val="left"/>
        <w:rPr>
          <w:rFonts w:ascii="宋体" w:hAnsi="宋体"/>
          <w:sz w:val="24"/>
        </w:rPr>
      </w:pPr>
      <w:r>
        <w:rPr>
          <w:rFonts w:hint="eastAsia" w:ascii="宋体" w:hAnsi="宋体"/>
          <w:sz w:val="24"/>
        </w:rPr>
        <w:t xml:space="preserve">（6）其他不符合受理条件的情形。 </w:t>
      </w:r>
    </w:p>
    <w:p>
      <w:pPr>
        <w:spacing w:line="560" w:lineRule="exact"/>
        <w:ind w:firstLine="480" w:firstLineChars="200"/>
        <w:jc w:val="left"/>
        <w:rPr>
          <w:rFonts w:ascii="宋体" w:hAnsi="宋体"/>
          <w:sz w:val="24"/>
        </w:rPr>
      </w:pPr>
      <w:r>
        <w:rPr>
          <w:rFonts w:hint="eastAsia" w:ascii="宋体" w:hAnsi="宋体"/>
          <w:sz w:val="24"/>
        </w:rPr>
        <w:t>37.7采购代理机构将在受理质疑后七个工作日内作出答复，并以书面形式通知质疑人和其他有关供应商。</w:t>
      </w:r>
    </w:p>
    <w:p>
      <w:pPr>
        <w:spacing w:line="560" w:lineRule="exact"/>
        <w:ind w:firstLine="480" w:firstLineChars="200"/>
        <w:jc w:val="left"/>
        <w:rPr>
          <w:rFonts w:ascii="宋体" w:hAnsi="宋体" w:cs="宋体"/>
          <w:sz w:val="24"/>
          <w:u w:val="single"/>
        </w:rPr>
      </w:pPr>
      <w:r>
        <w:rPr>
          <w:rFonts w:hint="eastAsia" w:ascii="宋体" w:hAnsi="宋体"/>
          <w:sz w:val="24"/>
        </w:rPr>
        <w:t>37.8质疑人对答复不满意以及采购代理机构未在规定的时间内作出答复的，可以在答复期满后 15 个工作日内向监督管理部门投诉。</w:t>
      </w:r>
    </w:p>
    <w:p>
      <w:pPr>
        <w:pStyle w:val="5"/>
        <w:spacing w:before="0" w:after="0" w:line="560" w:lineRule="exact"/>
        <w:rPr>
          <w:rFonts w:hAnsi="宋体" w:cs="宋体"/>
          <w:szCs w:val="24"/>
          <w:u w:val="none"/>
        </w:rPr>
      </w:pPr>
      <w:bookmarkStart w:id="316" w:name="_Toc26483"/>
      <w:bookmarkStart w:id="317" w:name="_Toc51176622"/>
      <w:r>
        <w:rPr>
          <w:rFonts w:hint="eastAsia" w:hAnsi="宋体" w:cs="宋体"/>
          <w:szCs w:val="24"/>
          <w:u w:val="none"/>
        </w:rPr>
        <w:t>38.项目其他相关费用</w:t>
      </w:r>
      <w:bookmarkEnd w:id="316"/>
      <w:bookmarkEnd w:id="317"/>
    </w:p>
    <w:p>
      <w:pPr>
        <w:spacing w:line="560" w:lineRule="exact"/>
        <w:ind w:firstLine="480" w:firstLineChars="200"/>
        <w:jc w:val="left"/>
        <w:rPr>
          <w:rFonts w:ascii="宋体" w:hAnsi="宋体" w:cs="宋体"/>
          <w:sz w:val="24"/>
        </w:rPr>
      </w:pPr>
      <w:bookmarkStart w:id="318" w:name="_Toc411637995"/>
      <w:r>
        <w:rPr>
          <w:rFonts w:hint="eastAsia" w:ascii="宋体" w:hAnsi="宋体" w:cs="宋体"/>
          <w:sz w:val="24"/>
        </w:rPr>
        <w:t>38.1成交服务费</w:t>
      </w:r>
      <w:bookmarkEnd w:id="318"/>
    </w:p>
    <w:p>
      <w:pPr>
        <w:spacing w:line="560" w:lineRule="exact"/>
        <w:ind w:firstLine="480" w:firstLineChars="200"/>
        <w:jc w:val="left"/>
        <w:rPr>
          <w:rFonts w:ascii="宋体" w:hAnsi="宋体" w:cs="宋体"/>
          <w:sz w:val="24"/>
        </w:rPr>
      </w:pPr>
      <w:r>
        <w:rPr>
          <w:rFonts w:hint="eastAsia" w:ascii="宋体" w:hAnsi="宋体" w:cs="宋体"/>
          <w:sz w:val="24"/>
        </w:rPr>
        <w:t>成交服务费收取标准详</w:t>
      </w:r>
      <w:r>
        <w:rPr>
          <w:rFonts w:hint="eastAsia" w:ascii="宋体" w:hAnsi="宋体" w:cs="宋体"/>
          <w:sz w:val="24"/>
          <w:u w:val="single"/>
        </w:rPr>
        <w:t>见供应商须知资料表。</w:t>
      </w:r>
    </w:p>
    <w:p>
      <w:pPr>
        <w:spacing w:line="560" w:lineRule="exact"/>
        <w:ind w:firstLine="480" w:firstLineChars="200"/>
        <w:jc w:val="left"/>
        <w:rPr>
          <w:rFonts w:ascii="宋体" w:hAnsi="宋体" w:cs="宋体"/>
          <w:sz w:val="24"/>
        </w:rPr>
      </w:pPr>
      <w:r>
        <w:rPr>
          <w:rFonts w:hint="eastAsia" w:ascii="宋体" w:hAnsi="宋体" w:cs="宋体"/>
          <w:sz w:val="24"/>
        </w:rPr>
        <w:t>成交供应商应按照</w:t>
      </w:r>
      <w:r>
        <w:rPr>
          <w:rFonts w:hint="eastAsia" w:ascii="宋体" w:hAnsi="宋体" w:cs="宋体"/>
          <w:sz w:val="24"/>
          <w:u w:val="single"/>
        </w:rPr>
        <w:t>供应商须知资料表</w:t>
      </w:r>
      <w:r>
        <w:rPr>
          <w:rFonts w:hint="eastAsia" w:ascii="宋体" w:hAnsi="宋体" w:cs="宋体"/>
          <w:sz w:val="24"/>
        </w:rPr>
        <w:t>规定的时间和方式缴纳成交服务费。</w:t>
      </w:r>
    </w:p>
    <w:p>
      <w:pPr>
        <w:spacing w:line="560" w:lineRule="exact"/>
        <w:ind w:firstLine="480" w:firstLineChars="200"/>
        <w:jc w:val="left"/>
        <w:rPr>
          <w:rFonts w:ascii="宋体" w:hAnsi="宋体" w:cs="宋体"/>
          <w:sz w:val="24"/>
        </w:rPr>
      </w:pPr>
      <w:r>
        <w:rPr>
          <w:rFonts w:hint="eastAsia" w:ascii="宋体" w:hAnsi="宋体" w:cs="宋体"/>
          <w:sz w:val="24"/>
        </w:rPr>
        <w:t>38.2政府采购专家评审费</w:t>
      </w:r>
    </w:p>
    <w:p>
      <w:pPr>
        <w:spacing w:line="560" w:lineRule="exact"/>
        <w:ind w:firstLine="480" w:firstLineChars="200"/>
        <w:jc w:val="left"/>
        <w:rPr>
          <w:rFonts w:ascii="宋体" w:hAnsi="宋体" w:cs="宋体"/>
          <w:sz w:val="24"/>
        </w:rPr>
      </w:pPr>
      <w:r>
        <w:rPr>
          <w:rFonts w:hint="eastAsia" w:ascii="宋体" w:hAnsi="宋体" w:cs="宋体"/>
          <w:sz w:val="24"/>
        </w:rPr>
        <w:t>由采购人承担，按照山东省有关规定的标准执行。</w:t>
      </w:r>
    </w:p>
    <w:p>
      <w:pPr>
        <w:pStyle w:val="5"/>
        <w:spacing w:before="0" w:after="0" w:line="560" w:lineRule="exact"/>
        <w:rPr>
          <w:rFonts w:hAnsi="宋体" w:cs="宋体"/>
          <w:szCs w:val="24"/>
          <w:u w:val="none"/>
        </w:rPr>
      </w:pPr>
      <w:bookmarkStart w:id="319" w:name="_Toc9502"/>
      <w:bookmarkStart w:id="320" w:name="_Toc19447"/>
      <w:bookmarkStart w:id="321" w:name="_Toc51176623"/>
      <w:r>
        <w:rPr>
          <w:rFonts w:hint="eastAsia" w:hAnsi="宋体" w:cs="宋体"/>
          <w:szCs w:val="24"/>
          <w:u w:val="none"/>
        </w:rPr>
        <w:t>39.合同公示</w:t>
      </w:r>
      <w:bookmarkEnd w:id="319"/>
      <w:bookmarkEnd w:id="320"/>
    </w:p>
    <w:p>
      <w:pPr>
        <w:pStyle w:val="8"/>
        <w:spacing w:line="560" w:lineRule="exact"/>
      </w:pPr>
      <w:r>
        <w:rPr>
          <w:rFonts w:hint="eastAsia"/>
        </w:rPr>
        <w:t xml:space="preserve"> 采购人应当自政府采购合同签订之日起2个工作日内，在省级以上人民政府财政部门指定的媒体上公告，但政府采购合同中涉及国家秘密、商业秘密的内容除外。</w:t>
      </w:r>
    </w:p>
    <w:p>
      <w:pPr>
        <w:pStyle w:val="5"/>
        <w:spacing w:before="0" w:after="0" w:line="560" w:lineRule="exact"/>
        <w:rPr>
          <w:rFonts w:hAnsi="宋体" w:cs="宋体"/>
          <w:szCs w:val="24"/>
          <w:u w:val="none"/>
        </w:rPr>
      </w:pPr>
      <w:bookmarkStart w:id="322" w:name="_Toc17632"/>
      <w:bookmarkStart w:id="323" w:name="_Toc9970"/>
      <w:r>
        <w:rPr>
          <w:rFonts w:hint="eastAsia" w:hAnsi="宋体" w:cs="宋体"/>
          <w:szCs w:val="24"/>
          <w:u w:val="none"/>
        </w:rPr>
        <w:t>40.验收</w:t>
      </w:r>
      <w:bookmarkEnd w:id="322"/>
      <w:bookmarkEnd w:id="323"/>
    </w:p>
    <w:p>
      <w:pPr>
        <w:pStyle w:val="8"/>
        <w:spacing w:line="560" w:lineRule="exact"/>
        <w:ind w:firstLine="480" w:firstLineChars="200"/>
      </w:pPr>
      <w:r>
        <w:rPr>
          <w:rFonts w:hint="eastAsia"/>
        </w:rPr>
        <w:t>采购人或者采购代理机构应当按照政府采购合同规定的技术、安全标准组织对供应商履约情况进行验收，并出具验收书。验收书应当包括每一项技术、安全标准的履约情况。</w:t>
      </w:r>
    </w:p>
    <w:p>
      <w:pPr>
        <w:pStyle w:val="5"/>
        <w:spacing w:before="0" w:after="0" w:line="560" w:lineRule="exact"/>
        <w:rPr>
          <w:rFonts w:hAnsi="宋体" w:cs="宋体"/>
          <w:szCs w:val="24"/>
          <w:u w:val="none"/>
        </w:rPr>
      </w:pPr>
      <w:bookmarkStart w:id="324" w:name="_Toc20028"/>
      <w:bookmarkStart w:id="325" w:name="_Toc8529"/>
      <w:r>
        <w:rPr>
          <w:rFonts w:hint="eastAsia" w:hAnsi="宋体" w:cs="宋体"/>
          <w:szCs w:val="24"/>
          <w:u w:val="none"/>
        </w:rPr>
        <w:t>41.履约验收公示</w:t>
      </w:r>
      <w:bookmarkEnd w:id="324"/>
      <w:bookmarkEnd w:id="325"/>
    </w:p>
    <w:p>
      <w:pPr>
        <w:pStyle w:val="8"/>
        <w:spacing w:line="560" w:lineRule="exact"/>
        <w:ind w:firstLine="480" w:firstLineChars="200"/>
      </w:pPr>
      <w:r>
        <w:rPr>
          <w:rFonts w:hint="eastAsia"/>
        </w:rPr>
        <w:t>采购人、采购代理机构应当在采购合同履约验收结束后3个工作日内，将验收报告予以公开发布。</w:t>
      </w:r>
    </w:p>
    <w:p>
      <w:pPr>
        <w:pStyle w:val="5"/>
        <w:spacing w:before="0" w:after="0" w:line="560" w:lineRule="exact"/>
        <w:rPr>
          <w:rFonts w:hAnsi="宋体" w:cs="宋体"/>
          <w:szCs w:val="24"/>
          <w:u w:val="none"/>
        </w:rPr>
      </w:pPr>
      <w:bookmarkStart w:id="326" w:name="_Toc24468"/>
      <w:r>
        <w:rPr>
          <w:rFonts w:hint="eastAsia" w:hAnsi="宋体" w:cs="宋体"/>
          <w:szCs w:val="24"/>
          <w:u w:val="none"/>
        </w:rPr>
        <w:t>42.竞争性谈判文件解释权</w:t>
      </w:r>
      <w:bookmarkEnd w:id="321"/>
      <w:bookmarkEnd w:id="326"/>
    </w:p>
    <w:p>
      <w:pPr>
        <w:spacing w:line="560" w:lineRule="exact"/>
        <w:ind w:firstLine="480" w:firstLineChars="200"/>
        <w:jc w:val="left"/>
        <w:rPr>
          <w:rFonts w:ascii="宋体" w:hAnsi="宋体" w:cs="宋体"/>
          <w:sz w:val="24"/>
          <w:lang w:val="en-GB"/>
        </w:rPr>
      </w:pPr>
      <w:r>
        <w:rPr>
          <w:rFonts w:hint="eastAsia" w:ascii="宋体" w:hAnsi="宋体" w:cs="宋体"/>
          <w:sz w:val="24"/>
          <w:u w:val="single"/>
          <w:lang w:val="en-GB"/>
        </w:rPr>
        <w:t>见</w:t>
      </w:r>
      <w:r>
        <w:rPr>
          <w:rFonts w:hint="eastAsia" w:ascii="宋体" w:hAnsi="宋体" w:cs="宋体"/>
          <w:sz w:val="24"/>
          <w:u w:val="single"/>
        </w:rPr>
        <w:t>供应商</w:t>
      </w:r>
      <w:r>
        <w:rPr>
          <w:rFonts w:hint="eastAsia" w:ascii="宋体" w:hAnsi="宋体" w:cs="宋体"/>
          <w:sz w:val="24"/>
          <w:u w:val="single"/>
          <w:lang w:val="en-GB"/>
        </w:rPr>
        <w:t>须知资料表</w:t>
      </w:r>
      <w:r>
        <w:rPr>
          <w:rFonts w:hint="eastAsia" w:ascii="宋体" w:hAnsi="宋体" w:cs="宋体"/>
          <w:sz w:val="24"/>
          <w:lang w:val="en-GB"/>
        </w:rPr>
        <w:t>。</w:t>
      </w:r>
    </w:p>
    <w:p>
      <w:pPr>
        <w:widowControl/>
        <w:spacing w:line="560" w:lineRule="exact"/>
        <w:jc w:val="left"/>
        <w:rPr>
          <w:rFonts w:ascii="宋体" w:hAnsi="宋体" w:cs="宋体"/>
          <w:sz w:val="24"/>
          <w:lang w:val="en-GB"/>
        </w:rPr>
      </w:pPr>
      <w:r>
        <w:rPr>
          <w:rFonts w:hint="eastAsia" w:ascii="宋体" w:hAnsi="宋体" w:cs="宋体"/>
          <w:sz w:val="24"/>
          <w:lang w:val="en-GB"/>
        </w:rPr>
        <w:br w:type="page"/>
      </w:r>
    </w:p>
    <w:p>
      <w:pPr>
        <w:pStyle w:val="3"/>
        <w:tabs>
          <w:tab w:val="left" w:pos="0"/>
        </w:tabs>
        <w:spacing w:before="0" w:after="0" w:line="560" w:lineRule="exact"/>
        <w:rPr>
          <w:rFonts w:hAnsi="宋体" w:cs="宋体"/>
        </w:rPr>
      </w:pPr>
      <w:bookmarkStart w:id="327" w:name="_Toc1624"/>
      <w:bookmarkStart w:id="328" w:name="_Toc17976"/>
      <w:bookmarkStart w:id="329" w:name="_Toc23883"/>
      <w:bookmarkStart w:id="330" w:name="_Toc51176624"/>
      <w:bookmarkStart w:id="331" w:name="_Toc518923103"/>
      <w:r>
        <w:rPr>
          <w:rFonts w:hint="eastAsia" w:hAnsi="宋体" w:cs="宋体"/>
        </w:rPr>
        <w:t>第三章  货物需求</w:t>
      </w:r>
      <w:bookmarkEnd w:id="327"/>
      <w:bookmarkEnd w:id="328"/>
    </w:p>
    <w:p>
      <w:pPr>
        <w:pStyle w:val="4"/>
        <w:spacing w:line="560" w:lineRule="exact"/>
        <w:jc w:val="left"/>
        <w:rPr>
          <w:rFonts w:ascii="宋体" w:hAnsi="宋体"/>
        </w:rPr>
      </w:pPr>
      <w:bookmarkStart w:id="332" w:name="_Toc10686"/>
      <w:bookmarkStart w:id="333" w:name="_Toc11013"/>
      <w:bookmarkStart w:id="334" w:name="_Toc6518"/>
      <w:r>
        <w:rPr>
          <w:rFonts w:hint="eastAsia" w:ascii="宋体" w:hAnsi="宋体"/>
        </w:rPr>
        <w:t>一、</w:t>
      </w:r>
      <w:r>
        <w:rPr>
          <w:rFonts w:hint="eastAsia" w:ascii="宋体" w:hAnsi="宋体"/>
          <w:spacing w:val="-2"/>
        </w:rPr>
        <w:t>项</w:t>
      </w:r>
      <w:r>
        <w:rPr>
          <w:rFonts w:hint="eastAsia" w:ascii="宋体" w:hAnsi="宋体"/>
        </w:rPr>
        <w:t>目</w:t>
      </w:r>
      <w:r>
        <w:rPr>
          <w:rFonts w:hint="eastAsia" w:ascii="宋体" w:hAnsi="宋体"/>
          <w:spacing w:val="-2"/>
        </w:rPr>
        <w:t>概</w:t>
      </w:r>
      <w:r>
        <w:rPr>
          <w:rFonts w:hint="eastAsia" w:ascii="宋体" w:hAnsi="宋体"/>
        </w:rPr>
        <w:t>述</w:t>
      </w:r>
      <w:bookmarkEnd w:id="332"/>
      <w:bookmarkEnd w:id="333"/>
      <w:bookmarkEnd w:id="334"/>
    </w:p>
    <w:p>
      <w:pPr>
        <w:pStyle w:val="8"/>
        <w:spacing w:line="560" w:lineRule="exact"/>
        <w:ind w:firstLine="480" w:firstLineChars="200"/>
      </w:pPr>
      <w:r>
        <w:rPr>
          <w:rFonts w:hint="eastAsia"/>
        </w:rPr>
        <w:t>1、采购标的内容：淄博稷下实验学校功能室配备采购项目。</w:t>
      </w:r>
    </w:p>
    <w:p>
      <w:pPr>
        <w:pStyle w:val="8"/>
        <w:spacing w:line="560" w:lineRule="exact"/>
        <w:ind w:firstLine="480" w:firstLineChars="200"/>
      </w:pPr>
      <w:r>
        <w:rPr>
          <w:rFonts w:hint="eastAsia"/>
        </w:rPr>
        <w:t>2、实施地点：采购人指定地点。</w:t>
      </w:r>
    </w:p>
    <w:p>
      <w:pPr>
        <w:pStyle w:val="8"/>
        <w:spacing w:line="560" w:lineRule="exact"/>
        <w:ind w:firstLine="480" w:firstLineChars="200"/>
      </w:pPr>
      <w:r>
        <w:rPr>
          <w:rFonts w:hint="eastAsia"/>
        </w:rPr>
        <w:t>3、实施时间：签订合同后，接采购人通知之日起。</w:t>
      </w:r>
    </w:p>
    <w:p>
      <w:pPr>
        <w:pStyle w:val="8"/>
        <w:spacing w:line="560" w:lineRule="exact"/>
        <w:ind w:firstLine="480" w:firstLineChars="200"/>
      </w:pPr>
      <w:r>
        <w:rPr>
          <w:rFonts w:hint="eastAsia"/>
        </w:rPr>
        <w:t>4、供货要求：合同签订并接到采购人通</w:t>
      </w:r>
      <w:r>
        <w:rPr>
          <w:rFonts w:hint="eastAsia"/>
          <w:highlight w:val="none"/>
        </w:rPr>
        <w:t>知后20日内供货并安装调试完毕验收</w:t>
      </w:r>
      <w:r>
        <w:rPr>
          <w:rFonts w:hint="eastAsia"/>
        </w:rPr>
        <w:t>合格。货物须运至采购人指定的地点，且按要求安装到位后，经采购人验收合格后方可交货。由成交供应商自身原因造成的时间延误，由成交供应商负全部责任，如发现不合格产品或不符合合同质量要求等，采购人有权拒绝验收，由此导致的供货时间延误、费用的增加由成交供应商全部承担，造成的损失采购人保留索赔的权利。</w:t>
      </w:r>
    </w:p>
    <w:p>
      <w:pPr>
        <w:pStyle w:val="8"/>
        <w:spacing w:line="560" w:lineRule="exact"/>
        <w:ind w:firstLine="480" w:firstLineChars="200"/>
      </w:pPr>
      <w:r>
        <w:rPr>
          <w:rFonts w:hint="eastAsia"/>
        </w:rPr>
        <w:t>5、质量要求：合格，所有产品及零部件应是全新的、未使用过的，完全符合采购规定的质量、规格和性能的要求，且须保证其所出售的上述货物没有侵犯任何第三人的知识产权和商业秘密等权利，如采购人使用成交供应商货物构成上述侵权的，则由成交供应商承担全部责任。所供货物的生产、制造、安装等各项技术标准，应当符合国家（强制性）标准、行业标准及各项规范要求；国家没有相应标准、规范的，可使用行业标准、规定；非标设备按采购约定的技术要求和规范，如因供应商包装不当以及其他原因造成损坏或丢失，应由供应商负责修复或补缺。如发现货物短缺、质次、损坏、产地和规格不符等问题，应作详细记录，由供应商立即无条件为采购人调换或补齐，同时由供应商承担因此而产生的一切后果。</w:t>
      </w:r>
    </w:p>
    <w:p>
      <w:pPr>
        <w:pStyle w:val="8"/>
        <w:spacing w:line="560" w:lineRule="exact"/>
        <w:ind w:firstLine="480" w:firstLineChars="200"/>
      </w:pPr>
      <w:r>
        <w:rPr>
          <w:rFonts w:hint="eastAsia"/>
        </w:rPr>
        <w:t>6、本项目整体质保年限不低</w:t>
      </w:r>
      <w:r>
        <w:rPr>
          <w:rFonts w:hint="eastAsia"/>
          <w:highlight w:val="none"/>
        </w:rPr>
        <w:t>于2年</w:t>
      </w:r>
      <w:r>
        <w:rPr>
          <w:rFonts w:hint="eastAsia"/>
        </w:rPr>
        <w:t>。质保期从验收合格之日起开始计算。</w:t>
      </w:r>
    </w:p>
    <w:p>
      <w:pPr>
        <w:pStyle w:val="8"/>
        <w:spacing w:line="560" w:lineRule="exact"/>
        <w:rPr>
          <w:rFonts w:hAnsi="宋体"/>
        </w:rPr>
      </w:pPr>
    </w:p>
    <w:p>
      <w:pPr>
        <w:spacing w:before="9" w:line="560" w:lineRule="exact"/>
        <w:jc w:val="left"/>
        <w:rPr>
          <w:rFonts w:ascii="宋体" w:hAnsi="宋体"/>
          <w:sz w:val="9"/>
          <w:szCs w:val="9"/>
        </w:rPr>
      </w:pPr>
    </w:p>
    <w:p>
      <w:pPr>
        <w:pStyle w:val="4"/>
        <w:spacing w:line="560" w:lineRule="exact"/>
        <w:jc w:val="left"/>
        <w:rPr>
          <w:rFonts w:ascii="宋体" w:hAnsi="宋体" w:cs="宋体"/>
        </w:rPr>
      </w:pPr>
      <w:bookmarkStart w:id="335" w:name="_Toc17578"/>
      <w:bookmarkStart w:id="336" w:name="_Toc20437"/>
      <w:bookmarkStart w:id="337" w:name="_Toc2823"/>
      <w:r>
        <w:rPr>
          <w:rFonts w:hint="eastAsia" w:ascii="宋体" w:hAnsi="宋体"/>
        </w:rPr>
        <w:t>二、货物明细</w:t>
      </w:r>
      <w:bookmarkEnd w:id="335"/>
      <w:bookmarkEnd w:id="336"/>
      <w:bookmarkEnd w:id="337"/>
    </w:p>
    <w:p>
      <w:pPr>
        <w:pStyle w:val="8"/>
        <w:spacing w:line="560" w:lineRule="exact"/>
        <w:ind w:firstLine="480" w:firstLineChars="200"/>
      </w:pPr>
      <w:r>
        <w:rPr>
          <w:rFonts w:hint="eastAsia"/>
        </w:rPr>
        <w:t xml:space="preserve">注：采购清单中的产品如属于政府强制采购的节能产品的，供应商所投产品须为属于财政部、发展改革委、生态环境部等部门发布的政府采购节能产品品目清单中的产品，在报价文件中提供依据国家确定的认证机构出具的、处于有效期之内的节能产品认证证书原件扫描件，否则谈判小组有权利拒绝其报价。 </w:t>
      </w:r>
    </w:p>
    <w:p>
      <w:pPr>
        <w:pStyle w:val="8"/>
        <w:spacing w:line="560" w:lineRule="exact"/>
        <w:ind w:firstLine="480" w:firstLineChars="200"/>
      </w:pPr>
      <w:r>
        <w:rPr>
          <w:rFonts w:hint="eastAsia"/>
        </w:rPr>
        <w:t>说明：1.为保证充分满足项目需要，采购人在落实拟采购产品的“采购项目清单及技术参数”要求时，通过网络等途径参考了部分厂家相应型号的产品，上述“采购项目清单及技术参数”中如有涉及产品厂家或产品型号时，仅出于描述技术参数、性能要求的需要，采购人不存在指定厂家、指定品牌型号的意向。</w:t>
      </w:r>
    </w:p>
    <w:p>
      <w:pPr>
        <w:pStyle w:val="8"/>
        <w:numPr>
          <w:ilvl w:val="0"/>
          <w:numId w:val="2"/>
        </w:numPr>
        <w:spacing w:line="560" w:lineRule="exact"/>
        <w:ind w:firstLine="480" w:firstLineChars="200"/>
      </w:pPr>
      <w:r>
        <w:rPr>
          <w:rFonts w:hint="eastAsia"/>
        </w:rPr>
        <w:t>供应商在报价时应从保证采购人需要为出发点选择合适的产品，拟报产品的参数、性能应相当于或不低于上述“采购项目清单及技术参数”中的技术参数、性能要求，应保证产品质量、功能满足采购人的实际使用需求。</w:t>
      </w:r>
    </w:p>
    <w:p>
      <w:pPr>
        <w:pStyle w:val="8"/>
        <w:numPr>
          <w:ilvl w:val="0"/>
          <w:numId w:val="2"/>
        </w:numPr>
        <w:spacing w:line="560" w:lineRule="exact"/>
        <w:ind w:firstLine="480" w:firstLineChars="200"/>
      </w:pPr>
      <w:r>
        <w:rPr>
          <w:rFonts w:hint="eastAsia"/>
        </w:rPr>
        <w:t>采购清单：</w:t>
      </w:r>
    </w:p>
    <w:tbl>
      <w:tblPr>
        <w:tblStyle w:val="23"/>
        <w:tblW w:w="9659" w:type="dxa"/>
        <w:tblInd w:w="93" w:type="dxa"/>
        <w:tblLayout w:type="fixed"/>
        <w:tblCellMar>
          <w:top w:w="0" w:type="dxa"/>
          <w:left w:w="108" w:type="dxa"/>
          <w:bottom w:w="0" w:type="dxa"/>
          <w:right w:w="108" w:type="dxa"/>
        </w:tblCellMar>
      </w:tblPr>
      <w:tblGrid>
        <w:gridCol w:w="750"/>
        <w:gridCol w:w="1005"/>
        <w:gridCol w:w="2358"/>
        <w:gridCol w:w="3720"/>
        <w:gridCol w:w="585"/>
        <w:gridCol w:w="495"/>
        <w:gridCol w:w="746"/>
      </w:tblGrid>
      <w:tr>
        <w:tblPrEx>
          <w:tblCellMar>
            <w:top w:w="0" w:type="dxa"/>
            <w:left w:w="108" w:type="dxa"/>
            <w:bottom w:w="0" w:type="dxa"/>
            <w:right w:w="108" w:type="dxa"/>
          </w:tblCellMar>
        </w:tblPrEx>
        <w:trPr>
          <w:trHeight w:val="495"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序号</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名称</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参考图片</w:t>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规格参数</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数量</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单位</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备注</w:t>
            </w:r>
          </w:p>
        </w:tc>
      </w:tr>
      <w:tr>
        <w:tblPrEx>
          <w:tblCellMar>
            <w:top w:w="0" w:type="dxa"/>
            <w:left w:w="108" w:type="dxa"/>
            <w:bottom w:w="0" w:type="dxa"/>
            <w:right w:w="108" w:type="dxa"/>
          </w:tblCellMar>
        </w:tblPrEx>
        <w:trPr>
          <w:trHeight w:val="570" w:hRule="atLeast"/>
        </w:trPr>
        <w:tc>
          <w:tcPr>
            <w:tcW w:w="9659" w:type="dxa"/>
            <w:gridSpan w:val="7"/>
            <w:tcBorders>
              <w:top w:val="single" w:color="000000" w:sz="4" w:space="0"/>
              <w:left w:val="single" w:color="000000" w:sz="4" w:space="0"/>
              <w:bottom w:val="single" w:color="000000" w:sz="4" w:space="0"/>
              <w:right w:val="nil"/>
            </w:tcBorders>
            <w:shd w:val="clear" w:color="auto" w:fill="FFFF00"/>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九年一贯制</w:t>
            </w:r>
          </w:p>
        </w:tc>
      </w:tr>
      <w:tr>
        <w:tblPrEx>
          <w:tblCellMar>
            <w:top w:w="0" w:type="dxa"/>
            <w:left w:w="108" w:type="dxa"/>
            <w:bottom w:w="0" w:type="dxa"/>
            <w:right w:w="108" w:type="dxa"/>
          </w:tblCellMar>
        </w:tblPrEx>
        <w:trPr>
          <w:trHeight w:val="312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多媒体讲台</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59264" behindDoc="0" locked="0" layoutInCell="1" allowOverlap="1">
                  <wp:simplePos x="0" y="0"/>
                  <wp:positionH relativeFrom="column">
                    <wp:posOffset>-57150</wp:posOffset>
                  </wp:positionH>
                  <wp:positionV relativeFrom="paragraph">
                    <wp:posOffset>590550</wp:posOffset>
                  </wp:positionV>
                  <wp:extent cx="1507490" cy="1285875"/>
                  <wp:effectExtent l="0" t="0" r="16510" b="9525"/>
                  <wp:wrapNone/>
                  <wp:docPr id="80" name="Picture_1"/>
                  <wp:cNvGraphicFramePr/>
                  <a:graphic xmlns:a="http://schemas.openxmlformats.org/drawingml/2006/main">
                    <a:graphicData uri="http://schemas.openxmlformats.org/drawingml/2006/picture">
                      <pic:pic xmlns:pic="http://schemas.openxmlformats.org/drawingml/2006/picture">
                        <pic:nvPicPr>
                          <pic:cNvPr id="80" name="Picture_1"/>
                          <pic:cNvPicPr/>
                        </pic:nvPicPr>
                        <pic:blipFill>
                          <a:blip r:embed="rId17" cstate="print"/>
                          <a:stretch>
                            <a:fillRect/>
                          </a:stretch>
                        </pic:blipFill>
                        <pic:spPr>
                          <a:xfrm>
                            <a:off x="0" y="0"/>
                            <a:ext cx="1507490" cy="1285875"/>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规格：1140*800*1000±5mm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1、全钢制多媒体讲台，分体组合式结构；分体白灰色和木纹色组合式搭配美观大方；</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2、材质：选用优质冷轧钢板，钢板厚度≥1.2mm，白灰色和木纹色双色彩合理搭配</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4、具备可拆卸钢制木纹装饰板（即LOGO张贴板），具备可拆卸扶手，扶手采用优质橡胶木实木。维护后门留有散热孔</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5、可安装19寸—21英寸液晶显示器，采用液晶显示器升降设计，具备多个可调整角度，显示器、中央控制器、键盘互不影响独立操作；采用隐藏抽拉式设计，</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组</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史地教室</w:t>
            </w:r>
          </w:p>
        </w:tc>
      </w:tr>
      <w:tr>
        <w:tblPrEx>
          <w:tblCellMar>
            <w:top w:w="0" w:type="dxa"/>
            <w:left w:w="108" w:type="dxa"/>
            <w:bottom w:w="0" w:type="dxa"/>
            <w:right w:w="108" w:type="dxa"/>
          </w:tblCellMar>
        </w:tblPrEx>
        <w:trPr>
          <w:trHeight w:val="238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2</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实验桌</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60288" behindDoc="0" locked="0" layoutInCell="1" allowOverlap="1">
                  <wp:simplePos x="0" y="0"/>
                  <wp:positionH relativeFrom="column">
                    <wp:posOffset>-57150</wp:posOffset>
                  </wp:positionH>
                  <wp:positionV relativeFrom="paragraph">
                    <wp:posOffset>354330</wp:posOffset>
                  </wp:positionV>
                  <wp:extent cx="1447800" cy="1241425"/>
                  <wp:effectExtent l="0" t="0" r="0" b="15875"/>
                  <wp:wrapNone/>
                  <wp:docPr id="86" name="图片_2"/>
                  <wp:cNvGraphicFramePr/>
                  <a:graphic xmlns:a="http://schemas.openxmlformats.org/drawingml/2006/main">
                    <a:graphicData uri="http://schemas.openxmlformats.org/drawingml/2006/picture">
                      <pic:pic xmlns:pic="http://schemas.openxmlformats.org/drawingml/2006/picture">
                        <pic:nvPicPr>
                          <pic:cNvPr id="86" name="图片_2"/>
                          <pic:cNvPicPr/>
                        </pic:nvPicPr>
                        <pic:blipFill>
                          <a:blip r:embed="rId18" cstate="print"/>
                          <a:stretch>
                            <a:fillRect/>
                          </a:stretch>
                        </pic:blipFill>
                        <pic:spPr>
                          <a:xfrm>
                            <a:off x="0" y="0"/>
                            <a:ext cx="1447800" cy="1241425"/>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规格：1600*1600*760（六角桌）</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1、柜体：采用优质双面电解钢板，厚度≥1.0mm，表面接缝焊接处应无脱焊、虚焊、焊穿、错位、无夹渣、气孔、焊瘤、焊丝头、咬边、飞溅，表面波纹应均匀，具有耐腐蚀、光滑、不伤手等特点；</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2、喷涂：电解钢板表面采用室内环保型环氧树脂静电粉末喷涂，表面喷粉颜色靓丽，具有环保、抑菌等技术特点，颜色满足院方要求。</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3、台面：采用优质国产品牌理化板台面。</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9</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组</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史地教室</w:t>
            </w:r>
          </w:p>
        </w:tc>
      </w:tr>
      <w:tr>
        <w:tblPrEx>
          <w:tblCellMar>
            <w:top w:w="0" w:type="dxa"/>
            <w:left w:w="108" w:type="dxa"/>
            <w:bottom w:w="0" w:type="dxa"/>
            <w:right w:w="108" w:type="dxa"/>
          </w:tblCellMar>
        </w:tblPrEx>
        <w:trPr>
          <w:trHeight w:val="244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3</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实验凳</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61312" behindDoc="0" locked="0" layoutInCell="1" allowOverlap="1">
                  <wp:simplePos x="0" y="0"/>
                  <wp:positionH relativeFrom="column">
                    <wp:posOffset>152400</wp:posOffset>
                  </wp:positionH>
                  <wp:positionV relativeFrom="paragraph">
                    <wp:posOffset>361950</wp:posOffset>
                  </wp:positionV>
                  <wp:extent cx="942340" cy="1016000"/>
                  <wp:effectExtent l="0" t="0" r="10160" b="12700"/>
                  <wp:wrapNone/>
                  <wp:docPr id="83" name="图片_3"/>
                  <wp:cNvGraphicFramePr/>
                  <a:graphic xmlns:a="http://schemas.openxmlformats.org/drawingml/2006/main">
                    <a:graphicData uri="http://schemas.openxmlformats.org/drawingml/2006/picture">
                      <pic:pic xmlns:pic="http://schemas.openxmlformats.org/drawingml/2006/picture">
                        <pic:nvPicPr>
                          <pic:cNvPr id="83" name="图片_3"/>
                          <pic:cNvPicPr/>
                        </pic:nvPicPr>
                        <pic:blipFill>
                          <a:blip r:embed="rId19" cstate="print"/>
                          <a:stretch>
                            <a:fillRect/>
                          </a:stretch>
                        </pic:blipFill>
                        <pic:spPr>
                          <a:xfrm>
                            <a:off x="0" y="0"/>
                            <a:ext cx="942340" cy="1016000"/>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1.尺寸：Φ296*H380-510mm；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2.材质：ABS+优质不锈钢+铸铝五爪；</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工艺：面板采用ABS新料一次成型，钢管采用优质不锈钢，耐腐蚀，不易生锈；凳脚加黑色护垫，PP纤维质塑胶一体成型，防滑耐用耐摩擦，所有零部件采用永久性固定方式，脚垫及螺丝锁附采用航天技术，不会产生松散脱落现象；</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4.功能：椅子可随意升降，调整合适的使用高度；底部五星脚铝铸成型内附加强筋条。</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54</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个</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史地教室</w:t>
            </w:r>
          </w:p>
        </w:tc>
      </w:tr>
      <w:tr>
        <w:tblPrEx>
          <w:tblCellMar>
            <w:top w:w="0" w:type="dxa"/>
            <w:left w:w="108" w:type="dxa"/>
            <w:bottom w:w="0" w:type="dxa"/>
            <w:right w:w="108" w:type="dxa"/>
          </w:tblCellMar>
        </w:tblPrEx>
        <w:trPr>
          <w:trHeight w:val="2175"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4</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收纳柜</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62336" behindDoc="0" locked="0" layoutInCell="1" allowOverlap="1">
                  <wp:simplePos x="0" y="0"/>
                  <wp:positionH relativeFrom="column">
                    <wp:posOffset>295275</wp:posOffset>
                  </wp:positionH>
                  <wp:positionV relativeFrom="paragraph">
                    <wp:posOffset>314325</wp:posOffset>
                  </wp:positionV>
                  <wp:extent cx="832485" cy="1076325"/>
                  <wp:effectExtent l="0" t="0" r="5715" b="9525"/>
                  <wp:wrapNone/>
                  <wp:docPr id="82" name="图片_5"/>
                  <wp:cNvGraphicFramePr/>
                  <a:graphic xmlns:a="http://schemas.openxmlformats.org/drawingml/2006/main">
                    <a:graphicData uri="http://schemas.openxmlformats.org/drawingml/2006/picture">
                      <pic:pic xmlns:pic="http://schemas.openxmlformats.org/drawingml/2006/picture">
                        <pic:nvPicPr>
                          <pic:cNvPr id="82" name="图片_5"/>
                          <pic:cNvPicPr/>
                        </pic:nvPicPr>
                        <pic:blipFill>
                          <a:blip r:embed="rId20" cstate="print"/>
                          <a:stretch>
                            <a:fillRect/>
                          </a:stretch>
                        </pic:blipFill>
                        <pic:spPr>
                          <a:xfrm>
                            <a:off x="0" y="0"/>
                            <a:ext cx="832485" cy="1076325"/>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规格：2000*400*2000mm（具体根据现场制作）</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1、基材采用优质E1级实木多层板板，面材采用优质三聚氰胺饰面，具有耐磨、抗污染能力。符合GB18580-2017甲醛释放量低于0.05mg/m³。板材厚度≥18mm。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 封边采用全自动封边机，高温高压封边，优质PVC边条厚度≥2mm。高温热熔胶，永不脱落。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3、采用优质五金配件，镀锌偏心件，连接牢固，结构稳定。</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2</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组</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音乐教室</w:t>
            </w:r>
          </w:p>
        </w:tc>
      </w:tr>
      <w:tr>
        <w:tblPrEx>
          <w:tblCellMar>
            <w:top w:w="0" w:type="dxa"/>
            <w:left w:w="108" w:type="dxa"/>
            <w:bottom w:w="0" w:type="dxa"/>
            <w:right w:w="108" w:type="dxa"/>
          </w:tblCellMar>
        </w:tblPrEx>
        <w:trPr>
          <w:trHeight w:val="222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5</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百变组合柜</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63360" behindDoc="0" locked="0" layoutInCell="1" allowOverlap="1">
                  <wp:simplePos x="0" y="0"/>
                  <wp:positionH relativeFrom="column">
                    <wp:posOffset>0</wp:posOffset>
                  </wp:positionH>
                  <wp:positionV relativeFrom="paragraph">
                    <wp:posOffset>531495</wp:posOffset>
                  </wp:positionV>
                  <wp:extent cx="1266825" cy="618490"/>
                  <wp:effectExtent l="0" t="0" r="9525" b="10160"/>
                  <wp:wrapNone/>
                  <wp:docPr id="90" name="图片_4"/>
                  <wp:cNvGraphicFramePr/>
                  <a:graphic xmlns:a="http://schemas.openxmlformats.org/drawingml/2006/main">
                    <a:graphicData uri="http://schemas.openxmlformats.org/drawingml/2006/picture">
                      <pic:pic xmlns:pic="http://schemas.openxmlformats.org/drawingml/2006/picture">
                        <pic:nvPicPr>
                          <pic:cNvPr id="90" name="图片_4"/>
                          <pic:cNvPicPr/>
                        </pic:nvPicPr>
                        <pic:blipFill>
                          <a:blip r:embed="rId21" cstate="print"/>
                          <a:stretch>
                            <a:fillRect/>
                          </a:stretch>
                        </pic:blipFill>
                        <pic:spPr>
                          <a:xfrm>
                            <a:off x="0" y="0"/>
                            <a:ext cx="1266825" cy="618490"/>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规格：5600*400*2000mm（具体根据现场制作）</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1、基材采用优质E1级实木多层板板，面材采用优质三聚氰胺饰面，具有耐磨、抗污染能力。符合GB18580-2017甲醛释放量低于0.05mg/m³。板材厚度≥18mm。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 封边采用全自动封边机，高温高压封边，优质PVC边条厚度≥2mm。高温热熔胶，永不脱落。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3、采用优质五金配件，镀锌偏心件，连接牢固，结构稳定。</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2</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组</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音乐教室</w:t>
            </w:r>
          </w:p>
        </w:tc>
      </w:tr>
      <w:tr>
        <w:tblPrEx>
          <w:tblCellMar>
            <w:top w:w="0" w:type="dxa"/>
            <w:left w:w="108" w:type="dxa"/>
            <w:bottom w:w="0" w:type="dxa"/>
            <w:right w:w="108" w:type="dxa"/>
          </w:tblCellMar>
        </w:tblPrEx>
        <w:trPr>
          <w:trHeight w:val="2055"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6</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展示架博古架</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64384" behindDoc="0" locked="0" layoutInCell="1" allowOverlap="1">
                  <wp:simplePos x="0" y="0"/>
                  <wp:positionH relativeFrom="column">
                    <wp:posOffset>28575</wp:posOffset>
                  </wp:positionH>
                  <wp:positionV relativeFrom="paragraph">
                    <wp:posOffset>190500</wp:posOffset>
                  </wp:positionV>
                  <wp:extent cx="1306830" cy="1104900"/>
                  <wp:effectExtent l="0" t="0" r="7620" b="0"/>
                  <wp:wrapNone/>
                  <wp:docPr id="88" name="图片_6"/>
                  <wp:cNvGraphicFramePr/>
                  <a:graphic xmlns:a="http://schemas.openxmlformats.org/drawingml/2006/main">
                    <a:graphicData uri="http://schemas.openxmlformats.org/drawingml/2006/picture">
                      <pic:pic xmlns:pic="http://schemas.openxmlformats.org/drawingml/2006/picture">
                        <pic:nvPicPr>
                          <pic:cNvPr id="88" name="图片_6"/>
                          <pic:cNvPicPr/>
                        </pic:nvPicPr>
                        <pic:blipFill>
                          <a:blip r:embed="rId22" cstate="print"/>
                          <a:stretch>
                            <a:fillRect/>
                          </a:stretch>
                        </pic:blipFill>
                        <pic:spPr>
                          <a:xfrm>
                            <a:off x="0" y="0"/>
                            <a:ext cx="1306830" cy="1104900"/>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规格：1600*400*2000（具体根据现场制作）</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1、采用优质实木，半卯榫结构，木材经防虫、防腐处理。木材经烘干处理，含水率8-10%。木材经烘干处理。</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2、油漆：采用优质环保水性漆，符合国家标准GB18581-2009《室内装饰装修材料溶剂型木器涂料中有害物质限量》规定，经五底三面工艺，</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组</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书法教室</w:t>
            </w:r>
          </w:p>
        </w:tc>
      </w:tr>
      <w:tr>
        <w:tblPrEx>
          <w:tblCellMar>
            <w:top w:w="0" w:type="dxa"/>
            <w:left w:w="108" w:type="dxa"/>
            <w:bottom w:w="0" w:type="dxa"/>
            <w:right w:w="108" w:type="dxa"/>
          </w:tblCellMar>
        </w:tblPrEx>
        <w:trPr>
          <w:trHeight w:val="2055"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8</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临摹练习专用纸</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65408" behindDoc="0" locked="0" layoutInCell="1" allowOverlap="1">
                  <wp:simplePos x="0" y="0"/>
                  <wp:positionH relativeFrom="column">
                    <wp:posOffset>171450</wp:posOffset>
                  </wp:positionH>
                  <wp:positionV relativeFrom="paragraph">
                    <wp:posOffset>133350</wp:posOffset>
                  </wp:positionV>
                  <wp:extent cx="981075" cy="1121410"/>
                  <wp:effectExtent l="0" t="0" r="9525" b="2540"/>
                  <wp:wrapNone/>
                  <wp:docPr id="87" name="图片_22"/>
                  <wp:cNvGraphicFramePr/>
                  <a:graphic xmlns:a="http://schemas.openxmlformats.org/drawingml/2006/main">
                    <a:graphicData uri="http://schemas.openxmlformats.org/drawingml/2006/picture">
                      <pic:pic xmlns:pic="http://schemas.openxmlformats.org/drawingml/2006/picture">
                        <pic:nvPicPr>
                          <pic:cNvPr id="87" name="图片_22"/>
                          <pic:cNvPicPr/>
                        </pic:nvPicPr>
                        <pic:blipFill>
                          <a:blip r:embed="rId23" cstate="print"/>
                          <a:stretch>
                            <a:fillRect/>
                          </a:stretch>
                        </pic:blipFill>
                        <pic:spPr>
                          <a:xfrm>
                            <a:off x="0" y="0"/>
                            <a:ext cx="981075" cy="1121410"/>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半生熟宣纸</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10</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包</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书法教室</w:t>
            </w:r>
          </w:p>
        </w:tc>
      </w:tr>
      <w:tr>
        <w:tblPrEx>
          <w:tblCellMar>
            <w:top w:w="0" w:type="dxa"/>
            <w:left w:w="108" w:type="dxa"/>
            <w:bottom w:w="0" w:type="dxa"/>
            <w:right w:w="108" w:type="dxa"/>
          </w:tblCellMar>
        </w:tblPrEx>
        <w:trPr>
          <w:trHeight w:val="2175"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9</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收纳柜</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66432" behindDoc="0" locked="0" layoutInCell="1" allowOverlap="1">
                  <wp:simplePos x="0" y="0"/>
                  <wp:positionH relativeFrom="column">
                    <wp:posOffset>276225</wp:posOffset>
                  </wp:positionH>
                  <wp:positionV relativeFrom="paragraph">
                    <wp:posOffset>390525</wp:posOffset>
                  </wp:positionV>
                  <wp:extent cx="832485" cy="1076325"/>
                  <wp:effectExtent l="0" t="0" r="5715" b="9525"/>
                  <wp:wrapNone/>
                  <wp:docPr id="85" name="图片_7"/>
                  <wp:cNvGraphicFramePr/>
                  <a:graphic xmlns:a="http://schemas.openxmlformats.org/drawingml/2006/main">
                    <a:graphicData uri="http://schemas.openxmlformats.org/drawingml/2006/picture">
                      <pic:pic xmlns:pic="http://schemas.openxmlformats.org/drawingml/2006/picture">
                        <pic:nvPicPr>
                          <pic:cNvPr id="85" name="图片_7"/>
                          <pic:cNvPicPr/>
                        </pic:nvPicPr>
                        <pic:blipFill>
                          <a:blip r:embed="rId24" cstate="print"/>
                          <a:stretch>
                            <a:fillRect/>
                          </a:stretch>
                        </pic:blipFill>
                        <pic:spPr>
                          <a:xfrm>
                            <a:off x="0" y="0"/>
                            <a:ext cx="832485" cy="1076325"/>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规格：2000*400*2000mm（具体根据现场制作）</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1、基材采用优质E1级实木多层板板，面材采用优质三聚氰胺饰面，具有耐磨、抗污染能力。符合GB18580-2017甲醛释放量低于0.05mg/m³。板材厚度≥18mm。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 封边采用全自动封边机，高温高压封边，优质PVC边条厚度≥2mm。高温热熔胶，永不脱落。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3、采用优质五金配件，镀锌偏心件，连接牢固，结构稳定。</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组</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美术教室</w:t>
            </w:r>
          </w:p>
        </w:tc>
      </w:tr>
      <w:tr>
        <w:tblPrEx>
          <w:tblCellMar>
            <w:top w:w="0" w:type="dxa"/>
            <w:left w:w="108" w:type="dxa"/>
            <w:bottom w:w="0" w:type="dxa"/>
            <w:right w:w="108" w:type="dxa"/>
          </w:tblCellMar>
        </w:tblPrEx>
        <w:trPr>
          <w:trHeight w:val="24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10</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博古架</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67456" behindDoc="0" locked="0" layoutInCell="1" allowOverlap="1">
                  <wp:simplePos x="0" y="0"/>
                  <wp:positionH relativeFrom="column">
                    <wp:posOffset>66675</wp:posOffset>
                  </wp:positionH>
                  <wp:positionV relativeFrom="paragraph">
                    <wp:posOffset>400050</wp:posOffset>
                  </wp:positionV>
                  <wp:extent cx="1198880" cy="1229360"/>
                  <wp:effectExtent l="0" t="0" r="1270" b="8890"/>
                  <wp:wrapNone/>
                  <wp:docPr id="89" name="图片_8"/>
                  <wp:cNvGraphicFramePr/>
                  <a:graphic xmlns:a="http://schemas.openxmlformats.org/drawingml/2006/main">
                    <a:graphicData uri="http://schemas.openxmlformats.org/drawingml/2006/picture">
                      <pic:pic xmlns:pic="http://schemas.openxmlformats.org/drawingml/2006/picture">
                        <pic:nvPicPr>
                          <pic:cNvPr id="89" name="图片_8"/>
                          <pic:cNvPicPr/>
                        </pic:nvPicPr>
                        <pic:blipFill>
                          <a:blip r:embed="rId25" cstate="print"/>
                          <a:stretch>
                            <a:fillRect/>
                          </a:stretch>
                        </pic:blipFill>
                        <pic:spPr>
                          <a:xfrm>
                            <a:off x="0" y="0"/>
                            <a:ext cx="1198880" cy="1229360"/>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规格：2000*450*2000mm（具体根据现场制作）</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1、基材采用优质E1级实木多层板，面材采用优质三聚氰胺饰面，具有耐磨、抗污染能力。符合GB18580-2017甲醛释放量低于0.05mg/m³。板材厚度≥18mm。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 封边采用全自动封边机，高温高压封边，优质PVC边条厚度≥2mm。高温热熔胶，永不脱落。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3、采用优质五金配件，镀锌偏心件，连接牢固，结构稳定。</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组</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美术教室</w:t>
            </w:r>
          </w:p>
        </w:tc>
      </w:tr>
      <w:tr>
        <w:tblPrEx>
          <w:tblCellMar>
            <w:top w:w="0" w:type="dxa"/>
            <w:left w:w="108" w:type="dxa"/>
            <w:bottom w:w="0" w:type="dxa"/>
            <w:right w:w="108" w:type="dxa"/>
          </w:tblCellMar>
        </w:tblPrEx>
        <w:trPr>
          <w:trHeight w:val="29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多媒体讲台</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68480" behindDoc="0" locked="0" layoutInCell="1" allowOverlap="1">
                  <wp:simplePos x="0" y="0"/>
                  <wp:positionH relativeFrom="column">
                    <wp:posOffset>38100</wp:posOffset>
                  </wp:positionH>
                  <wp:positionV relativeFrom="paragraph">
                    <wp:posOffset>561975</wp:posOffset>
                  </wp:positionV>
                  <wp:extent cx="1231265" cy="1210310"/>
                  <wp:effectExtent l="0" t="0" r="6985" b="8890"/>
                  <wp:wrapNone/>
                  <wp:docPr id="84" name="Picture_1_SpCnt_1"/>
                  <wp:cNvGraphicFramePr/>
                  <a:graphic xmlns:a="http://schemas.openxmlformats.org/drawingml/2006/main">
                    <a:graphicData uri="http://schemas.openxmlformats.org/drawingml/2006/picture">
                      <pic:pic xmlns:pic="http://schemas.openxmlformats.org/drawingml/2006/picture">
                        <pic:nvPicPr>
                          <pic:cNvPr id="84" name="Picture_1_SpCnt_1"/>
                          <pic:cNvPicPr/>
                        </pic:nvPicPr>
                        <pic:blipFill>
                          <a:blip r:embed="rId17" cstate="print"/>
                          <a:stretch>
                            <a:fillRect/>
                          </a:stretch>
                        </pic:blipFill>
                        <pic:spPr>
                          <a:xfrm>
                            <a:off x="0" y="0"/>
                            <a:ext cx="1231265" cy="1210310"/>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规格：1140*800*1000±5mm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1、全钢制多媒体讲台，分体组合式结构；分体白灰色和木纹色组合式搭配美观大方；</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2、材质：选用优质冷轧钢板，钢板厚度≥1.2mm，白灰色和木纹色双色彩合理搭配</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4、具备可拆卸钢制木纹装饰板（即LOGO张贴板），具备可拆卸扶手，扶手采用优质橡胶木实木。维护后门留有散热孔</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5、可安装19寸—21英寸液晶显示器，采用液晶显示器升降设计，具备多个可调整角度，显示器、中央控制器、键盘互不影响独立操作；采用隐藏抽拉式设计，</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组</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美术教室</w:t>
            </w:r>
          </w:p>
        </w:tc>
      </w:tr>
      <w:tr>
        <w:tblPrEx>
          <w:tblCellMar>
            <w:top w:w="0" w:type="dxa"/>
            <w:left w:w="108" w:type="dxa"/>
            <w:bottom w:w="0" w:type="dxa"/>
            <w:right w:w="108" w:type="dxa"/>
          </w:tblCellMar>
        </w:tblPrEx>
        <w:trPr>
          <w:trHeight w:val="24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12</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操作桌</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69504" behindDoc="0" locked="0" layoutInCell="1" allowOverlap="1">
                  <wp:simplePos x="0" y="0"/>
                  <wp:positionH relativeFrom="column">
                    <wp:posOffset>95250</wp:posOffset>
                  </wp:positionH>
                  <wp:positionV relativeFrom="paragraph">
                    <wp:posOffset>295275</wp:posOffset>
                  </wp:positionV>
                  <wp:extent cx="1209675" cy="1025525"/>
                  <wp:effectExtent l="0" t="0" r="9525" b="3175"/>
                  <wp:wrapNone/>
                  <wp:docPr id="94" name="图片_10"/>
                  <wp:cNvGraphicFramePr/>
                  <a:graphic xmlns:a="http://schemas.openxmlformats.org/drawingml/2006/main">
                    <a:graphicData uri="http://schemas.openxmlformats.org/drawingml/2006/picture">
                      <pic:pic xmlns:pic="http://schemas.openxmlformats.org/drawingml/2006/picture">
                        <pic:nvPicPr>
                          <pic:cNvPr id="94" name="图片_10"/>
                          <pic:cNvPicPr/>
                        </pic:nvPicPr>
                        <pic:blipFill>
                          <a:blip r:embed="rId26" cstate="print"/>
                          <a:stretch>
                            <a:fillRect/>
                          </a:stretch>
                        </pic:blipFill>
                        <pic:spPr>
                          <a:xfrm>
                            <a:off x="0" y="0"/>
                            <a:ext cx="1209675" cy="1025525"/>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规格：2000*800*760mm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1、基材采用优质E1级实木多层板，面材采用优质三聚氰胺饰面，具有耐磨、抗污染能力。符合GB18580-2017甲醛释放量低于0.05mg/m³。板材厚度≥18mm。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 封边采用全自动封边机，高温高压封边，优质PVC边条厚度≥2mm。高温热熔胶，永不脱落。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3、采用优质五金配件，镀锌偏心件，连接牢固，结构稳定。</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4、优质钢制支架壁厚≥1.5mm</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2</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张</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美术教室</w:t>
            </w:r>
          </w:p>
        </w:tc>
      </w:tr>
      <w:tr>
        <w:tblPrEx>
          <w:tblCellMar>
            <w:top w:w="0" w:type="dxa"/>
            <w:left w:w="108" w:type="dxa"/>
            <w:bottom w:w="0" w:type="dxa"/>
            <w:right w:w="108" w:type="dxa"/>
          </w:tblCellMar>
        </w:tblPrEx>
        <w:trPr>
          <w:trHeight w:val="24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13</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扎染桌布</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70528" behindDoc="0" locked="0" layoutInCell="1" allowOverlap="1">
                  <wp:simplePos x="0" y="0"/>
                  <wp:positionH relativeFrom="column">
                    <wp:posOffset>66675</wp:posOffset>
                  </wp:positionH>
                  <wp:positionV relativeFrom="paragraph">
                    <wp:posOffset>152400</wp:posOffset>
                  </wp:positionV>
                  <wp:extent cx="1223010" cy="1238250"/>
                  <wp:effectExtent l="0" t="0" r="15240" b="0"/>
                  <wp:wrapNone/>
                  <wp:docPr id="96" name="图片_24"/>
                  <wp:cNvGraphicFramePr/>
                  <a:graphic xmlns:a="http://schemas.openxmlformats.org/drawingml/2006/main">
                    <a:graphicData uri="http://schemas.openxmlformats.org/drawingml/2006/picture">
                      <pic:pic xmlns:pic="http://schemas.openxmlformats.org/drawingml/2006/picture">
                        <pic:nvPicPr>
                          <pic:cNvPr id="96" name="图片_24"/>
                          <pic:cNvPicPr/>
                        </pic:nvPicPr>
                        <pic:blipFill>
                          <a:blip r:embed="rId27" cstate="print"/>
                          <a:stretch>
                            <a:fillRect/>
                          </a:stretch>
                        </pic:blipFill>
                        <pic:spPr>
                          <a:xfrm>
                            <a:off x="0" y="0"/>
                            <a:ext cx="1223010" cy="1238250"/>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吸水性好，易清洁</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4</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块</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美术教室</w:t>
            </w:r>
          </w:p>
        </w:tc>
      </w:tr>
      <w:tr>
        <w:tblPrEx>
          <w:tblCellMar>
            <w:top w:w="0" w:type="dxa"/>
            <w:left w:w="108" w:type="dxa"/>
            <w:bottom w:w="0" w:type="dxa"/>
            <w:right w:w="108" w:type="dxa"/>
          </w:tblCellMar>
        </w:tblPrEx>
        <w:trPr>
          <w:trHeight w:val="24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14</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坯架</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71552" behindDoc="0" locked="0" layoutInCell="1" allowOverlap="1">
                  <wp:simplePos x="0" y="0"/>
                  <wp:positionH relativeFrom="column">
                    <wp:posOffset>57150</wp:posOffset>
                  </wp:positionH>
                  <wp:positionV relativeFrom="paragraph">
                    <wp:posOffset>381000</wp:posOffset>
                  </wp:positionV>
                  <wp:extent cx="1237615" cy="1113790"/>
                  <wp:effectExtent l="0" t="0" r="635" b="10160"/>
                  <wp:wrapNone/>
                  <wp:docPr id="95" name="图片_23"/>
                  <wp:cNvGraphicFramePr/>
                  <a:graphic xmlns:a="http://schemas.openxmlformats.org/drawingml/2006/main">
                    <a:graphicData uri="http://schemas.openxmlformats.org/drawingml/2006/picture">
                      <pic:pic xmlns:pic="http://schemas.openxmlformats.org/drawingml/2006/picture">
                        <pic:nvPicPr>
                          <pic:cNvPr id="95" name="图片_23"/>
                          <pic:cNvPicPr/>
                        </pic:nvPicPr>
                        <pic:blipFill>
                          <a:blip r:embed="rId28" cstate="print"/>
                          <a:stretch>
                            <a:fillRect/>
                          </a:stretch>
                        </pic:blipFill>
                        <pic:spPr>
                          <a:xfrm>
                            <a:off x="0" y="0"/>
                            <a:ext cx="1237615" cy="1113790"/>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规格：1200*400*800mm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1、基材采用优质E1级实木多层板，面材采用优质三聚氰胺饰面，具有耐磨、抗污染能力。符合GB18580-2017甲醛释放量低于0.05mg/m³。板材厚度≥18mm。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 封边采用全自动封边机，高温高压封边，优质PVC边条厚度≥2mm。高温热熔胶，永不脱落。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3、采用优质五金配件，镀锌偏心件，连接牢固，结构稳定。</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4、优质钢制支架壁厚≥1.5mm</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2</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个</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美术教室</w:t>
            </w:r>
          </w:p>
        </w:tc>
      </w:tr>
      <w:tr>
        <w:tblPrEx>
          <w:tblCellMar>
            <w:top w:w="0" w:type="dxa"/>
            <w:left w:w="108" w:type="dxa"/>
            <w:bottom w:w="0" w:type="dxa"/>
            <w:right w:w="108" w:type="dxa"/>
          </w:tblCellMar>
        </w:tblPrEx>
        <w:trPr>
          <w:trHeight w:val="24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15</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条凳</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72576" behindDoc="0" locked="0" layoutInCell="1" allowOverlap="1">
                  <wp:simplePos x="0" y="0"/>
                  <wp:positionH relativeFrom="column">
                    <wp:posOffset>47625</wp:posOffset>
                  </wp:positionH>
                  <wp:positionV relativeFrom="paragraph">
                    <wp:posOffset>314325</wp:posOffset>
                  </wp:positionV>
                  <wp:extent cx="1152525" cy="1123315"/>
                  <wp:effectExtent l="0" t="0" r="9525" b="635"/>
                  <wp:wrapNone/>
                  <wp:docPr id="93" name="图片_11"/>
                  <wp:cNvGraphicFramePr/>
                  <a:graphic xmlns:a="http://schemas.openxmlformats.org/drawingml/2006/main">
                    <a:graphicData uri="http://schemas.openxmlformats.org/drawingml/2006/picture">
                      <pic:pic xmlns:pic="http://schemas.openxmlformats.org/drawingml/2006/picture">
                        <pic:nvPicPr>
                          <pic:cNvPr id="93" name="图片_11"/>
                          <pic:cNvPicPr/>
                        </pic:nvPicPr>
                        <pic:blipFill>
                          <a:blip r:embed="rId29" cstate="print"/>
                          <a:stretch>
                            <a:fillRect/>
                          </a:stretch>
                        </pic:blipFill>
                        <pic:spPr>
                          <a:xfrm>
                            <a:off x="0" y="0"/>
                            <a:ext cx="1152525" cy="1123315"/>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规格：1200*400*450mm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1、采用优质实木，半卯榫结构，木材经防虫、防腐处理。木材经烘干处理，含水率8-10%。木材经烘干处理。</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2、油漆：采用优质环保水性漆，符合国家标准GB18581-2009《室内装饰装修材料溶剂型木器涂料中有害物质限量》规定，经五底三面工艺，</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2</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个</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美术教室</w:t>
            </w:r>
          </w:p>
        </w:tc>
      </w:tr>
      <w:tr>
        <w:tblPrEx>
          <w:tblCellMar>
            <w:top w:w="0" w:type="dxa"/>
            <w:left w:w="108" w:type="dxa"/>
            <w:bottom w:w="0" w:type="dxa"/>
            <w:right w:w="108" w:type="dxa"/>
          </w:tblCellMar>
        </w:tblPrEx>
        <w:trPr>
          <w:trHeight w:val="24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16</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实木凳</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73600" behindDoc="0" locked="0" layoutInCell="1" allowOverlap="1">
                  <wp:simplePos x="0" y="0"/>
                  <wp:positionH relativeFrom="column">
                    <wp:posOffset>190500</wp:posOffset>
                  </wp:positionH>
                  <wp:positionV relativeFrom="paragraph">
                    <wp:posOffset>152400</wp:posOffset>
                  </wp:positionV>
                  <wp:extent cx="876300" cy="1316990"/>
                  <wp:effectExtent l="0" t="0" r="0" b="16510"/>
                  <wp:wrapNone/>
                  <wp:docPr id="97" name="图片_12"/>
                  <wp:cNvGraphicFramePr/>
                  <a:graphic xmlns:a="http://schemas.openxmlformats.org/drawingml/2006/main">
                    <a:graphicData uri="http://schemas.openxmlformats.org/drawingml/2006/picture">
                      <pic:pic xmlns:pic="http://schemas.openxmlformats.org/drawingml/2006/picture">
                        <pic:nvPicPr>
                          <pic:cNvPr id="97" name="图片_12"/>
                          <pic:cNvPicPr/>
                        </pic:nvPicPr>
                        <pic:blipFill>
                          <a:blip r:embed="rId30" cstate="print"/>
                          <a:stretch>
                            <a:fillRect/>
                          </a:stretch>
                        </pic:blipFill>
                        <pic:spPr>
                          <a:xfrm>
                            <a:off x="0" y="0"/>
                            <a:ext cx="876300" cy="1316990"/>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规格：240*340*450mm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1、采用优质实木，半卯榫结构，木材经防虫、防腐处理。木材经烘干处理，含水率8-10%。木材经烘干处理。</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2、油漆：采用优质环保水性漆，符合国家标准GB18581-2009《室内装饰装修材料溶剂型木器涂料中有害物质限量》规定，经五底三面工艺，</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2</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个</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美术教室</w:t>
            </w:r>
          </w:p>
        </w:tc>
      </w:tr>
      <w:tr>
        <w:tblPrEx>
          <w:tblCellMar>
            <w:top w:w="0" w:type="dxa"/>
            <w:left w:w="108" w:type="dxa"/>
            <w:bottom w:w="0" w:type="dxa"/>
            <w:right w:w="108" w:type="dxa"/>
          </w:tblCellMar>
        </w:tblPrEx>
        <w:trPr>
          <w:trHeight w:val="24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17</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展架</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74624" behindDoc="0" locked="0" layoutInCell="1" allowOverlap="1">
                  <wp:simplePos x="0" y="0"/>
                  <wp:positionH relativeFrom="column">
                    <wp:posOffset>104775</wp:posOffset>
                  </wp:positionH>
                  <wp:positionV relativeFrom="paragraph">
                    <wp:posOffset>333375</wp:posOffset>
                  </wp:positionV>
                  <wp:extent cx="1236980" cy="1114425"/>
                  <wp:effectExtent l="0" t="0" r="1270" b="9525"/>
                  <wp:wrapNone/>
                  <wp:docPr id="91" name="图片_13"/>
                  <wp:cNvGraphicFramePr/>
                  <a:graphic xmlns:a="http://schemas.openxmlformats.org/drawingml/2006/main">
                    <a:graphicData uri="http://schemas.openxmlformats.org/drawingml/2006/picture">
                      <pic:pic xmlns:pic="http://schemas.openxmlformats.org/drawingml/2006/picture">
                        <pic:nvPicPr>
                          <pic:cNvPr id="91" name="图片_13"/>
                          <pic:cNvPicPr/>
                        </pic:nvPicPr>
                        <pic:blipFill>
                          <a:blip r:embed="rId25" cstate="print"/>
                          <a:stretch>
                            <a:fillRect/>
                          </a:stretch>
                        </pic:blipFill>
                        <pic:spPr>
                          <a:xfrm>
                            <a:off x="0" y="0"/>
                            <a:ext cx="1236980" cy="1114425"/>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规格：2000*450*2000mm（具体根据现场制作）</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1、基材采用优质E1级实木多层板，面材采用优质三聚氰胺饰面，具有耐磨、抗污染能力。符合GB18580-2017甲醛释放量低于0.05mg/m³。板材厚度≥18mm。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 封边采用全自动封边机，高温高压封边，优质PVC边条厚度≥2mm。高温热熔胶，永不脱落。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3、采用优质五金配件，镀锌偏心件，连接牢固，结构稳定。</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组</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美术教室</w:t>
            </w:r>
          </w:p>
        </w:tc>
      </w:tr>
      <w:tr>
        <w:tblPrEx>
          <w:tblCellMar>
            <w:top w:w="0" w:type="dxa"/>
            <w:left w:w="108" w:type="dxa"/>
            <w:bottom w:w="0" w:type="dxa"/>
            <w:right w:w="108" w:type="dxa"/>
          </w:tblCellMar>
        </w:tblPrEx>
        <w:trPr>
          <w:trHeight w:val="24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18</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展示柜</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75648" behindDoc="0" locked="0" layoutInCell="1" allowOverlap="1">
                  <wp:simplePos x="0" y="0"/>
                  <wp:positionH relativeFrom="column">
                    <wp:posOffset>85725</wp:posOffset>
                  </wp:positionH>
                  <wp:positionV relativeFrom="paragraph">
                    <wp:posOffset>323850</wp:posOffset>
                  </wp:positionV>
                  <wp:extent cx="1256665" cy="1134110"/>
                  <wp:effectExtent l="0" t="0" r="635" b="8890"/>
                  <wp:wrapNone/>
                  <wp:docPr id="92" name="图片_14"/>
                  <wp:cNvGraphicFramePr/>
                  <a:graphic xmlns:a="http://schemas.openxmlformats.org/drawingml/2006/main">
                    <a:graphicData uri="http://schemas.openxmlformats.org/drawingml/2006/picture">
                      <pic:pic xmlns:pic="http://schemas.openxmlformats.org/drawingml/2006/picture">
                        <pic:nvPicPr>
                          <pic:cNvPr id="92" name="图片_14"/>
                          <pic:cNvPicPr/>
                        </pic:nvPicPr>
                        <pic:blipFill>
                          <a:blip r:embed="rId25" cstate="print"/>
                          <a:stretch>
                            <a:fillRect/>
                          </a:stretch>
                        </pic:blipFill>
                        <pic:spPr>
                          <a:xfrm>
                            <a:off x="0" y="0"/>
                            <a:ext cx="1256665" cy="1134110"/>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规格：2000*450*2000mm（具体根据现场制作）</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1、基材采用优质E1级实木多层板，面材采用优质三聚氰胺饰面，具有耐磨、抗污染能力。符合GB18580-2017甲醛释放量低于0.05mg/m³。板材厚度≥18mm。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 封边采用全自动封边机，高温高压封边，优质PVC边条厚度≥2mm。高温热熔胶，永不脱落。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3、采用优质五金配件，镀锌偏心件，连接牢固，结构稳定。</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组</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美术教室</w:t>
            </w:r>
          </w:p>
        </w:tc>
      </w:tr>
      <w:tr>
        <w:tblPrEx>
          <w:tblCellMar>
            <w:top w:w="0" w:type="dxa"/>
            <w:left w:w="108" w:type="dxa"/>
            <w:bottom w:w="0" w:type="dxa"/>
            <w:right w:w="108" w:type="dxa"/>
          </w:tblCellMar>
        </w:tblPrEx>
        <w:trPr>
          <w:trHeight w:val="2175"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19</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收纳柜</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76672" behindDoc="0" locked="0" layoutInCell="1" allowOverlap="1">
                  <wp:simplePos x="0" y="0"/>
                  <wp:positionH relativeFrom="column">
                    <wp:posOffset>238125</wp:posOffset>
                  </wp:positionH>
                  <wp:positionV relativeFrom="paragraph">
                    <wp:posOffset>371475</wp:posOffset>
                  </wp:positionV>
                  <wp:extent cx="832485" cy="1076325"/>
                  <wp:effectExtent l="0" t="0" r="5715" b="9525"/>
                  <wp:wrapNone/>
                  <wp:docPr id="116" name="图片_15"/>
                  <wp:cNvGraphicFramePr/>
                  <a:graphic xmlns:a="http://schemas.openxmlformats.org/drawingml/2006/main">
                    <a:graphicData uri="http://schemas.openxmlformats.org/drawingml/2006/picture">
                      <pic:pic xmlns:pic="http://schemas.openxmlformats.org/drawingml/2006/picture">
                        <pic:nvPicPr>
                          <pic:cNvPr id="116" name="图片_15"/>
                          <pic:cNvPicPr/>
                        </pic:nvPicPr>
                        <pic:blipFill>
                          <a:blip r:embed="rId31" cstate="print"/>
                          <a:stretch>
                            <a:fillRect/>
                          </a:stretch>
                        </pic:blipFill>
                        <pic:spPr>
                          <a:xfrm>
                            <a:off x="0" y="0"/>
                            <a:ext cx="832485" cy="1076325"/>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规格：2000*400*2000mm（具体根据现场制作）</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1、基材采用优质E1级实木多层板板，面材采用优质三聚氰胺饰面，具有耐磨、抗污染能力。符合GB18580-2017甲醛释放量低于0.05mg/m³。板材厚度≥18mm。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 封边采用全自动封边机，高温高压封边，优质PVC边条厚度≥2mm。高温热熔胶，永不脱落。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3、采用优质五金配件，镀锌偏心件，连接牢固，结构稳定。</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组</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通用技术</w:t>
            </w:r>
          </w:p>
        </w:tc>
      </w:tr>
      <w:tr>
        <w:tblPrEx>
          <w:tblCellMar>
            <w:top w:w="0" w:type="dxa"/>
            <w:left w:w="108" w:type="dxa"/>
            <w:bottom w:w="0" w:type="dxa"/>
            <w:right w:w="108" w:type="dxa"/>
          </w:tblCellMar>
        </w:tblPrEx>
        <w:trPr>
          <w:trHeight w:val="24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20</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矮柜</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77696" behindDoc="0" locked="0" layoutInCell="1" allowOverlap="1">
                  <wp:simplePos x="0" y="0"/>
                  <wp:positionH relativeFrom="column">
                    <wp:posOffset>-19050</wp:posOffset>
                  </wp:positionH>
                  <wp:positionV relativeFrom="paragraph">
                    <wp:posOffset>514350</wp:posOffset>
                  </wp:positionV>
                  <wp:extent cx="1416050" cy="800100"/>
                  <wp:effectExtent l="0" t="0" r="12700" b="0"/>
                  <wp:wrapNone/>
                  <wp:docPr id="115" name="图片_16"/>
                  <wp:cNvGraphicFramePr/>
                  <a:graphic xmlns:a="http://schemas.openxmlformats.org/drawingml/2006/main">
                    <a:graphicData uri="http://schemas.openxmlformats.org/drawingml/2006/picture">
                      <pic:pic xmlns:pic="http://schemas.openxmlformats.org/drawingml/2006/picture">
                        <pic:nvPicPr>
                          <pic:cNvPr id="115" name="图片_16"/>
                          <pic:cNvPicPr/>
                        </pic:nvPicPr>
                        <pic:blipFill>
                          <a:blip r:embed="rId32" cstate="print"/>
                          <a:stretch>
                            <a:fillRect/>
                          </a:stretch>
                        </pic:blipFill>
                        <pic:spPr>
                          <a:xfrm>
                            <a:off x="0" y="0"/>
                            <a:ext cx="1416050" cy="800100"/>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规格：5900*400*900mm（具体根据现场制作）</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1、基材采用优质E1级实木多层板板，面材采用优质三聚氰胺饰面，具有耐磨、抗污染能力。符合GB18580-2017甲醛释放量低于0.05mg/m³。板材厚度≥18mm。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 封边采用全自动封边机，高温高压封边，优质PVC边条厚度≥2mm。高温热熔胶，永不脱落。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3、采用优质五金配件，镀锌偏心件，连接牢固，结构稳定。</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组</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通用技术</w:t>
            </w:r>
          </w:p>
        </w:tc>
      </w:tr>
      <w:tr>
        <w:tblPrEx>
          <w:tblCellMar>
            <w:top w:w="0" w:type="dxa"/>
            <w:left w:w="108" w:type="dxa"/>
            <w:bottom w:w="0" w:type="dxa"/>
            <w:right w:w="108" w:type="dxa"/>
          </w:tblCellMar>
        </w:tblPrEx>
        <w:trPr>
          <w:trHeight w:val="25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21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实验凳</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77696" behindDoc="0" locked="0" layoutInCell="1" allowOverlap="1">
                  <wp:simplePos x="0" y="0"/>
                  <wp:positionH relativeFrom="column">
                    <wp:posOffset>171450</wp:posOffset>
                  </wp:positionH>
                  <wp:positionV relativeFrom="paragraph">
                    <wp:posOffset>390525</wp:posOffset>
                  </wp:positionV>
                  <wp:extent cx="942340" cy="1016000"/>
                  <wp:effectExtent l="0" t="0" r="10160" b="12700"/>
                  <wp:wrapNone/>
                  <wp:docPr id="114" name="图片_17"/>
                  <wp:cNvGraphicFramePr/>
                  <a:graphic xmlns:a="http://schemas.openxmlformats.org/drawingml/2006/main">
                    <a:graphicData uri="http://schemas.openxmlformats.org/drawingml/2006/picture">
                      <pic:pic xmlns:pic="http://schemas.openxmlformats.org/drawingml/2006/picture">
                        <pic:nvPicPr>
                          <pic:cNvPr id="114" name="图片_17"/>
                          <pic:cNvPicPr/>
                        </pic:nvPicPr>
                        <pic:blipFill>
                          <a:blip r:embed="rId33" cstate="print"/>
                          <a:stretch>
                            <a:fillRect/>
                          </a:stretch>
                        </pic:blipFill>
                        <pic:spPr>
                          <a:xfrm>
                            <a:off x="0" y="0"/>
                            <a:ext cx="942340" cy="1016000"/>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1.尺寸：Φ296*H380-510mm；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2.材质：ABS+优质不锈钢+铸铝五爪；</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工艺：面板采用ABS新料一次成型，钢管采用优质不锈钢，耐腐蚀，不易生锈；凳脚加黑色护垫，PP纤维质塑胶一体成型，防滑耐用耐摩擦，所有零部件采用永久性固定方式，脚垫及螺丝锁附采用航天技术，不会产生松散脱落现象；</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4.功能：椅子可随意升降，调整合适的使用高度；底部五星脚铝铸成型内附加强筋条。</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50</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个</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史地教室</w:t>
            </w:r>
          </w:p>
        </w:tc>
      </w:tr>
      <w:tr>
        <w:tblPrEx>
          <w:tblCellMar>
            <w:top w:w="0" w:type="dxa"/>
            <w:left w:w="108" w:type="dxa"/>
            <w:bottom w:w="0" w:type="dxa"/>
            <w:right w:w="108" w:type="dxa"/>
          </w:tblCellMar>
        </w:tblPrEx>
        <w:trPr>
          <w:trHeight w:val="24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22</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办公桌</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78720" behindDoc="0" locked="0" layoutInCell="1" allowOverlap="1">
                  <wp:simplePos x="0" y="0"/>
                  <wp:positionH relativeFrom="column">
                    <wp:posOffset>47625</wp:posOffset>
                  </wp:positionH>
                  <wp:positionV relativeFrom="paragraph">
                    <wp:posOffset>552450</wp:posOffset>
                  </wp:positionV>
                  <wp:extent cx="1170305" cy="962660"/>
                  <wp:effectExtent l="0" t="0" r="10795" b="8890"/>
                  <wp:wrapNone/>
                  <wp:docPr id="113" name="Picture_2"/>
                  <wp:cNvGraphicFramePr/>
                  <a:graphic xmlns:a="http://schemas.openxmlformats.org/drawingml/2006/main">
                    <a:graphicData uri="http://schemas.openxmlformats.org/drawingml/2006/picture">
                      <pic:pic xmlns:pic="http://schemas.openxmlformats.org/drawingml/2006/picture">
                        <pic:nvPicPr>
                          <pic:cNvPr id="113" name="Picture_2"/>
                          <pic:cNvPicPr/>
                        </pic:nvPicPr>
                        <pic:blipFill>
                          <a:blip r:embed="rId34" cstate="print"/>
                          <a:stretch>
                            <a:fillRect/>
                          </a:stretch>
                        </pic:blipFill>
                        <pic:spPr>
                          <a:xfrm>
                            <a:off x="0" y="0"/>
                            <a:ext cx="1170305" cy="962660"/>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规格：1400*700*750mm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1、基材采用优质E1级实木多层板，面材采用优质三聚氰胺饰面。符合GB18580-2017甲醛释放量低于0.05mg/m³，板材厚度≥16mm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2、封边采用全自动封边机，高温高压封边，优质PVC边条厚度≥2mm。高温热熔胶，永不脱落。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3、台面采用内斜式铝合金包边，台面上带铝合金金支架，可放置手机，支架中间带小隔断。</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4、桌面支架采用跟包边配套铝合金支架</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46</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张</w:t>
            </w:r>
          </w:p>
        </w:tc>
        <w:tc>
          <w:tcPr>
            <w:tcW w:w="7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教学班36，美术、书法、通用技术、音乐2间，物理化学生物实验室，计算机2间</w:t>
            </w:r>
          </w:p>
        </w:tc>
      </w:tr>
      <w:tr>
        <w:tblPrEx>
          <w:tblCellMar>
            <w:top w:w="0" w:type="dxa"/>
            <w:left w:w="108" w:type="dxa"/>
            <w:bottom w:w="0" w:type="dxa"/>
            <w:right w:w="108" w:type="dxa"/>
          </w:tblCellMar>
        </w:tblPrEx>
        <w:trPr>
          <w:trHeight w:val="24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23</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办公椅</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79744" behindDoc="0" locked="0" layoutInCell="1" allowOverlap="1">
                  <wp:simplePos x="0" y="0"/>
                  <wp:positionH relativeFrom="column">
                    <wp:posOffset>266700</wp:posOffset>
                  </wp:positionH>
                  <wp:positionV relativeFrom="paragraph">
                    <wp:posOffset>390525</wp:posOffset>
                  </wp:positionV>
                  <wp:extent cx="821690" cy="1080135"/>
                  <wp:effectExtent l="0" t="0" r="16510" b="5715"/>
                  <wp:wrapNone/>
                  <wp:docPr id="112" name="Picture_1_SpCnt_2"/>
                  <wp:cNvGraphicFramePr/>
                  <a:graphic xmlns:a="http://schemas.openxmlformats.org/drawingml/2006/main">
                    <a:graphicData uri="http://schemas.openxmlformats.org/drawingml/2006/picture">
                      <pic:pic xmlns:pic="http://schemas.openxmlformats.org/drawingml/2006/picture">
                        <pic:nvPicPr>
                          <pic:cNvPr id="112" name="Picture_1_SpCnt_2"/>
                          <pic:cNvPicPr/>
                        </pic:nvPicPr>
                        <pic:blipFill>
                          <a:blip r:embed="rId35" cstate="print"/>
                          <a:stretch>
                            <a:fillRect/>
                          </a:stretch>
                        </pic:blipFill>
                        <pic:spPr>
                          <a:xfrm>
                            <a:off x="0" y="0"/>
                            <a:ext cx="821690" cy="1080135"/>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规格：480*520*900mm±5mm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1、椅架：采用优质电镀弓形椅架，30*15*1.5mm方管，经酸洗磷化等工艺处理，不易折弯。</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2、座面宽度470mm，深度470mm，座面面料：尼龙网布；海绵：采用PU发泡一次（定型）成型海绵，密度≥40kg/m3，回弹性好。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3、靠背根据人体工学设计，能够减轻久坐后腰背不适，框架采用ABS工程塑料框架，结构稳固。靠背面料采用尼龙网面。</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46</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把</w:t>
            </w: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84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24</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计算机教室布线</w:t>
            </w:r>
          </w:p>
        </w:tc>
        <w:tc>
          <w:tcPr>
            <w:tcW w:w="60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国标强弱电</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2</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套</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720" w:hRule="atLeast"/>
        </w:trPr>
        <w:tc>
          <w:tcPr>
            <w:tcW w:w="9659" w:type="dxa"/>
            <w:gridSpan w:val="7"/>
            <w:tcBorders>
              <w:top w:val="single" w:color="000000" w:sz="4" w:space="0"/>
              <w:left w:val="single" w:color="000000" w:sz="4" w:space="0"/>
              <w:bottom w:val="single" w:color="000000" w:sz="4" w:space="0"/>
              <w:right w:val="nil"/>
            </w:tcBorders>
            <w:shd w:val="clear" w:color="auto" w:fill="FFFF00"/>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国际化高中</w:t>
            </w:r>
          </w:p>
        </w:tc>
      </w:tr>
      <w:tr>
        <w:tblPrEx>
          <w:tblCellMar>
            <w:top w:w="0" w:type="dxa"/>
            <w:left w:w="108" w:type="dxa"/>
            <w:bottom w:w="0" w:type="dxa"/>
            <w:right w:w="108" w:type="dxa"/>
          </w:tblCellMar>
        </w:tblPrEx>
        <w:trPr>
          <w:trHeight w:val="2175"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美工柜</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80768" behindDoc="0" locked="0" layoutInCell="1" allowOverlap="1">
                  <wp:simplePos x="0" y="0"/>
                  <wp:positionH relativeFrom="column">
                    <wp:posOffset>219075</wp:posOffset>
                  </wp:positionH>
                  <wp:positionV relativeFrom="paragraph">
                    <wp:posOffset>371475</wp:posOffset>
                  </wp:positionV>
                  <wp:extent cx="832485" cy="1076325"/>
                  <wp:effectExtent l="0" t="0" r="5715" b="9525"/>
                  <wp:wrapNone/>
                  <wp:docPr id="111" name="图片_20"/>
                  <wp:cNvGraphicFramePr/>
                  <a:graphic xmlns:a="http://schemas.openxmlformats.org/drawingml/2006/main">
                    <a:graphicData uri="http://schemas.openxmlformats.org/drawingml/2006/picture">
                      <pic:pic xmlns:pic="http://schemas.openxmlformats.org/drawingml/2006/picture">
                        <pic:nvPicPr>
                          <pic:cNvPr id="111" name="图片_20"/>
                          <pic:cNvPicPr/>
                        </pic:nvPicPr>
                        <pic:blipFill>
                          <a:blip r:embed="rId36" cstate="print"/>
                          <a:stretch>
                            <a:fillRect/>
                          </a:stretch>
                        </pic:blipFill>
                        <pic:spPr>
                          <a:xfrm>
                            <a:off x="0" y="0"/>
                            <a:ext cx="832485" cy="1076325"/>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规格：2000*400*2000mm（具体根据现场制作）</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1、基材采用优质E1级实木多层板板，面材采用优质三聚氰胺饰面，具有耐磨、抗污染能力。符合GB18580-2017甲醛释放量低于0.05mg/m³。板材厚度≥18mm。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 封边采用全自动封边机，高温高压封边，优质PVC边条厚度≥2mm。高温热熔胶，永不脱落。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3、采用优质五金配件，镀锌偏心件，连接牢固，结构稳定。</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组</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美术教室</w:t>
            </w:r>
          </w:p>
        </w:tc>
      </w:tr>
      <w:tr>
        <w:tblPrEx>
          <w:tblCellMar>
            <w:top w:w="0" w:type="dxa"/>
            <w:left w:w="108" w:type="dxa"/>
            <w:bottom w:w="0" w:type="dxa"/>
            <w:right w:w="108" w:type="dxa"/>
          </w:tblCellMar>
        </w:tblPrEx>
        <w:trPr>
          <w:trHeight w:val="21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2</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书法桌</w:t>
            </w:r>
          </w:p>
        </w:tc>
        <w:tc>
          <w:tcPr>
            <w:tcW w:w="23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81792" behindDoc="0" locked="0" layoutInCell="1" allowOverlap="1">
                  <wp:simplePos x="0" y="0"/>
                  <wp:positionH relativeFrom="column">
                    <wp:posOffset>-9525</wp:posOffset>
                  </wp:positionH>
                  <wp:positionV relativeFrom="paragraph">
                    <wp:posOffset>857250</wp:posOffset>
                  </wp:positionV>
                  <wp:extent cx="1412875" cy="952500"/>
                  <wp:effectExtent l="0" t="0" r="15875" b="0"/>
                  <wp:wrapNone/>
                  <wp:docPr id="110" name="Picture_5"/>
                  <wp:cNvGraphicFramePr/>
                  <a:graphic xmlns:a="http://schemas.openxmlformats.org/drawingml/2006/main">
                    <a:graphicData uri="http://schemas.openxmlformats.org/drawingml/2006/picture">
                      <pic:pic xmlns:pic="http://schemas.openxmlformats.org/drawingml/2006/picture">
                        <pic:nvPicPr>
                          <pic:cNvPr id="110" name="Picture_5"/>
                          <pic:cNvPicPr/>
                        </pic:nvPicPr>
                        <pic:blipFill>
                          <a:blip r:embed="rId37" cstate="print"/>
                          <a:stretch>
                            <a:fillRect/>
                          </a:stretch>
                        </pic:blipFill>
                        <pic:spPr>
                          <a:xfrm>
                            <a:off x="0" y="0"/>
                            <a:ext cx="1412875" cy="952500"/>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规格：1400*600*760mm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1、采用优质实木，半卯榫结构，木材经防虫、防腐处理。木材经烘干处理，含水率8-10%。木材经烘干处理。</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2、油漆：采用优质环保水性漆，符合国家标准GB18581-2009《室内装饰装修材料溶剂型木器涂料中有害物质限量》规定，经五底三面工艺，</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26</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张</w:t>
            </w:r>
          </w:p>
        </w:tc>
        <w:tc>
          <w:tcPr>
            <w:tcW w:w="7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9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3</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书法凳</w:t>
            </w:r>
          </w:p>
        </w:tc>
        <w:tc>
          <w:tcPr>
            <w:tcW w:w="23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规格：常规马鞍凳</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1、采用优质实木，半卯榫结构，木材经防虫、防腐处理。木材经烘干处理，含水率8-10%。木材经烘干处理。</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2、油漆：采用优质环保水性漆，符合国家标准GB18581-2009《室内装饰装修材料溶剂型木器涂料中有害物质限量》规定，经五底三面工艺，</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51</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把</w:t>
            </w: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055"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4</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展示架博古架</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82816" behindDoc="0" locked="0" layoutInCell="1" allowOverlap="1">
                  <wp:simplePos x="0" y="0"/>
                  <wp:positionH relativeFrom="column">
                    <wp:posOffset>190500</wp:posOffset>
                  </wp:positionH>
                  <wp:positionV relativeFrom="paragraph">
                    <wp:posOffset>276225</wp:posOffset>
                  </wp:positionV>
                  <wp:extent cx="1078230" cy="1067435"/>
                  <wp:effectExtent l="0" t="0" r="7620" b="18415"/>
                  <wp:wrapNone/>
                  <wp:docPr id="109" name="图片_25"/>
                  <wp:cNvGraphicFramePr/>
                  <a:graphic xmlns:a="http://schemas.openxmlformats.org/drawingml/2006/main">
                    <a:graphicData uri="http://schemas.openxmlformats.org/drawingml/2006/picture">
                      <pic:pic xmlns:pic="http://schemas.openxmlformats.org/drawingml/2006/picture">
                        <pic:nvPicPr>
                          <pic:cNvPr id="109" name="图片_25"/>
                          <pic:cNvPicPr/>
                        </pic:nvPicPr>
                        <pic:blipFill>
                          <a:blip r:embed="rId22" cstate="print"/>
                          <a:stretch>
                            <a:fillRect/>
                          </a:stretch>
                        </pic:blipFill>
                        <pic:spPr>
                          <a:xfrm>
                            <a:off x="0" y="0"/>
                            <a:ext cx="1078230" cy="1067435"/>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规格：1600*400*2000（具体根据现场制作）</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1、采用优质实木，半卯榫结构，木材经防虫、防腐处理。木材经烘干处理，含水率8-10%。木材经烘干处理。</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2、油漆：采用优质环保水性漆，符合国家标准GB18581-2009《室内装饰装修材料溶剂型木器涂料中有害物质限量》规定，经五底三面工艺，</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组</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书法教室</w:t>
            </w:r>
          </w:p>
        </w:tc>
      </w:tr>
      <w:tr>
        <w:tblPrEx>
          <w:tblCellMar>
            <w:top w:w="0" w:type="dxa"/>
            <w:left w:w="108" w:type="dxa"/>
            <w:bottom w:w="0" w:type="dxa"/>
            <w:right w:w="108" w:type="dxa"/>
          </w:tblCellMar>
        </w:tblPrEx>
        <w:trPr>
          <w:trHeight w:val="2055"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5</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临摹练习专用纸</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83840" behindDoc="0" locked="0" layoutInCell="1" allowOverlap="1">
                  <wp:simplePos x="0" y="0"/>
                  <wp:positionH relativeFrom="column">
                    <wp:posOffset>295275</wp:posOffset>
                  </wp:positionH>
                  <wp:positionV relativeFrom="paragraph">
                    <wp:posOffset>104775</wp:posOffset>
                  </wp:positionV>
                  <wp:extent cx="981075" cy="1121410"/>
                  <wp:effectExtent l="0" t="0" r="9525" b="2540"/>
                  <wp:wrapNone/>
                  <wp:docPr id="108" name="图片_26"/>
                  <wp:cNvGraphicFramePr/>
                  <a:graphic xmlns:a="http://schemas.openxmlformats.org/drawingml/2006/main">
                    <a:graphicData uri="http://schemas.openxmlformats.org/drawingml/2006/picture">
                      <pic:pic xmlns:pic="http://schemas.openxmlformats.org/drawingml/2006/picture">
                        <pic:nvPicPr>
                          <pic:cNvPr id="108" name="图片_26"/>
                          <pic:cNvPicPr/>
                        </pic:nvPicPr>
                        <pic:blipFill>
                          <a:blip r:embed="rId23" cstate="print"/>
                          <a:stretch>
                            <a:fillRect/>
                          </a:stretch>
                        </pic:blipFill>
                        <pic:spPr>
                          <a:xfrm>
                            <a:off x="0" y="0"/>
                            <a:ext cx="981075" cy="1121410"/>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半生熟宣纸</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10</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包</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书法教室</w:t>
            </w:r>
          </w:p>
        </w:tc>
      </w:tr>
      <w:tr>
        <w:tblPrEx>
          <w:tblCellMar>
            <w:top w:w="0" w:type="dxa"/>
            <w:left w:w="108" w:type="dxa"/>
            <w:bottom w:w="0" w:type="dxa"/>
            <w:right w:w="108" w:type="dxa"/>
          </w:tblCellMar>
        </w:tblPrEx>
        <w:trPr>
          <w:trHeight w:val="2175"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6</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收纳柜</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84864" behindDoc="0" locked="0" layoutInCell="1" allowOverlap="1">
                  <wp:simplePos x="0" y="0"/>
                  <wp:positionH relativeFrom="column">
                    <wp:posOffset>200025</wp:posOffset>
                  </wp:positionH>
                  <wp:positionV relativeFrom="paragraph">
                    <wp:posOffset>400050</wp:posOffset>
                  </wp:positionV>
                  <wp:extent cx="832485" cy="1076325"/>
                  <wp:effectExtent l="0" t="0" r="5715" b="9525"/>
                  <wp:wrapNone/>
                  <wp:docPr id="107" name="图片_27"/>
                  <wp:cNvGraphicFramePr/>
                  <a:graphic xmlns:a="http://schemas.openxmlformats.org/drawingml/2006/main">
                    <a:graphicData uri="http://schemas.openxmlformats.org/drawingml/2006/picture">
                      <pic:pic xmlns:pic="http://schemas.openxmlformats.org/drawingml/2006/picture">
                        <pic:nvPicPr>
                          <pic:cNvPr id="107" name="图片_27"/>
                          <pic:cNvPicPr/>
                        </pic:nvPicPr>
                        <pic:blipFill>
                          <a:blip r:embed="rId20" cstate="print"/>
                          <a:stretch>
                            <a:fillRect/>
                          </a:stretch>
                        </pic:blipFill>
                        <pic:spPr>
                          <a:xfrm>
                            <a:off x="0" y="0"/>
                            <a:ext cx="832485" cy="1076325"/>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规格：2000*400*2000mm（具体根据现场制作）</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1、基材采用优质E1级实木多层板板，面材采用优质三聚氰胺饰面，具有耐磨、抗污染能力。符合GB18580-2017甲醛释放量低于0.05mg/m³。板材厚度≥18mm。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 封边采用全自动封边机，高温高压封边，优质PVC边条厚度≥2mm。高温热熔胶，永不脱落。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3、采用优质五金配件，镀锌偏心件，连接牢固，结构稳定。</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组</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通用技术</w:t>
            </w:r>
          </w:p>
        </w:tc>
      </w:tr>
      <w:tr>
        <w:tblPrEx>
          <w:tblCellMar>
            <w:top w:w="0" w:type="dxa"/>
            <w:left w:w="108" w:type="dxa"/>
            <w:bottom w:w="0" w:type="dxa"/>
            <w:right w:w="108" w:type="dxa"/>
          </w:tblCellMar>
        </w:tblPrEx>
        <w:trPr>
          <w:trHeight w:val="24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7</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矮柜</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85888" behindDoc="0" locked="0" layoutInCell="1" allowOverlap="1">
                  <wp:simplePos x="0" y="0"/>
                  <wp:positionH relativeFrom="column">
                    <wp:posOffset>-9525</wp:posOffset>
                  </wp:positionH>
                  <wp:positionV relativeFrom="paragraph">
                    <wp:posOffset>438150</wp:posOffset>
                  </wp:positionV>
                  <wp:extent cx="1330960" cy="733425"/>
                  <wp:effectExtent l="0" t="0" r="2540" b="9525"/>
                  <wp:wrapNone/>
                  <wp:docPr id="106" name="图片_28"/>
                  <wp:cNvGraphicFramePr/>
                  <a:graphic xmlns:a="http://schemas.openxmlformats.org/drawingml/2006/main">
                    <a:graphicData uri="http://schemas.openxmlformats.org/drawingml/2006/picture">
                      <pic:pic xmlns:pic="http://schemas.openxmlformats.org/drawingml/2006/picture">
                        <pic:nvPicPr>
                          <pic:cNvPr id="106" name="图片_28"/>
                          <pic:cNvPicPr/>
                        </pic:nvPicPr>
                        <pic:blipFill>
                          <a:blip r:embed="rId32" cstate="print"/>
                          <a:stretch>
                            <a:fillRect/>
                          </a:stretch>
                        </pic:blipFill>
                        <pic:spPr>
                          <a:xfrm>
                            <a:off x="0" y="0"/>
                            <a:ext cx="1330960" cy="733425"/>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规格：5900*400*900mm（具体根据现场制作）</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1、基材采用优质E1级实木多层板板，面材采用优质三聚氰胺饰面，具有耐磨、抗污染能力。符合GB18580-2017甲醛释放量低于0.05mg/m³。板材厚度≥18mm。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 封边采用全自动封边机，高温高压封边，优质PVC边条厚度≥2mm。高温热熔胶，永不脱落。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3、采用优质五金配件，镀锌偏心件，连接牢固，结构稳定。</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组</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通用技术</w:t>
            </w:r>
          </w:p>
        </w:tc>
      </w:tr>
      <w:tr>
        <w:tblPrEx>
          <w:tblCellMar>
            <w:top w:w="0" w:type="dxa"/>
            <w:left w:w="108" w:type="dxa"/>
            <w:bottom w:w="0" w:type="dxa"/>
            <w:right w:w="108" w:type="dxa"/>
          </w:tblCellMar>
        </w:tblPrEx>
        <w:trPr>
          <w:trHeight w:val="1935"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8</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工具墙</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86912" behindDoc="0" locked="0" layoutInCell="1" allowOverlap="1">
                  <wp:simplePos x="0" y="0"/>
                  <wp:positionH relativeFrom="column">
                    <wp:posOffset>419100</wp:posOffset>
                  </wp:positionH>
                  <wp:positionV relativeFrom="paragraph">
                    <wp:posOffset>9525</wp:posOffset>
                  </wp:positionV>
                  <wp:extent cx="795655" cy="1123950"/>
                  <wp:effectExtent l="0" t="0" r="4445" b="0"/>
                  <wp:wrapNone/>
                  <wp:docPr id="105" name="图片_29"/>
                  <wp:cNvGraphicFramePr/>
                  <a:graphic xmlns:a="http://schemas.openxmlformats.org/drawingml/2006/main">
                    <a:graphicData uri="http://schemas.openxmlformats.org/drawingml/2006/picture">
                      <pic:pic xmlns:pic="http://schemas.openxmlformats.org/drawingml/2006/picture">
                        <pic:nvPicPr>
                          <pic:cNvPr id="105" name="图片_29"/>
                          <pic:cNvPicPr/>
                        </pic:nvPicPr>
                        <pic:blipFill>
                          <a:blip r:embed="rId38" cstate="print"/>
                          <a:stretch>
                            <a:fillRect/>
                          </a:stretch>
                        </pic:blipFill>
                        <pic:spPr>
                          <a:xfrm>
                            <a:off x="0" y="0"/>
                            <a:ext cx="795655" cy="1123950"/>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规格：4000*2000mm（具体根据现场制作）</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整体钢制，钢板厚度≥0.8mm经数控机床加工，用高端数码焊机焊接，经久耐用，所有零部件表面经过严格的九工位酸洗磷化喷塑处理，</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产品采用亚光环氧/聚脂形粉末，经过静电喷涂，结合能力强，具有优异的柔韧性、耐磨性和装饰性强。</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组</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通用技术</w:t>
            </w:r>
          </w:p>
        </w:tc>
      </w:tr>
      <w:tr>
        <w:tblPrEx>
          <w:tblCellMar>
            <w:top w:w="0" w:type="dxa"/>
            <w:left w:w="108" w:type="dxa"/>
            <w:bottom w:w="0" w:type="dxa"/>
            <w:right w:w="108" w:type="dxa"/>
          </w:tblCellMar>
        </w:tblPrEx>
        <w:trPr>
          <w:trHeight w:val="1935"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9</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工具展示墙</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87936" behindDoc="0" locked="0" layoutInCell="1" allowOverlap="1">
                  <wp:simplePos x="0" y="0"/>
                  <wp:positionH relativeFrom="column">
                    <wp:posOffset>438150</wp:posOffset>
                  </wp:positionH>
                  <wp:positionV relativeFrom="paragraph">
                    <wp:posOffset>28575</wp:posOffset>
                  </wp:positionV>
                  <wp:extent cx="795655" cy="1123950"/>
                  <wp:effectExtent l="0" t="0" r="4445" b="0"/>
                  <wp:wrapNone/>
                  <wp:docPr id="104" name="图片_30"/>
                  <wp:cNvGraphicFramePr/>
                  <a:graphic xmlns:a="http://schemas.openxmlformats.org/drawingml/2006/main">
                    <a:graphicData uri="http://schemas.openxmlformats.org/drawingml/2006/picture">
                      <pic:pic xmlns:pic="http://schemas.openxmlformats.org/drawingml/2006/picture">
                        <pic:nvPicPr>
                          <pic:cNvPr id="104" name="图片_30"/>
                          <pic:cNvPicPr/>
                        </pic:nvPicPr>
                        <pic:blipFill>
                          <a:blip r:embed="rId38" cstate="print"/>
                          <a:stretch>
                            <a:fillRect/>
                          </a:stretch>
                        </pic:blipFill>
                        <pic:spPr>
                          <a:xfrm>
                            <a:off x="0" y="0"/>
                            <a:ext cx="795655" cy="1123950"/>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规格：4000*2000mm（具体根据现场制作）</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整体钢制，钢板厚度≥0.8mm经数控机床加工，用高端数码焊机焊接，经久耐用，所有零部件表面经过严格的九工位酸洗磷化喷塑处理，</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产品采用亚光环氧/聚脂形粉末，经过静电喷涂，结合能力强，具有优异的柔韧性、耐磨性和装饰性强。</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组</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通用技术</w:t>
            </w:r>
          </w:p>
        </w:tc>
      </w:tr>
      <w:tr>
        <w:tblPrEx>
          <w:tblCellMar>
            <w:top w:w="0" w:type="dxa"/>
            <w:left w:w="108" w:type="dxa"/>
            <w:bottom w:w="0" w:type="dxa"/>
            <w:right w:w="108" w:type="dxa"/>
          </w:tblCellMar>
        </w:tblPrEx>
        <w:trPr>
          <w:trHeight w:val="2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10</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合唱台</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88960" behindDoc="0" locked="0" layoutInCell="1" allowOverlap="1">
                  <wp:simplePos x="0" y="0"/>
                  <wp:positionH relativeFrom="column">
                    <wp:posOffset>123825</wp:posOffset>
                  </wp:positionH>
                  <wp:positionV relativeFrom="paragraph">
                    <wp:posOffset>542925</wp:posOffset>
                  </wp:positionV>
                  <wp:extent cx="1162050" cy="808355"/>
                  <wp:effectExtent l="0" t="0" r="0" b="10795"/>
                  <wp:wrapNone/>
                  <wp:docPr id="103" name="图片_31"/>
                  <wp:cNvGraphicFramePr/>
                  <a:graphic xmlns:a="http://schemas.openxmlformats.org/drawingml/2006/main">
                    <a:graphicData uri="http://schemas.openxmlformats.org/drawingml/2006/picture">
                      <pic:pic xmlns:pic="http://schemas.openxmlformats.org/drawingml/2006/picture">
                        <pic:nvPicPr>
                          <pic:cNvPr id="103" name="图片_31"/>
                          <pic:cNvPicPr/>
                        </pic:nvPicPr>
                        <pic:blipFill>
                          <a:blip r:embed="rId39" cstate="print"/>
                          <a:stretch>
                            <a:fillRect/>
                          </a:stretch>
                        </pic:blipFill>
                        <pic:spPr>
                          <a:xfrm>
                            <a:off x="0" y="0"/>
                            <a:ext cx="1162050" cy="808355"/>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1.尺寸：三层尺寸1220*1150*610±10mm；每层台阶款宽380±10mm，高200±10mm；小舞台尺寸:1530*1220*300±10mm；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2.材质：高密度PE；</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3.工艺：吹塑制作，材质轻，耐磨抗压，抗氧化功能强，长期使用也不会产生开裂现象，硬度和强度高，吸水性小，优良的电绝缘性，耐寒；</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4.功能：合唱台台阶可翻转设计，可调整为两层合唱台也可以变为一个整体的小舞台，侧面轮子设计方便推移。</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5</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组</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音乐教室</w:t>
            </w:r>
          </w:p>
        </w:tc>
      </w:tr>
      <w:tr>
        <w:tblPrEx>
          <w:tblCellMar>
            <w:top w:w="0" w:type="dxa"/>
            <w:left w:w="108" w:type="dxa"/>
            <w:bottom w:w="0" w:type="dxa"/>
            <w:right w:w="108" w:type="dxa"/>
          </w:tblCellMar>
        </w:tblPrEx>
        <w:trPr>
          <w:trHeight w:val="292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讲台</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89984" behindDoc="0" locked="0" layoutInCell="1" allowOverlap="1">
                  <wp:simplePos x="0" y="0"/>
                  <wp:positionH relativeFrom="column">
                    <wp:posOffset>104775</wp:posOffset>
                  </wp:positionH>
                  <wp:positionV relativeFrom="paragraph">
                    <wp:posOffset>419100</wp:posOffset>
                  </wp:positionV>
                  <wp:extent cx="1050290" cy="1105535"/>
                  <wp:effectExtent l="0" t="0" r="16510" b="18415"/>
                  <wp:wrapNone/>
                  <wp:docPr id="102" name="Picture_1_SpCnt_3"/>
                  <wp:cNvGraphicFramePr/>
                  <a:graphic xmlns:a="http://schemas.openxmlformats.org/drawingml/2006/main">
                    <a:graphicData uri="http://schemas.openxmlformats.org/drawingml/2006/picture">
                      <pic:pic xmlns:pic="http://schemas.openxmlformats.org/drawingml/2006/picture">
                        <pic:nvPicPr>
                          <pic:cNvPr id="102" name="Picture_1_SpCnt_3"/>
                          <pic:cNvPicPr/>
                        </pic:nvPicPr>
                        <pic:blipFill>
                          <a:blip r:embed="rId17" cstate="print"/>
                          <a:stretch>
                            <a:fillRect/>
                          </a:stretch>
                        </pic:blipFill>
                        <pic:spPr>
                          <a:xfrm>
                            <a:off x="0" y="0"/>
                            <a:ext cx="1050290" cy="1105535"/>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规格：1140*800*1000±5mm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1、全钢制多媒体讲台，分体组合式结构；分体白灰色和木纹色组合式搭配美观大方；</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2、材质：选用优质冷轧钢板，钢板厚度≥1.2mm，白灰色和木纹色双色彩合理搭配</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4、具备可拆卸钢制木纹装饰板（即LOGO张贴板），具备可拆卸扶手，扶手采用优质橡胶木实木。维护后门留有散热孔</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5、可安装19寸—21英寸液晶显示器，采用液晶显示器升降设计，具备多个可调整角度，显示器、中央控制器、键盘互不影响独立操作；采用隐藏抽拉式设计，</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组</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音乐教室</w:t>
            </w:r>
          </w:p>
        </w:tc>
      </w:tr>
      <w:tr>
        <w:tblPrEx>
          <w:tblCellMar>
            <w:top w:w="0" w:type="dxa"/>
            <w:left w:w="108" w:type="dxa"/>
            <w:bottom w:w="0" w:type="dxa"/>
            <w:right w:w="108" w:type="dxa"/>
          </w:tblCellMar>
        </w:tblPrEx>
        <w:trPr>
          <w:trHeight w:val="1935"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12</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乐谱台</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91008" behindDoc="0" locked="0" layoutInCell="1" allowOverlap="1">
                  <wp:simplePos x="0" y="0"/>
                  <wp:positionH relativeFrom="column">
                    <wp:posOffset>447675</wp:posOffset>
                  </wp:positionH>
                  <wp:positionV relativeFrom="paragraph">
                    <wp:posOffset>123825</wp:posOffset>
                  </wp:positionV>
                  <wp:extent cx="528955" cy="1076325"/>
                  <wp:effectExtent l="0" t="0" r="4445" b="9525"/>
                  <wp:wrapNone/>
                  <wp:docPr id="101" name="图片_33"/>
                  <wp:cNvGraphicFramePr/>
                  <a:graphic xmlns:a="http://schemas.openxmlformats.org/drawingml/2006/main">
                    <a:graphicData uri="http://schemas.openxmlformats.org/drawingml/2006/picture">
                      <pic:pic xmlns:pic="http://schemas.openxmlformats.org/drawingml/2006/picture">
                        <pic:nvPicPr>
                          <pic:cNvPr id="101" name="图片_33"/>
                          <pic:cNvPicPr/>
                        </pic:nvPicPr>
                        <pic:blipFill>
                          <a:blip r:embed="rId40" cstate="print"/>
                          <a:stretch>
                            <a:fillRect/>
                          </a:stretch>
                        </pic:blipFill>
                        <pic:spPr>
                          <a:xfrm>
                            <a:off x="0" y="0"/>
                            <a:ext cx="528955" cy="1076325"/>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规格：常规</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整体钢制，钢板厚度≥0.8mm经数控机床加工，用高端数码焊机焊接，经久耐用，所有零部件表面经过严格的九工位酸洗磷化喷塑处理，</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产品采用亚光环氧/聚脂形粉末，经过静电喷涂，结合能力强，具有优异的柔韧性、耐磨性和装饰性强。</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个</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音乐教室</w:t>
            </w:r>
          </w:p>
        </w:tc>
      </w:tr>
      <w:tr>
        <w:tblPrEx>
          <w:tblCellMar>
            <w:top w:w="0" w:type="dxa"/>
            <w:left w:w="108" w:type="dxa"/>
            <w:bottom w:w="0" w:type="dxa"/>
            <w:right w:w="108" w:type="dxa"/>
          </w:tblCellMar>
        </w:tblPrEx>
        <w:trPr>
          <w:trHeight w:val="24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13</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组合柜下柜</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92032" behindDoc="0" locked="0" layoutInCell="1" allowOverlap="1">
                  <wp:simplePos x="0" y="0"/>
                  <wp:positionH relativeFrom="column">
                    <wp:posOffset>76200</wp:posOffset>
                  </wp:positionH>
                  <wp:positionV relativeFrom="paragraph">
                    <wp:posOffset>495300</wp:posOffset>
                  </wp:positionV>
                  <wp:extent cx="1235710" cy="704850"/>
                  <wp:effectExtent l="0" t="0" r="2540" b="0"/>
                  <wp:wrapNone/>
                  <wp:docPr id="100" name="图片_34"/>
                  <wp:cNvGraphicFramePr/>
                  <a:graphic xmlns:a="http://schemas.openxmlformats.org/drawingml/2006/main">
                    <a:graphicData uri="http://schemas.openxmlformats.org/drawingml/2006/picture">
                      <pic:pic xmlns:pic="http://schemas.openxmlformats.org/drawingml/2006/picture">
                        <pic:nvPicPr>
                          <pic:cNvPr id="100" name="图片_34"/>
                          <pic:cNvPicPr/>
                        </pic:nvPicPr>
                        <pic:blipFill>
                          <a:blip r:embed="rId32" cstate="print"/>
                          <a:stretch>
                            <a:fillRect/>
                          </a:stretch>
                        </pic:blipFill>
                        <pic:spPr>
                          <a:xfrm>
                            <a:off x="0" y="0"/>
                            <a:ext cx="1235710" cy="704850"/>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规格：5900*400*900mm（具体根据现场制作）</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1、基材采用优质E1级实木多层板板，面材采用优质三聚氰胺饰面，具有耐磨、抗污染能力。符合GB18580-2017甲醛释放量低于0.05mg/m³。板材厚度≥18mm。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 封边采用全自动封边机，高温高压封边，优质PVC边条厚度≥2mm。高温热熔胶，永不脱落。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3、采用优质五金配件，镀锌偏心件，连接牢固，结构稳定。</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组</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音乐教室</w:t>
            </w:r>
          </w:p>
        </w:tc>
      </w:tr>
      <w:tr>
        <w:tblPrEx>
          <w:tblCellMar>
            <w:top w:w="0" w:type="dxa"/>
            <w:left w:w="108" w:type="dxa"/>
            <w:bottom w:w="0" w:type="dxa"/>
            <w:right w:w="108" w:type="dxa"/>
          </w:tblCellMar>
        </w:tblPrEx>
        <w:trPr>
          <w:trHeight w:val="24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14</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乐器储存柜</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93056" behindDoc="0" locked="0" layoutInCell="1" allowOverlap="1">
                  <wp:simplePos x="0" y="0"/>
                  <wp:positionH relativeFrom="column">
                    <wp:posOffset>66675</wp:posOffset>
                  </wp:positionH>
                  <wp:positionV relativeFrom="paragraph">
                    <wp:posOffset>323850</wp:posOffset>
                  </wp:positionV>
                  <wp:extent cx="1256665" cy="1238250"/>
                  <wp:effectExtent l="0" t="0" r="635" b="0"/>
                  <wp:wrapNone/>
                  <wp:docPr id="99" name="图片_35"/>
                  <wp:cNvGraphicFramePr/>
                  <a:graphic xmlns:a="http://schemas.openxmlformats.org/drawingml/2006/main">
                    <a:graphicData uri="http://schemas.openxmlformats.org/drawingml/2006/picture">
                      <pic:pic xmlns:pic="http://schemas.openxmlformats.org/drawingml/2006/picture">
                        <pic:nvPicPr>
                          <pic:cNvPr id="99" name="图片_35"/>
                          <pic:cNvPicPr/>
                        </pic:nvPicPr>
                        <pic:blipFill>
                          <a:blip r:embed="rId25" cstate="print"/>
                          <a:stretch>
                            <a:fillRect/>
                          </a:stretch>
                        </pic:blipFill>
                        <pic:spPr>
                          <a:xfrm>
                            <a:off x="0" y="0"/>
                            <a:ext cx="1256665" cy="1238250"/>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规格：2000*450*2000mm（具体根据现场制作）</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1、基材采用优质E1级实木多层板，面材采用优质三聚氰胺饰面，具有耐磨、抗污染能力。符合GB18580-2017甲醛释放量低于0.05mg/m³。板材厚度≥18mm。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 封边采用全自动封边机，高温高压封边，优质PVC边条厚度≥2mm。高温热熔胶，永不脱落。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3、采用优质五金配件，镀锌偏心件，连接牢固，结构稳定。</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组</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音乐教室</w:t>
            </w:r>
          </w:p>
        </w:tc>
      </w:tr>
      <w:tr>
        <w:tblPrEx>
          <w:tblCellMar>
            <w:top w:w="0" w:type="dxa"/>
            <w:left w:w="108" w:type="dxa"/>
            <w:bottom w:w="0" w:type="dxa"/>
            <w:right w:w="108" w:type="dxa"/>
          </w:tblCellMar>
        </w:tblPrEx>
        <w:trPr>
          <w:trHeight w:val="24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15</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办公桌</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94080" behindDoc="0" locked="0" layoutInCell="1" allowOverlap="1">
                  <wp:simplePos x="0" y="0"/>
                  <wp:positionH relativeFrom="column">
                    <wp:posOffset>142875</wp:posOffset>
                  </wp:positionH>
                  <wp:positionV relativeFrom="paragraph">
                    <wp:posOffset>390525</wp:posOffset>
                  </wp:positionV>
                  <wp:extent cx="1084580" cy="876300"/>
                  <wp:effectExtent l="0" t="0" r="1270" b="0"/>
                  <wp:wrapNone/>
                  <wp:docPr id="98" name="Picture_2_SpCnt_1"/>
                  <wp:cNvGraphicFramePr/>
                  <a:graphic xmlns:a="http://schemas.openxmlformats.org/drawingml/2006/main">
                    <a:graphicData uri="http://schemas.openxmlformats.org/drawingml/2006/picture">
                      <pic:pic xmlns:pic="http://schemas.openxmlformats.org/drawingml/2006/picture">
                        <pic:nvPicPr>
                          <pic:cNvPr id="98" name="Picture_2_SpCnt_1"/>
                          <pic:cNvPicPr/>
                        </pic:nvPicPr>
                        <pic:blipFill>
                          <a:blip r:embed="rId41" cstate="print"/>
                          <a:stretch>
                            <a:fillRect/>
                          </a:stretch>
                        </pic:blipFill>
                        <pic:spPr>
                          <a:xfrm>
                            <a:off x="0" y="0"/>
                            <a:ext cx="1084580" cy="876300"/>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规格：1400*700*750mm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1、基材采用优质E1级实木多层板，面材采用优质三聚氰胺饰面。符合GB18580-2017甲醛释放量低于0.05mg/m³，板材厚度≥16mm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2、封边采用全自动封边机，高温高压封边，优质PVC边条厚度≥2mm。高温热熔胶，永不脱落。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3、台面采用内斜式铝合金包边，台面上带铝合金金支架，可放置手机，支架中间带小隔断。</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4、桌面支架采用跟包边配套铝合金支架</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34</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张</w:t>
            </w:r>
          </w:p>
        </w:tc>
        <w:tc>
          <w:tcPr>
            <w:tcW w:w="7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教学班24，美术、书法、通用技术、音乐2间，物理化学生物实验室，计算机2间</w:t>
            </w:r>
          </w:p>
        </w:tc>
      </w:tr>
      <w:tr>
        <w:tblPrEx>
          <w:tblCellMar>
            <w:top w:w="0" w:type="dxa"/>
            <w:left w:w="108" w:type="dxa"/>
            <w:bottom w:w="0" w:type="dxa"/>
            <w:right w:w="108" w:type="dxa"/>
          </w:tblCellMar>
        </w:tblPrEx>
        <w:trPr>
          <w:trHeight w:val="24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16</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办公椅</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bdr w:val="single" w:color="000000" w:sz="4" w:space="0"/>
              </w:rPr>
              <w:drawing>
                <wp:anchor distT="0" distB="0" distL="114300" distR="114300" simplePos="0" relativeHeight="251695104" behindDoc="0" locked="0" layoutInCell="1" allowOverlap="1">
                  <wp:simplePos x="0" y="0"/>
                  <wp:positionH relativeFrom="column">
                    <wp:posOffset>200025</wp:posOffset>
                  </wp:positionH>
                  <wp:positionV relativeFrom="paragraph">
                    <wp:posOffset>352425</wp:posOffset>
                  </wp:positionV>
                  <wp:extent cx="821690" cy="1080135"/>
                  <wp:effectExtent l="0" t="0" r="16510" b="5715"/>
                  <wp:wrapNone/>
                  <wp:docPr id="81" name="Picture_1_SpCnt_4"/>
                  <wp:cNvGraphicFramePr/>
                  <a:graphic xmlns:a="http://schemas.openxmlformats.org/drawingml/2006/main">
                    <a:graphicData uri="http://schemas.openxmlformats.org/drawingml/2006/picture">
                      <pic:pic xmlns:pic="http://schemas.openxmlformats.org/drawingml/2006/picture">
                        <pic:nvPicPr>
                          <pic:cNvPr id="81" name="Picture_1_SpCnt_4"/>
                          <pic:cNvPicPr/>
                        </pic:nvPicPr>
                        <pic:blipFill>
                          <a:blip r:embed="rId35" cstate="print"/>
                          <a:stretch>
                            <a:fillRect/>
                          </a:stretch>
                        </pic:blipFill>
                        <pic:spPr>
                          <a:xfrm>
                            <a:off x="0" y="0"/>
                            <a:ext cx="821690" cy="1080135"/>
                          </a:xfrm>
                          <a:prstGeom prst="rect">
                            <a:avLst/>
                          </a:prstGeom>
                          <a:noFill/>
                          <a:ln>
                            <a:noFill/>
                          </a:ln>
                        </pic:spPr>
                      </pic:pic>
                    </a:graphicData>
                  </a:graphic>
                </wp:anchor>
              </w:drawing>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规格：480*520*900mm±5mm</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1、椅架：采用优质电镀弓形椅架，30*15*1.5mm方管，经酸洗磷化等工艺处理，不易折弯。</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2、座面宽度470mm，深度470mm，座面面料：尼龙网布；海绵：采用PU发泡一次（定型）成型海绵，密度≥40kg/m3，回弹性好。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3、靠背根据人体工学设计，能够减轻久坐后腰背不适，框架采用ABS工程塑料框架，结构稳固。靠背面料采用尼龙网面。</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34</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把</w:t>
            </w: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84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17</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计算机教室布线</w:t>
            </w:r>
          </w:p>
        </w:tc>
        <w:tc>
          <w:tcPr>
            <w:tcW w:w="60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国标强弱电</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2</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套</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bl>
    <w:p>
      <w:pPr>
        <w:pStyle w:val="8"/>
        <w:spacing w:line="560" w:lineRule="exact"/>
        <w:ind w:firstLine="0"/>
      </w:pPr>
    </w:p>
    <w:p>
      <w:pPr>
        <w:pStyle w:val="4"/>
        <w:spacing w:line="560" w:lineRule="exact"/>
        <w:jc w:val="left"/>
        <w:rPr>
          <w:rFonts w:ascii="宋体" w:hAnsi="宋体"/>
        </w:rPr>
      </w:pPr>
      <w:bookmarkStart w:id="338" w:name="_Toc46235118"/>
      <w:bookmarkStart w:id="339" w:name="_Toc12461"/>
      <w:bookmarkStart w:id="340" w:name="_Toc25849"/>
      <w:bookmarkStart w:id="341" w:name="_Toc7548"/>
      <w:r>
        <w:rPr>
          <w:rFonts w:hint="eastAsia" w:ascii="宋体" w:hAnsi="宋体"/>
        </w:rPr>
        <w:t>三、</w:t>
      </w:r>
      <w:bookmarkEnd w:id="338"/>
      <w:bookmarkStart w:id="342" w:name="_Toc46235119"/>
      <w:r>
        <w:rPr>
          <w:rFonts w:ascii="宋体" w:hAnsi="宋体"/>
          <w:spacing w:val="-2"/>
        </w:rPr>
        <w:t>其</w:t>
      </w:r>
      <w:r>
        <w:rPr>
          <w:rFonts w:ascii="宋体" w:hAnsi="宋体"/>
        </w:rPr>
        <w:t>他</w:t>
      </w:r>
      <w:r>
        <w:rPr>
          <w:rFonts w:ascii="宋体" w:hAnsi="宋体"/>
          <w:spacing w:val="-2"/>
        </w:rPr>
        <w:t>要</w:t>
      </w:r>
      <w:r>
        <w:rPr>
          <w:rFonts w:ascii="宋体" w:hAnsi="宋体"/>
        </w:rPr>
        <w:t>求</w:t>
      </w:r>
      <w:bookmarkEnd w:id="339"/>
      <w:bookmarkEnd w:id="340"/>
      <w:bookmarkEnd w:id="341"/>
      <w:bookmarkEnd w:id="342"/>
    </w:p>
    <w:p>
      <w:pPr>
        <w:pStyle w:val="8"/>
        <w:spacing w:line="560" w:lineRule="exact"/>
        <w:rPr>
          <w:rFonts w:hAnsi="宋体"/>
        </w:rPr>
      </w:pPr>
      <w:r>
        <w:rPr>
          <w:rFonts w:hint="eastAsia" w:hAnsi="宋体"/>
        </w:rPr>
        <w:t xml:space="preserve">供应商应符合以下要求： </w:t>
      </w:r>
    </w:p>
    <w:p>
      <w:pPr>
        <w:pStyle w:val="8"/>
        <w:spacing w:line="560" w:lineRule="exact"/>
        <w:rPr>
          <w:rFonts w:hAnsi="宋体"/>
        </w:rPr>
      </w:pPr>
      <w:r>
        <w:rPr>
          <w:rFonts w:hint="eastAsia" w:hAnsi="宋体"/>
        </w:rPr>
        <w:t xml:space="preserve">1.供应商的产品须为正规厂家生产的合格产品，由成交供应商负责供应、安装、调试。 </w:t>
      </w:r>
    </w:p>
    <w:p>
      <w:pPr>
        <w:pStyle w:val="8"/>
        <w:spacing w:line="560" w:lineRule="exact"/>
        <w:rPr>
          <w:rFonts w:hAnsi="宋体"/>
        </w:rPr>
      </w:pPr>
      <w:r>
        <w:rPr>
          <w:rFonts w:hint="eastAsia" w:hAnsi="宋体"/>
        </w:rPr>
        <w:t xml:space="preserve">2.供应商所报产品的质量标准须符合国家、行业相关标准要求。 </w:t>
      </w:r>
    </w:p>
    <w:p>
      <w:pPr>
        <w:pStyle w:val="8"/>
        <w:spacing w:line="560" w:lineRule="exact"/>
        <w:rPr>
          <w:rFonts w:hAnsi="宋体"/>
        </w:rPr>
      </w:pPr>
      <w:r>
        <w:rPr>
          <w:rFonts w:hint="eastAsia" w:hAnsi="宋体"/>
        </w:rPr>
        <w:t xml:space="preserve">3.成交供应商须保证所有产品均为全新的、未使用过的合格产品，且须保证其没有侵犯任何第三人的知识产权和商业秘密等权利，如采购人使用成交供应商所供产品构成侵权的，则由成交供应商承担全部责任。 </w:t>
      </w:r>
    </w:p>
    <w:p>
      <w:pPr>
        <w:pStyle w:val="8"/>
        <w:spacing w:line="560" w:lineRule="exact"/>
        <w:rPr>
          <w:rFonts w:hAnsi="宋体"/>
        </w:rPr>
      </w:pPr>
      <w:r>
        <w:rPr>
          <w:rFonts w:hint="eastAsia" w:hAnsi="宋体"/>
        </w:rPr>
        <w:t>4.成交供应商所提供的产品必须符合合同规定的规格、质量，如不符时，成交供应商应负责并免费更换全部不合格产品。因产品规格不符、质量不符、损坏或安装不及时而造成的项目延误和由此产生的相关费用由成交供应商负责。同时，采购人有权终止合同。对采购人造成损失的，由成交供应商承担赔偿责任。</w:t>
      </w:r>
    </w:p>
    <w:p>
      <w:pPr>
        <w:pStyle w:val="8"/>
        <w:spacing w:line="560" w:lineRule="exact"/>
        <w:rPr>
          <w:rFonts w:hAnsi="宋体"/>
        </w:rPr>
      </w:pPr>
      <w:r>
        <w:rPr>
          <w:rFonts w:hint="eastAsia" w:hAnsi="宋体"/>
        </w:rPr>
        <w:t xml:space="preserve">5.在质保期内，以上所有产品在使用过程中出现的非人为原因损坏，成交供应商须免费提供上门维修和更换服务。 </w:t>
      </w:r>
    </w:p>
    <w:p>
      <w:pPr>
        <w:pStyle w:val="8"/>
        <w:spacing w:line="560" w:lineRule="exact"/>
        <w:rPr>
          <w:rFonts w:hAnsi="宋体"/>
        </w:rPr>
      </w:pPr>
      <w:r>
        <w:rPr>
          <w:rFonts w:hint="eastAsia" w:hAnsi="宋体"/>
        </w:rPr>
        <w:t xml:space="preserve">6.售后服务要求： </w:t>
      </w:r>
    </w:p>
    <w:p>
      <w:pPr>
        <w:pStyle w:val="8"/>
        <w:spacing w:line="560" w:lineRule="exact"/>
        <w:rPr>
          <w:rFonts w:hAnsi="宋体"/>
        </w:rPr>
      </w:pPr>
      <w:r>
        <w:rPr>
          <w:rFonts w:hint="eastAsia" w:hAnsi="宋体"/>
        </w:rPr>
        <w:t xml:space="preserve">6.1供应商可承诺更优惠的质保期。在质保期内，供应商应做到 7*24 小时服务，立即响应，1 小时上门服务，以保证正常使用。质保期满后，若出现质量问题，成交供应商只收取成本费。 </w:t>
      </w:r>
    </w:p>
    <w:p>
      <w:pPr>
        <w:pStyle w:val="8"/>
        <w:spacing w:line="560" w:lineRule="exact"/>
        <w:rPr>
          <w:rFonts w:hAnsi="宋体"/>
        </w:rPr>
      </w:pPr>
      <w:r>
        <w:rPr>
          <w:rFonts w:hint="eastAsia" w:hAnsi="宋体"/>
        </w:rPr>
        <w:t xml:space="preserve">6.2 供应商应具有良好的售后服务体系，应提供 7×24 小时响应服务；应拥有稳定的服务保障和技术支持队伍，保证实施的服务质量和快速的服务响应时间。在报价文件中应明确在发生问题时的应急措施和响应时间。 </w:t>
      </w:r>
    </w:p>
    <w:p>
      <w:pPr>
        <w:pStyle w:val="8"/>
        <w:spacing w:line="560" w:lineRule="exact"/>
        <w:rPr>
          <w:rFonts w:hAnsi="宋体"/>
        </w:rPr>
      </w:pPr>
      <w:r>
        <w:rPr>
          <w:rFonts w:hint="eastAsia" w:hAnsi="宋体"/>
        </w:rPr>
        <w:t xml:space="preserve">6.3 保修期外出现质量问题，由成交供应商按成本价及时提供易损件和维修所需的其它原材料。在服务期内，供应商对所提供的产品进行免费更换、维修。 </w:t>
      </w:r>
    </w:p>
    <w:p>
      <w:pPr>
        <w:pStyle w:val="8"/>
        <w:spacing w:line="560" w:lineRule="exact"/>
        <w:rPr>
          <w:rFonts w:hAnsi="宋体"/>
        </w:rPr>
      </w:pPr>
      <w:r>
        <w:rPr>
          <w:rFonts w:hint="eastAsia" w:hAnsi="宋体"/>
        </w:rPr>
        <w:t xml:space="preserve">7.供货时间及安装地点： </w:t>
      </w:r>
    </w:p>
    <w:p>
      <w:pPr>
        <w:pStyle w:val="8"/>
        <w:spacing w:line="560" w:lineRule="exact"/>
        <w:rPr>
          <w:rFonts w:hAnsi="宋体"/>
        </w:rPr>
      </w:pPr>
      <w:r>
        <w:rPr>
          <w:rFonts w:hint="eastAsia" w:hAnsi="宋体"/>
        </w:rPr>
        <w:t>7.1 交货时间：合同签订并接到采购人通知</w:t>
      </w:r>
      <w:r>
        <w:rPr>
          <w:rFonts w:hint="eastAsia" w:hAnsi="宋体"/>
          <w:highlight w:val="none"/>
        </w:rPr>
        <w:t>后20日内</w:t>
      </w:r>
      <w:r>
        <w:rPr>
          <w:rFonts w:hint="eastAsia" w:hAnsi="宋体"/>
        </w:rPr>
        <w:t xml:space="preserve">供货并安装调试完毕并验收合格；供应商承诺时间提前的，以供应商承诺时间为准。 </w:t>
      </w:r>
    </w:p>
    <w:p>
      <w:pPr>
        <w:pStyle w:val="8"/>
        <w:spacing w:line="560" w:lineRule="exact"/>
        <w:rPr>
          <w:rFonts w:hAnsi="宋体"/>
        </w:rPr>
      </w:pPr>
      <w:r>
        <w:rPr>
          <w:rFonts w:hint="eastAsia" w:hAnsi="宋体"/>
        </w:rPr>
        <w:t xml:space="preserve">7.2 安装地点：采购人指定地点。 </w:t>
      </w:r>
    </w:p>
    <w:p>
      <w:pPr>
        <w:pStyle w:val="8"/>
        <w:spacing w:line="560" w:lineRule="exact"/>
        <w:rPr>
          <w:rFonts w:hAnsi="宋体"/>
        </w:rPr>
      </w:pPr>
      <w:r>
        <w:rPr>
          <w:rFonts w:hint="eastAsia" w:hAnsi="宋体"/>
        </w:rPr>
        <w:t xml:space="preserve">8.货物安装完成后，如发现产品质量不合格等，采购人有权拒绝验收，由此导致的供货时间延误、费用的增加由成交供应商全部承担，造成的损失采购人保留索赔的权利。 </w:t>
      </w:r>
    </w:p>
    <w:p>
      <w:pPr>
        <w:pStyle w:val="8"/>
        <w:spacing w:line="560" w:lineRule="exact"/>
        <w:rPr>
          <w:rFonts w:hAnsi="宋体"/>
        </w:rPr>
      </w:pPr>
      <w:r>
        <w:rPr>
          <w:rFonts w:hint="eastAsia" w:hAnsi="宋体"/>
        </w:rPr>
        <w:t>9.本项目成交供应商不得转包、分包。</w:t>
      </w:r>
    </w:p>
    <w:p>
      <w:pPr>
        <w:pStyle w:val="4"/>
        <w:spacing w:line="560" w:lineRule="exact"/>
        <w:jc w:val="left"/>
        <w:rPr>
          <w:rFonts w:ascii="宋体" w:hAnsi="宋体"/>
        </w:rPr>
      </w:pPr>
      <w:bookmarkStart w:id="343" w:name="_Toc39131050"/>
      <w:r>
        <w:rPr>
          <w:rFonts w:hint="eastAsia" w:ascii="宋体" w:hAnsi="宋体"/>
        </w:rPr>
        <w:t>四、安全文明施工及环境保护要求</w:t>
      </w:r>
      <w:bookmarkEnd w:id="343"/>
    </w:p>
    <w:p>
      <w:pPr>
        <w:pStyle w:val="8"/>
        <w:spacing w:line="560" w:lineRule="exact"/>
        <w:rPr>
          <w:rFonts w:hAnsi="宋体"/>
        </w:rPr>
      </w:pPr>
      <w:r>
        <w:rPr>
          <w:rFonts w:hint="eastAsia" w:hAnsi="宋体"/>
        </w:rPr>
        <w:t>1、合同履行期间必须严格按照有关规定，做好施工现场管理，做到安全文明施工，包括施工人员、操作人员安全和其他工作人员安全，否则出现的一切安全隐患及事故均由成交供应商负责；对于不按规定要求施工的，采购人有权中止其施工，不听劝阻的，将做罚款处理，直至停止施工。</w:t>
      </w:r>
    </w:p>
    <w:p>
      <w:pPr>
        <w:pStyle w:val="8"/>
        <w:spacing w:line="560" w:lineRule="exact"/>
        <w:rPr>
          <w:rFonts w:hAnsi="宋体"/>
        </w:rPr>
      </w:pPr>
      <w:r>
        <w:rPr>
          <w:rFonts w:hint="eastAsia" w:hAnsi="宋体"/>
        </w:rPr>
        <w:t>2、成交供应商应做好场区内环境保护，防止环境污染。成交供应商使用任何机械前，须经采购人同意；施工中不得污染周边环境；做好各类设施的维护。任何因施工造成的环境破坏和污染，成交供应商都有责任采取措施予以防止和消除。由于成交供应商过失、疏忽或未按采购人指示做好环境保护工作导致需要另外采取环境保护措施，这部分额外工作的费用应由成交供应商负担。</w:t>
      </w:r>
    </w:p>
    <w:p>
      <w:pPr>
        <w:pStyle w:val="8"/>
        <w:spacing w:line="560" w:lineRule="exact"/>
        <w:rPr>
          <w:rFonts w:hAnsi="宋体"/>
        </w:rPr>
      </w:pPr>
      <w:r>
        <w:rPr>
          <w:rFonts w:hint="eastAsia" w:hAnsi="宋体"/>
        </w:rPr>
        <w:t>3、在施工期间或竣工后，注意保护施工现场的环境卫生，工程施工产生中的垃圾要及时外运，不得在工地存放。工程竣工后，将施工垃圾全部清理完毕，做到工完、料净、场地清。</w:t>
      </w:r>
    </w:p>
    <w:p>
      <w:pPr>
        <w:pStyle w:val="8"/>
        <w:spacing w:line="560" w:lineRule="exact"/>
        <w:rPr>
          <w:rFonts w:hAnsi="宋体"/>
        </w:rPr>
      </w:pPr>
      <w:r>
        <w:rPr>
          <w:rFonts w:hint="eastAsia" w:hAnsi="宋体"/>
        </w:rPr>
        <w:t>4、工程施工用水、电、施工现场的临时设施以及竣工后的清理工作，均由承包人自行解决。</w:t>
      </w:r>
    </w:p>
    <w:p>
      <w:pPr>
        <w:pStyle w:val="8"/>
        <w:spacing w:line="560" w:lineRule="exact"/>
        <w:rPr>
          <w:rFonts w:hAnsi="宋体"/>
        </w:rPr>
      </w:pPr>
      <w:r>
        <w:rPr>
          <w:rFonts w:hint="eastAsia" w:hAnsi="宋体"/>
        </w:rPr>
        <w:t>5、工程施工过程中造成的水、电等管线及其它设施的损坏，由成交供应商负责恢复原状，一切责任由成交供应商承担。</w:t>
      </w:r>
    </w:p>
    <w:p>
      <w:pPr>
        <w:pStyle w:val="8"/>
        <w:spacing w:line="560" w:lineRule="exact"/>
        <w:rPr>
          <w:rFonts w:hAnsi="宋体"/>
        </w:rPr>
      </w:pPr>
      <w:r>
        <w:rPr>
          <w:rFonts w:hint="eastAsia" w:hAnsi="宋体"/>
        </w:rPr>
        <w:t>6、成交后，供货安装期间需保证公共卫生清洁，否则采购人将视情节严重将对供应商进行罚款等处罚。</w:t>
      </w:r>
    </w:p>
    <w:p>
      <w:pPr>
        <w:pStyle w:val="8"/>
        <w:spacing w:line="560" w:lineRule="exact"/>
        <w:rPr>
          <w:rFonts w:hAnsi="宋体"/>
        </w:rPr>
      </w:pPr>
      <w:r>
        <w:rPr>
          <w:rFonts w:hint="eastAsia" w:hAnsi="宋体"/>
        </w:rPr>
        <w:t>供应商安装时，如确需对现场进行打孔等破坏行为，须提前向采购人、施工总承包单位和监理单位进行书面申请。在采购人、施工总承包单位和监理单位监督下，确定打孔位置，由供应商严格按照要求对指定位置进行打孔，完工后恢复现场原貌。</w:t>
      </w:r>
    </w:p>
    <w:p>
      <w:pPr>
        <w:pStyle w:val="4"/>
        <w:spacing w:line="560" w:lineRule="exact"/>
        <w:ind w:left="720" w:hanging="720"/>
        <w:rPr>
          <w:rFonts w:ascii="宋体" w:hAnsi="宋体" w:eastAsia="宋体" w:cs="宋体"/>
          <w:szCs w:val="24"/>
        </w:rPr>
      </w:pPr>
    </w:p>
    <w:p>
      <w:pPr>
        <w:spacing w:line="560" w:lineRule="exact"/>
        <w:rPr>
          <w:rFonts w:ascii="宋体" w:hAnsi="宋体" w:cs="宋体"/>
        </w:rPr>
      </w:pPr>
    </w:p>
    <w:p>
      <w:pPr>
        <w:spacing w:line="560" w:lineRule="exact"/>
        <w:rPr>
          <w:rFonts w:ascii="宋体" w:hAnsi="宋体" w:cs="宋体"/>
        </w:rPr>
      </w:pPr>
    </w:p>
    <w:p>
      <w:pPr>
        <w:pStyle w:val="2"/>
        <w:rPr>
          <w:rFonts w:ascii="宋体" w:hAnsi="宋体" w:cs="宋体"/>
        </w:rPr>
      </w:pPr>
    </w:p>
    <w:p>
      <w:pPr>
        <w:rPr>
          <w:rFonts w:ascii="宋体" w:hAnsi="宋体" w:cs="宋体"/>
        </w:rPr>
      </w:pPr>
    </w:p>
    <w:p>
      <w:pPr>
        <w:pStyle w:val="2"/>
        <w:rPr>
          <w:rFonts w:ascii="宋体" w:hAnsi="宋体" w:cs="宋体"/>
        </w:rPr>
      </w:pPr>
    </w:p>
    <w:p>
      <w:pPr>
        <w:rPr>
          <w:rFonts w:ascii="宋体" w:hAnsi="宋体" w:cs="宋体"/>
        </w:rPr>
      </w:pPr>
    </w:p>
    <w:p>
      <w:pPr>
        <w:pStyle w:val="2"/>
        <w:rPr>
          <w:rFonts w:ascii="宋体" w:hAnsi="宋体" w:cs="宋体"/>
        </w:rPr>
      </w:pPr>
    </w:p>
    <w:p>
      <w:pPr>
        <w:pStyle w:val="3"/>
        <w:tabs>
          <w:tab w:val="left" w:pos="0"/>
        </w:tabs>
        <w:spacing w:before="0" w:after="0" w:line="560" w:lineRule="exact"/>
        <w:ind w:firstLine="2249" w:firstLineChars="700"/>
        <w:jc w:val="both"/>
        <w:rPr>
          <w:rFonts w:hAnsi="宋体" w:cs="宋体"/>
        </w:rPr>
      </w:pPr>
      <w:bookmarkStart w:id="344" w:name="_Toc11322"/>
      <w:r>
        <w:rPr>
          <w:rFonts w:hint="eastAsia" w:hAnsi="宋体" w:cs="宋体"/>
        </w:rPr>
        <w:t>第四章  评审方法和标准</w:t>
      </w:r>
      <w:bookmarkEnd w:id="344"/>
    </w:p>
    <w:p>
      <w:pPr>
        <w:pStyle w:val="9"/>
        <w:tabs>
          <w:tab w:val="clear" w:pos="567"/>
        </w:tabs>
        <w:spacing w:before="0" w:line="560" w:lineRule="exact"/>
        <w:ind w:firstLine="540" w:firstLineChars="225"/>
        <w:rPr>
          <w:rFonts w:cs="宋体"/>
        </w:rPr>
      </w:pPr>
    </w:p>
    <w:p>
      <w:pPr>
        <w:spacing w:line="560" w:lineRule="exact"/>
        <w:ind w:firstLine="424" w:firstLineChars="177"/>
        <w:rPr>
          <w:rFonts w:ascii="宋体" w:hAnsi="宋体" w:cs="宋体"/>
          <w:sz w:val="24"/>
        </w:rPr>
      </w:pPr>
      <w:r>
        <w:rPr>
          <w:rFonts w:hint="eastAsia" w:ascii="宋体" w:hAnsi="宋体" w:cs="宋体"/>
          <w:sz w:val="24"/>
        </w:rPr>
        <w:t>本项目将按照竞争性谈判文件第一章供应商须知中“五 开标及谈判”、“六 确定成交”及本章的规定评审。</w:t>
      </w:r>
    </w:p>
    <w:p>
      <w:pPr>
        <w:spacing w:line="560" w:lineRule="exact"/>
        <w:ind w:firstLine="542" w:firstLineChars="225"/>
        <w:outlineLvl w:val="1"/>
        <w:rPr>
          <w:rFonts w:ascii="宋体" w:hAnsi="宋体" w:eastAsiaTheme="minorEastAsia" w:cstheme="minorBidi"/>
          <w:b/>
          <w:bCs/>
          <w:sz w:val="24"/>
          <w:szCs w:val="22"/>
        </w:rPr>
      </w:pPr>
      <w:bookmarkStart w:id="345" w:name="_Toc29721"/>
      <w:r>
        <w:rPr>
          <w:rFonts w:hint="eastAsia" w:ascii="宋体" w:hAnsi="宋体" w:eastAsiaTheme="minorEastAsia" w:cstheme="minorBidi"/>
          <w:b/>
          <w:bCs/>
          <w:sz w:val="24"/>
          <w:szCs w:val="22"/>
        </w:rPr>
        <w:t>一、支持节能环保、中小微企业、监狱企业、残疾人福利性单位发展的鼓励优惠政策</w:t>
      </w:r>
      <w:bookmarkEnd w:id="345"/>
    </w:p>
    <w:p>
      <w:pPr>
        <w:spacing w:line="560" w:lineRule="exact"/>
        <w:ind w:firstLine="542" w:firstLineChars="225"/>
        <w:outlineLvl w:val="1"/>
        <w:rPr>
          <w:rFonts w:ascii="宋体" w:hAnsi="宋体" w:eastAsiaTheme="minorEastAsia" w:cstheme="minorBidi"/>
          <w:b/>
          <w:bCs/>
          <w:sz w:val="24"/>
          <w:szCs w:val="22"/>
        </w:rPr>
      </w:pPr>
      <w:bookmarkStart w:id="346" w:name="_Toc16649"/>
      <w:r>
        <w:rPr>
          <w:rFonts w:hint="eastAsia" w:ascii="宋体" w:hAnsi="宋体" w:eastAsiaTheme="minorEastAsia" w:cstheme="minorBidi"/>
          <w:b/>
          <w:bCs/>
          <w:sz w:val="24"/>
          <w:szCs w:val="22"/>
        </w:rPr>
        <w:t>1.优采强采节能环保产品</w:t>
      </w:r>
      <w:bookmarkEnd w:id="346"/>
      <w:r>
        <w:rPr>
          <w:rFonts w:hint="eastAsia" w:ascii="宋体" w:hAnsi="宋体" w:eastAsiaTheme="minorEastAsia" w:cstheme="minorBidi"/>
          <w:b/>
          <w:bCs/>
          <w:sz w:val="24"/>
          <w:szCs w:val="22"/>
        </w:rPr>
        <w:t xml:space="preserve"> </w:t>
      </w:r>
    </w:p>
    <w:p>
      <w:pPr>
        <w:spacing w:line="560" w:lineRule="exact"/>
        <w:ind w:firstLine="540" w:firstLineChars="225"/>
        <w:rPr>
          <w:rFonts w:ascii="宋体" w:hAnsi="宋体"/>
          <w:sz w:val="24"/>
        </w:rPr>
      </w:pPr>
      <w:r>
        <w:rPr>
          <w:rFonts w:hint="eastAsia" w:ascii="宋体" w:hAnsi="宋体"/>
          <w:sz w:val="24"/>
        </w:rPr>
        <w:t>1.1采购产品属于《节能产品政府采购品目清单》中强制采购节能产品的，供应商所投产品必须是《节能产品政府采购品目清单》中强制采购节能产品，提供</w:t>
      </w:r>
      <w:r>
        <w:rPr>
          <w:rFonts w:hint="eastAsia" w:ascii="宋体" w:hAnsi="宋体" w:cs="宋体"/>
          <w:sz w:val="24"/>
        </w:rPr>
        <w:t>国家确定的认证机构出具的、处于有效期之内的</w:t>
      </w:r>
      <w:r>
        <w:rPr>
          <w:rFonts w:hint="eastAsia" w:ascii="宋体" w:hAnsi="宋体"/>
          <w:sz w:val="24"/>
        </w:rPr>
        <w:t>认证证书扫描件</w:t>
      </w:r>
      <w:r>
        <w:rPr>
          <w:rFonts w:hint="eastAsia" w:ascii="宋体" w:hAnsi="宋体" w:cs="宋体"/>
          <w:sz w:val="24"/>
          <w:lang w:val="zh-CN"/>
        </w:rPr>
        <w:t>或提供加盖供应商公章的节能产品认证结果信息发布平台或中国政府采购网（www.ccgp.gov.cn）产品网站查询截图。</w:t>
      </w:r>
    </w:p>
    <w:p>
      <w:pPr>
        <w:pStyle w:val="22"/>
        <w:keepNext w:val="0"/>
        <w:keepLines w:val="0"/>
        <w:widowControl/>
        <w:suppressLineNumbers w:val="0"/>
        <w:spacing w:before="0" w:beforeAutospacing="0" w:after="0" w:afterAutospacing="0" w:line="560" w:lineRule="atLeast"/>
        <w:ind w:left="0" w:firstLine="540"/>
        <w:jc w:val="both"/>
        <w:rPr>
          <w:rFonts w:hint="eastAsia" w:ascii="宋体" w:hAnsi="宋体" w:cs="宋体"/>
          <w:sz w:val="24"/>
          <w:lang w:val="zh-CN"/>
        </w:rPr>
      </w:pPr>
      <w:r>
        <w:rPr>
          <w:rFonts w:hint="eastAsia" w:ascii="宋体" w:hAnsi="宋体"/>
          <w:sz w:val="24"/>
        </w:rPr>
        <w:t>1.2属于节能产品品目清单中强制采购节能产品的则该响应产品不享受优惠政策。供应商所报产品属于节能、环镜标志产品政府采购品目清单中的产品并取得</w:t>
      </w:r>
      <w:r>
        <w:rPr>
          <w:rFonts w:hint="eastAsia" w:ascii="宋体" w:hAnsi="宋体" w:cs="宋体"/>
          <w:sz w:val="24"/>
        </w:rPr>
        <w:t>国家确定的认证机构出具的、处于有效期之内的</w:t>
      </w:r>
      <w:r>
        <w:rPr>
          <w:rFonts w:hint="eastAsia" w:ascii="宋体" w:hAnsi="宋体"/>
          <w:sz w:val="24"/>
        </w:rPr>
        <w:t>认证证书扫描件</w:t>
      </w:r>
      <w:r>
        <w:rPr>
          <w:rFonts w:hint="eastAsia" w:ascii="宋体" w:hAnsi="宋体" w:cs="宋体"/>
          <w:sz w:val="24"/>
          <w:lang w:val="zh-CN"/>
        </w:rPr>
        <w:t>或提供加盖供应商公章的节能产品认证结果信息发布平台或中国政府采购网（www.ccgp.gov.cn）产品网站查询截图</w:t>
      </w:r>
      <w:r>
        <w:rPr>
          <w:rFonts w:hint="eastAsia" w:ascii="宋体" w:hAnsi="宋体"/>
          <w:sz w:val="24"/>
        </w:rPr>
        <w:t>，且为政府非强制采购节能、环镜标志产品的，在价格、技术评审中，</w:t>
      </w:r>
      <w:r>
        <w:rPr>
          <w:rFonts w:hint="eastAsia" w:ascii="宋体" w:hAnsi="宋体" w:cs="宋体"/>
          <w:sz w:val="24"/>
          <w:lang w:val="zh-CN"/>
        </w:rPr>
        <w:t>给予一定比例的加分：</w:t>
      </w:r>
    </w:p>
    <w:p>
      <w:pPr>
        <w:pStyle w:val="22"/>
        <w:keepNext w:val="0"/>
        <w:keepLines w:val="0"/>
        <w:widowControl/>
        <w:suppressLineNumbers w:val="0"/>
        <w:spacing w:before="0" w:beforeAutospacing="0" w:after="0" w:afterAutospacing="0" w:line="560" w:lineRule="atLeast"/>
        <w:ind w:left="0" w:firstLine="540"/>
        <w:jc w:val="both"/>
        <w:rPr>
          <w:rFonts w:hint="eastAsia" w:ascii="宋体" w:hAnsi="宋体" w:cs="宋体"/>
          <w:sz w:val="24"/>
          <w:lang w:val="zh-CN"/>
        </w:rPr>
      </w:pPr>
      <w:r>
        <w:rPr>
          <w:rFonts w:hint="eastAsia" w:ascii="宋体" w:hAnsi="宋体" w:cs="宋体"/>
          <w:sz w:val="24"/>
          <w:lang w:val="zh-CN"/>
        </w:rPr>
        <w:t>在价格评审项中，对节能、环境标志产品分别给予加分（加分=价格评标总分值×</w:t>
      </w:r>
      <w:r>
        <w:rPr>
          <w:rFonts w:hint="eastAsia" w:ascii="宋体" w:hAnsi="宋体" w:cs="宋体"/>
          <w:sz w:val="24"/>
          <w:lang w:val="en-US" w:eastAsia="zh-CN"/>
        </w:rPr>
        <w:t>/</w:t>
      </w:r>
      <w:r>
        <w:rPr>
          <w:rFonts w:hint="eastAsia" w:ascii="宋体" w:hAnsi="宋体" w:cs="宋体"/>
          <w:sz w:val="24"/>
          <w:lang w:val="zh-CN"/>
        </w:rPr>
        <w:t>%×节能、环镜标志产品价格在响应报价中所占比例）；</w:t>
      </w:r>
    </w:p>
    <w:p>
      <w:pPr>
        <w:pStyle w:val="22"/>
        <w:keepNext w:val="0"/>
        <w:keepLines w:val="0"/>
        <w:widowControl/>
        <w:suppressLineNumbers w:val="0"/>
        <w:spacing w:before="0" w:beforeAutospacing="0" w:after="0" w:afterAutospacing="0" w:line="560" w:lineRule="atLeast"/>
        <w:ind w:left="0" w:firstLine="540"/>
        <w:jc w:val="both"/>
        <w:rPr>
          <w:rFonts w:ascii="宋体" w:hAnsi="宋体"/>
          <w:sz w:val="24"/>
        </w:rPr>
      </w:pPr>
      <w:r>
        <w:rPr>
          <w:rFonts w:hint="eastAsia" w:ascii="宋体" w:hAnsi="宋体" w:cs="宋体"/>
          <w:sz w:val="24"/>
          <w:lang w:val="zh-CN"/>
        </w:rPr>
        <w:t>在技术评审项中，对节能、环境标志产品分别给予加分（加分=技术评标总分值×</w:t>
      </w:r>
      <w:r>
        <w:rPr>
          <w:rFonts w:hint="eastAsia" w:ascii="宋体" w:hAnsi="宋体" w:cs="宋体"/>
          <w:sz w:val="24"/>
          <w:lang w:val="en-US" w:eastAsia="zh-CN"/>
        </w:rPr>
        <w:t>/</w:t>
      </w:r>
      <w:r>
        <w:rPr>
          <w:rFonts w:hint="eastAsia" w:ascii="宋体" w:hAnsi="宋体" w:cs="宋体"/>
          <w:sz w:val="24"/>
          <w:lang w:val="zh-CN"/>
        </w:rPr>
        <w:t>%×节能、环镜标志产品价格在响应报价中所占比例）。</w:t>
      </w:r>
    </w:p>
    <w:p>
      <w:pPr>
        <w:spacing w:line="560" w:lineRule="exact"/>
        <w:ind w:firstLine="480" w:firstLineChars="200"/>
        <w:rPr>
          <w:rFonts w:ascii="宋体" w:hAnsi="宋体"/>
          <w:sz w:val="24"/>
        </w:rPr>
      </w:pPr>
      <w:r>
        <w:rPr>
          <w:rFonts w:hint="eastAsia" w:ascii="宋体" w:hAnsi="宋体"/>
          <w:sz w:val="24"/>
        </w:rPr>
        <w:t>1.3供应商在报价文件中必须对属于节能、环境标志产品清单中的产品，单独分项报价（格式见附件15、16）。</w:t>
      </w:r>
    </w:p>
    <w:p>
      <w:pPr>
        <w:spacing w:line="560" w:lineRule="exact"/>
        <w:ind w:firstLine="480" w:firstLineChars="200"/>
        <w:rPr>
          <w:rFonts w:ascii="宋体" w:hAnsi="宋体"/>
          <w:sz w:val="24"/>
        </w:rPr>
      </w:pPr>
      <w:r>
        <w:rPr>
          <w:rFonts w:hint="eastAsia" w:ascii="宋体" w:hAnsi="宋体"/>
          <w:sz w:val="24"/>
        </w:rPr>
        <w:t>1.4未按以上规定提供证书的不给予政策优惠，若节能产品、环境标志产品政府采购品目清单内的产品仅是构成响应产品的部件、组件或零件的，则该响应产品不享受优惠政策。</w:t>
      </w:r>
    </w:p>
    <w:p>
      <w:pPr>
        <w:spacing w:line="560" w:lineRule="exact"/>
        <w:ind w:firstLine="542" w:firstLineChars="225"/>
        <w:outlineLvl w:val="1"/>
        <w:rPr>
          <w:rFonts w:ascii="宋体" w:hAnsi="宋体" w:eastAsiaTheme="minorEastAsia" w:cstheme="minorBidi"/>
          <w:b/>
          <w:bCs/>
          <w:sz w:val="24"/>
          <w:szCs w:val="22"/>
        </w:rPr>
      </w:pPr>
      <w:bookmarkStart w:id="347" w:name="_Toc13376"/>
      <w:r>
        <w:rPr>
          <w:rFonts w:hint="eastAsia" w:ascii="宋体" w:hAnsi="宋体" w:eastAsiaTheme="minorEastAsia" w:cstheme="minorBidi"/>
          <w:b/>
          <w:bCs/>
          <w:sz w:val="24"/>
          <w:szCs w:val="22"/>
        </w:rPr>
        <w:t>2.中、小微企业</w:t>
      </w:r>
      <w:bookmarkEnd w:id="347"/>
    </w:p>
    <w:p>
      <w:pPr>
        <w:spacing w:line="560" w:lineRule="exact"/>
        <w:ind w:firstLine="540" w:firstLineChars="225"/>
        <w:rPr>
          <w:rFonts w:ascii="宋体" w:hAnsi="宋体"/>
          <w:sz w:val="24"/>
        </w:rPr>
      </w:pPr>
      <w:r>
        <w:rPr>
          <w:rFonts w:hint="eastAsia" w:ascii="宋体" w:hAnsi="宋体"/>
          <w:sz w:val="24"/>
        </w:rPr>
        <w:t>2.1若供应商为小微企业，按照《政府采购促进中小企业发展管理办法》（财库﹝2020﹞46号）及工信部等部委发布的《关于印发中小企业划型标准规定的通知》（工信部联企业〔2011〕300号）执行）的规定，享受评审中价格扣除的政府采购政策。</w:t>
      </w:r>
    </w:p>
    <w:p>
      <w:pPr>
        <w:spacing w:line="560" w:lineRule="exact"/>
        <w:ind w:firstLine="540" w:firstLineChars="225"/>
        <w:rPr>
          <w:rFonts w:ascii="宋体" w:hAnsi="宋体"/>
          <w:sz w:val="24"/>
          <w:highlight w:val="none"/>
        </w:rPr>
      </w:pPr>
      <w:r>
        <w:rPr>
          <w:rFonts w:hint="eastAsia" w:ascii="宋体" w:hAnsi="宋体"/>
          <w:sz w:val="24"/>
        </w:rPr>
        <w:t>给予小型和微型企业（包括相互之间组成的联合体）产</w:t>
      </w:r>
      <w:r>
        <w:rPr>
          <w:rFonts w:hint="eastAsia" w:ascii="宋体" w:hAnsi="宋体"/>
          <w:sz w:val="24"/>
          <w:highlight w:val="none"/>
        </w:rPr>
        <w:t>品的价格</w:t>
      </w:r>
      <w:r>
        <w:rPr>
          <w:rFonts w:hint="eastAsia" w:ascii="宋体" w:hAnsi="宋体"/>
          <w:sz w:val="24"/>
          <w:highlight w:val="none"/>
          <w:u w:val="single"/>
        </w:rPr>
        <w:t xml:space="preserve"> / </w:t>
      </w:r>
      <w:r>
        <w:rPr>
          <w:rFonts w:hint="eastAsia" w:ascii="宋体" w:hAnsi="宋体"/>
          <w:sz w:val="24"/>
          <w:highlight w:val="none"/>
        </w:rPr>
        <w:t>%的扣除；计算方法是：</w:t>
      </w:r>
    </w:p>
    <w:p>
      <w:pPr>
        <w:spacing w:line="560" w:lineRule="exact"/>
        <w:ind w:firstLine="540" w:firstLineChars="225"/>
        <w:rPr>
          <w:rFonts w:ascii="宋体" w:hAnsi="宋体"/>
          <w:sz w:val="24"/>
          <w:highlight w:val="none"/>
        </w:rPr>
      </w:pPr>
      <w:r>
        <w:rPr>
          <w:rFonts w:hint="eastAsia" w:ascii="宋体" w:hAnsi="宋体"/>
          <w:sz w:val="24"/>
          <w:highlight w:val="none"/>
        </w:rPr>
        <w:t>最终价格＝报价×（1-价格扣除比例)，按照最终价格进行价格评审。</w:t>
      </w:r>
    </w:p>
    <w:p>
      <w:pPr>
        <w:spacing w:line="560" w:lineRule="exact"/>
        <w:ind w:firstLine="540" w:firstLineChars="225"/>
        <w:rPr>
          <w:rFonts w:ascii="宋体" w:hAnsi="宋体"/>
          <w:sz w:val="24"/>
          <w:highlight w:val="none"/>
        </w:rPr>
      </w:pPr>
      <w:r>
        <w:rPr>
          <w:rFonts w:hint="eastAsia" w:ascii="宋体" w:hAnsi="宋体"/>
          <w:sz w:val="24"/>
          <w:highlight w:val="none"/>
        </w:rPr>
        <w:t>2.2大中型企业和其他自然人、法人或者其他组织与小型、微型企业组成联合体响应，联合协议中约定，小型、微型企业的协议合同金额占到联合体协议合同金额30%以上的，可给予联合体</w:t>
      </w:r>
      <w:r>
        <w:rPr>
          <w:rFonts w:hint="eastAsia" w:ascii="宋体" w:hAnsi="宋体"/>
          <w:sz w:val="24"/>
          <w:highlight w:val="none"/>
          <w:u w:val="single"/>
        </w:rPr>
        <w:t xml:space="preserve"> / </w:t>
      </w:r>
      <w:r>
        <w:rPr>
          <w:rFonts w:hint="eastAsia" w:ascii="宋体" w:hAnsi="宋体"/>
          <w:sz w:val="24"/>
          <w:highlight w:val="none"/>
        </w:rPr>
        <w:t>的价格扣除。计算方法是：</w:t>
      </w:r>
    </w:p>
    <w:p>
      <w:pPr>
        <w:spacing w:line="560" w:lineRule="exact"/>
        <w:ind w:firstLine="540" w:firstLineChars="225"/>
        <w:rPr>
          <w:rFonts w:ascii="宋体" w:hAnsi="宋体"/>
          <w:sz w:val="24"/>
          <w:highlight w:val="none"/>
        </w:rPr>
      </w:pPr>
      <w:r>
        <w:rPr>
          <w:rFonts w:hint="eastAsia" w:ascii="宋体" w:hAnsi="宋体"/>
          <w:sz w:val="24"/>
          <w:highlight w:val="none"/>
        </w:rPr>
        <w:t>最终价格＝响应报价×（1-价格扣除比例)，按照最终价格计算其价格分得分。</w:t>
      </w:r>
    </w:p>
    <w:p>
      <w:pPr>
        <w:spacing w:line="560" w:lineRule="exact"/>
        <w:ind w:firstLine="540" w:firstLineChars="225"/>
        <w:rPr>
          <w:rFonts w:ascii="宋体" w:hAnsi="宋体"/>
          <w:sz w:val="24"/>
          <w:highlight w:val="none"/>
        </w:rPr>
      </w:pPr>
      <w:r>
        <w:rPr>
          <w:rFonts w:hint="eastAsia" w:ascii="宋体" w:hAnsi="宋体"/>
          <w:sz w:val="24"/>
          <w:highlight w:val="none"/>
        </w:rPr>
        <w:t>2.3供应商为小型和微型企业的，须提供《中小企业声明函》（格式见附件）扫描件附于响应文件中。</w:t>
      </w:r>
    </w:p>
    <w:p>
      <w:pPr>
        <w:spacing w:line="560" w:lineRule="exact"/>
        <w:ind w:firstLine="542" w:firstLineChars="225"/>
        <w:outlineLvl w:val="1"/>
        <w:rPr>
          <w:rFonts w:ascii="宋体" w:hAnsi="宋体" w:eastAsiaTheme="minorEastAsia" w:cstheme="minorBidi"/>
          <w:b/>
          <w:bCs/>
          <w:sz w:val="24"/>
          <w:szCs w:val="22"/>
          <w:highlight w:val="none"/>
        </w:rPr>
      </w:pPr>
      <w:bookmarkStart w:id="348" w:name="_Toc13690"/>
      <w:r>
        <w:rPr>
          <w:rFonts w:hint="eastAsia" w:ascii="宋体" w:hAnsi="宋体" w:eastAsiaTheme="minorEastAsia" w:cstheme="minorBidi"/>
          <w:b/>
          <w:bCs/>
          <w:sz w:val="24"/>
          <w:szCs w:val="22"/>
          <w:highlight w:val="none"/>
        </w:rPr>
        <w:t>3.监狱企业</w:t>
      </w:r>
      <w:bookmarkEnd w:id="348"/>
    </w:p>
    <w:p>
      <w:pPr>
        <w:spacing w:line="560" w:lineRule="exact"/>
        <w:ind w:firstLine="540" w:firstLineChars="225"/>
        <w:rPr>
          <w:rFonts w:ascii="宋体" w:hAnsi="宋体"/>
          <w:sz w:val="24"/>
          <w:highlight w:val="none"/>
        </w:rPr>
      </w:pPr>
      <w:r>
        <w:rPr>
          <w:rFonts w:hint="eastAsia" w:ascii="宋体" w:hAnsi="宋体"/>
          <w:sz w:val="24"/>
          <w:highlight w:val="none"/>
        </w:rPr>
        <w:t>3.1若供应商为监狱企业，按照财政部、司法部发布的《关于政府采购支持监狱企业发展有关问题的通知》的规定，在政府采购活动中，监狱企业视同小型、微型企业，享受评审中价格扣除的政府采购政策。</w:t>
      </w:r>
    </w:p>
    <w:p>
      <w:pPr>
        <w:spacing w:line="560" w:lineRule="exact"/>
        <w:ind w:firstLine="540" w:firstLineChars="225"/>
        <w:rPr>
          <w:rFonts w:ascii="宋体" w:hAnsi="宋体"/>
          <w:sz w:val="24"/>
        </w:rPr>
      </w:pPr>
      <w:r>
        <w:rPr>
          <w:rFonts w:hint="eastAsia" w:ascii="宋体" w:hAnsi="宋体"/>
          <w:sz w:val="24"/>
          <w:highlight w:val="none"/>
        </w:rPr>
        <w:t>3.2给予监狱企业（包括相互之间组成的联合体）产品的价格</w:t>
      </w:r>
      <w:r>
        <w:rPr>
          <w:rFonts w:hint="eastAsia" w:ascii="宋体" w:hAnsi="宋体"/>
          <w:sz w:val="24"/>
          <w:highlight w:val="none"/>
          <w:u w:val="single"/>
        </w:rPr>
        <w:t xml:space="preserve"> /% </w:t>
      </w:r>
      <w:r>
        <w:rPr>
          <w:rFonts w:hint="eastAsia" w:ascii="宋体" w:hAnsi="宋体"/>
          <w:sz w:val="24"/>
          <w:highlight w:val="none"/>
        </w:rPr>
        <w:t>的</w:t>
      </w:r>
      <w:r>
        <w:rPr>
          <w:rFonts w:hint="eastAsia" w:ascii="宋体" w:hAnsi="宋体"/>
          <w:sz w:val="24"/>
        </w:rPr>
        <w:t xml:space="preserve">扣除；计算方法是： </w:t>
      </w:r>
    </w:p>
    <w:p>
      <w:pPr>
        <w:spacing w:line="560" w:lineRule="exact"/>
        <w:ind w:firstLine="540" w:firstLineChars="225"/>
        <w:rPr>
          <w:rFonts w:ascii="宋体" w:hAnsi="宋体"/>
          <w:sz w:val="24"/>
        </w:rPr>
      </w:pPr>
      <w:r>
        <w:rPr>
          <w:rFonts w:hint="eastAsia" w:ascii="宋体" w:hAnsi="宋体"/>
          <w:sz w:val="24"/>
        </w:rPr>
        <w:t>最终价格＝响应报价×（1-价格扣除比例)，按照最终价格计算其价格分得分。</w:t>
      </w:r>
    </w:p>
    <w:p>
      <w:pPr>
        <w:spacing w:line="560" w:lineRule="exact"/>
        <w:ind w:firstLine="540" w:firstLineChars="225"/>
        <w:rPr>
          <w:rFonts w:ascii="宋体" w:hAnsi="宋体"/>
          <w:sz w:val="24"/>
        </w:rPr>
      </w:pPr>
      <w:r>
        <w:rPr>
          <w:rFonts w:hint="eastAsia" w:ascii="宋体" w:hAnsi="宋体"/>
          <w:sz w:val="24"/>
        </w:rPr>
        <w:t>3.3法人、其他组织或者自然人与监狱企业组成联合体响应，联合协议中约定，监狱企业的协议合同金额占到联合体协议合同金额30%以上的，可给予联合体</w:t>
      </w:r>
      <w:r>
        <w:rPr>
          <w:rFonts w:hint="eastAsia" w:ascii="宋体" w:hAnsi="宋体"/>
          <w:sz w:val="24"/>
          <w:u w:val="single"/>
        </w:rPr>
        <w:t xml:space="preserve"> / </w:t>
      </w:r>
      <w:r>
        <w:rPr>
          <w:rFonts w:hint="eastAsia" w:ascii="宋体" w:hAnsi="宋体"/>
          <w:sz w:val="24"/>
        </w:rPr>
        <w:t xml:space="preserve">的价格扣除。计算方法是： </w:t>
      </w:r>
    </w:p>
    <w:p>
      <w:pPr>
        <w:spacing w:line="560" w:lineRule="exact"/>
        <w:ind w:firstLine="540" w:firstLineChars="225"/>
        <w:rPr>
          <w:rFonts w:ascii="宋体" w:hAnsi="宋体"/>
          <w:sz w:val="24"/>
        </w:rPr>
      </w:pPr>
      <w:r>
        <w:rPr>
          <w:rFonts w:hint="eastAsia" w:ascii="宋体" w:hAnsi="宋体"/>
          <w:sz w:val="24"/>
        </w:rPr>
        <w:t xml:space="preserve">最终价格＝报价×（1-价格扣除比例)，按照最终价格计算其价格分得分。 </w:t>
      </w:r>
    </w:p>
    <w:p>
      <w:pPr>
        <w:spacing w:line="560" w:lineRule="exact"/>
        <w:ind w:firstLine="540" w:firstLineChars="225"/>
        <w:rPr>
          <w:rFonts w:ascii="宋体" w:hAnsi="宋体"/>
          <w:sz w:val="24"/>
        </w:rPr>
      </w:pPr>
      <w:r>
        <w:rPr>
          <w:rFonts w:hint="eastAsia" w:ascii="宋体" w:hAnsi="宋体"/>
          <w:sz w:val="24"/>
        </w:rPr>
        <w:t>供应商须提供省级以上监狱管理局、戒毒管理局（含新疆生产建设兵团）出具的属于监狱企业的证明文件扫描件附于响应文件中，否则不给予价格扣除。</w:t>
      </w:r>
    </w:p>
    <w:p>
      <w:pPr>
        <w:spacing w:line="560" w:lineRule="exact"/>
        <w:ind w:firstLine="542" w:firstLineChars="225"/>
        <w:outlineLvl w:val="1"/>
        <w:rPr>
          <w:rFonts w:ascii="宋体" w:hAnsi="宋体" w:eastAsiaTheme="minorEastAsia" w:cstheme="minorBidi"/>
          <w:b/>
          <w:bCs/>
          <w:sz w:val="24"/>
          <w:szCs w:val="22"/>
        </w:rPr>
      </w:pPr>
      <w:bookmarkStart w:id="349" w:name="_Toc9822"/>
      <w:r>
        <w:rPr>
          <w:rFonts w:hint="eastAsia" w:ascii="宋体" w:hAnsi="宋体" w:eastAsiaTheme="minorEastAsia" w:cstheme="minorBidi"/>
          <w:b/>
          <w:bCs/>
          <w:sz w:val="24"/>
          <w:szCs w:val="22"/>
        </w:rPr>
        <w:t>4.残疾人福利性单位</w:t>
      </w:r>
      <w:bookmarkEnd w:id="349"/>
    </w:p>
    <w:p>
      <w:pPr>
        <w:spacing w:line="560" w:lineRule="exact"/>
        <w:ind w:firstLine="540" w:firstLineChars="225"/>
        <w:rPr>
          <w:rFonts w:ascii="宋体" w:hAnsi="宋体"/>
          <w:sz w:val="24"/>
        </w:rPr>
      </w:pPr>
      <w:r>
        <w:rPr>
          <w:rFonts w:hint="eastAsia" w:ascii="宋体" w:hAnsi="宋体"/>
          <w:sz w:val="24"/>
        </w:rPr>
        <w:t>4.1若供应商为残疾人福利性单位， &lt;&lt;三部门联合发布关于促进残疾人就业政府采购政策的通知&gt;&gt;(财库{2017}141号)的规定，在政府采购活动中残疾人福利性单位视同小型、微型企业，享受预留份额、评审中价格扣除等促进中小企业发展的政府采购政策。残疾人福利性单位属于小型、微型企业的，不重复享受政策。</w:t>
      </w:r>
    </w:p>
    <w:p>
      <w:pPr>
        <w:spacing w:line="560" w:lineRule="exact"/>
        <w:ind w:firstLine="540" w:firstLineChars="225"/>
        <w:rPr>
          <w:rFonts w:ascii="宋体" w:hAnsi="宋体"/>
          <w:sz w:val="24"/>
        </w:rPr>
      </w:pPr>
      <w:r>
        <w:rPr>
          <w:rFonts w:hint="eastAsia" w:ascii="宋体" w:hAnsi="宋体"/>
          <w:sz w:val="24"/>
        </w:rPr>
        <w:t>4.2给予残疾人福利性单位产品的</w:t>
      </w:r>
      <w:r>
        <w:rPr>
          <w:rFonts w:hint="eastAsia" w:ascii="宋体" w:hAnsi="宋体"/>
          <w:sz w:val="24"/>
          <w:highlight w:val="none"/>
        </w:rPr>
        <w:t>价格</w:t>
      </w:r>
      <w:r>
        <w:rPr>
          <w:rFonts w:hint="eastAsia" w:ascii="宋体" w:hAnsi="宋体"/>
          <w:sz w:val="24"/>
          <w:highlight w:val="none"/>
          <w:u w:val="single"/>
        </w:rPr>
        <w:t xml:space="preserve"> /% </w:t>
      </w:r>
      <w:r>
        <w:rPr>
          <w:rFonts w:hint="eastAsia" w:ascii="宋体" w:hAnsi="宋体"/>
          <w:sz w:val="24"/>
          <w:highlight w:val="none"/>
        </w:rPr>
        <w:t>的扣除</w:t>
      </w:r>
      <w:r>
        <w:rPr>
          <w:rFonts w:hint="eastAsia" w:ascii="宋体" w:hAnsi="宋体"/>
          <w:sz w:val="24"/>
        </w:rPr>
        <w:t>；计算方法是：</w:t>
      </w:r>
    </w:p>
    <w:p>
      <w:pPr>
        <w:spacing w:line="560" w:lineRule="exact"/>
        <w:ind w:firstLine="540" w:firstLineChars="225"/>
        <w:rPr>
          <w:rFonts w:ascii="宋体" w:hAnsi="宋体"/>
          <w:sz w:val="24"/>
        </w:rPr>
      </w:pPr>
      <w:r>
        <w:rPr>
          <w:rFonts w:hint="eastAsia" w:ascii="宋体" w:hAnsi="宋体"/>
          <w:sz w:val="24"/>
        </w:rPr>
        <w:t>最终价格＝报价×（1-价格扣除比例)，按照最终价格计算其价格分得分。</w:t>
      </w:r>
    </w:p>
    <w:p>
      <w:pPr>
        <w:spacing w:line="560" w:lineRule="exact"/>
        <w:ind w:firstLine="540" w:firstLineChars="225"/>
        <w:rPr>
          <w:rFonts w:ascii="宋体" w:hAnsi="宋体"/>
          <w:sz w:val="24"/>
        </w:rPr>
      </w:pPr>
      <w:r>
        <w:rPr>
          <w:rFonts w:hint="eastAsia" w:ascii="宋体" w:hAnsi="宋体"/>
          <w:sz w:val="24"/>
        </w:rPr>
        <w:t>供应商须提供《残疾人福利性单位声明函》扫描件附于响应文件中，否则不给予价格扣除。</w:t>
      </w:r>
    </w:p>
    <w:p>
      <w:pPr>
        <w:spacing w:line="560" w:lineRule="exact"/>
        <w:ind w:firstLine="540" w:firstLineChars="225"/>
        <w:rPr>
          <w:rFonts w:ascii="宋体" w:hAnsi="宋体"/>
          <w:sz w:val="24"/>
        </w:rPr>
      </w:pPr>
      <w:r>
        <w:rPr>
          <w:rFonts w:hint="eastAsia" w:ascii="宋体" w:hAnsi="宋体"/>
          <w:sz w:val="24"/>
        </w:rPr>
        <w:t>4.3成交供应商为残疾人福利性单位的，采购代理机构应当随中标结果同时公告其《残疾人福利性单位声明函》，接受社会监督。</w:t>
      </w:r>
    </w:p>
    <w:p>
      <w:pPr>
        <w:spacing w:line="560" w:lineRule="exact"/>
        <w:ind w:firstLine="540" w:firstLineChars="225"/>
        <w:rPr>
          <w:rFonts w:ascii="宋体" w:hAnsi="宋体"/>
          <w:sz w:val="24"/>
        </w:rPr>
      </w:pPr>
      <w:r>
        <w:rPr>
          <w:rFonts w:hint="eastAsia" w:ascii="宋体" w:hAnsi="宋体"/>
          <w:sz w:val="24"/>
        </w:rPr>
        <w:t>注：供应商在响应文件中提供的涉及到政策加分项目的相关资料须一次性上传提交出示，不接受二次提交材料验证，由谈判小组检查验证。供应商所提供的资料或填写的内容必须真实、可靠，如有虚假或隐瞒，一经查实将导致响应被拒绝，并按照《中华人民共和国政府采购法》第七十七条第一款“提供虚假材料谋取中标的”进行处罚，给甲方造成损失的应承担赔偿。</w:t>
      </w:r>
    </w:p>
    <w:p>
      <w:pPr>
        <w:spacing w:line="560" w:lineRule="exact"/>
        <w:ind w:firstLine="542" w:firstLineChars="225"/>
        <w:outlineLvl w:val="1"/>
        <w:rPr>
          <w:rFonts w:ascii="宋体" w:hAnsi="宋体" w:eastAsiaTheme="minorEastAsia" w:cstheme="minorBidi"/>
          <w:b/>
          <w:bCs/>
          <w:sz w:val="24"/>
          <w:szCs w:val="22"/>
        </w:rPr>
      </w:pPr>
      <w:bookmarkStart w:id="350" w:name="_Toc9838"/>
      <w:r>
        <w:rPr>
          <w:rFonts w:hint="eastAsia" w:ascii="宋体" w:hAnsi="宋体" w:eastAsiaTheme="minorEastAsia" w:cstheme="minorBidi"/>
          <w:b/>
          <w:bCs/>
          <w:sz w:val="24"/>
          <w:szCs w:val="22"/>
        </w:rPr>
        <w:t>二、评审办法</w:t>
      </w:r>
      <w:bookmarkEnd w:id="350"/>
    </w:p>
    <w:p>
      <w:pPr>
        <w:spacing w:line="560" w:lineRule="exact"/>
        <w:ind w:firstLine="540" w:firstLineChars="225"/>
        <w:rPr>
          <w:rFonts w:ascii="宋体" w:hAnsi="宋体"/>
          <w:sz w:val="24"/>
        </w:rPr>
      </w:pPr>
      <w:r>
        <w:rPr>
          <w:rFonts w:hint="eastAsia" w:ascii="宋体" w:hAnsi="宋体"/>
          <w:sz w:val="24"/>
        </w:rPr>
        <w:t>本次评审采用</w:t>
      </w:r>
      <w:bookmarkStart w:id="351" w:name="percentDesc"/>
      <w:bookmarkEnd w:id="351"/>
      <w:r>
        <w:rPr>
          <w:rFonts w:hint="eastAsia" w:ascii="宋体" w:hAnsi="宋体"/>
          <w:sz w:val="24"/>
        </w:rPr>
        <w:t>最低评标价法，是指响应文件满足竞争性谈判文件全部实质性要求，且最终响应报价最低的供应商为成交候选人。</w:t>
      </w:r>
    </w:p>
    <w:p>
      <w:pPr>
        <w:pStyle w:val="5"/>
        <w:spacing w:before="0" w:after="0" w:line="560" w:lineRule="exact"/>
        <w:ind w:firstLine="480" w:firstLineChars="200"/>
        <w:rPr>
          <w:rFonts w:hAnsi="宋体"/>
          <w:b w:val="0"/>
          <w:bCs/>
          <w:u w:val="none"/>
        </w:rPr>
      </w:pPr>
      <w:bookmarkStart w:id="352" w:name="_Toc16295"/>
      <w:bookmarkStart w:id="353" w:name="_Toc23737"/>
      <w:r>
        <w:rPr>
          <w:rFonts w:hint="eastAsia" w:hAnsi="宋体"/>
          <w:b w:val="0"/>
          <w:bCs/>
          <w:u w:val="none"/>
        </w:rPr>
        <w:t>采用最低评标价法的采购项目，提供相同品牌产品的不同供应商参加同一合同项下响应的，以其中通过资格审查、符合性审查且报价最低的参与响应；报价相同的，由采购人或者采购人委托谈判小组按照竞争性谈判文件规定的方式确定一个参加评标的供应商，竞争性谈判文件未规定的采取随机抽取方式确定，其他响应无效。</w:t>
      </w:r>
      <w:bookmarkEnd w:id="352"/>
      <w:bookmarkEnd w:id="353"/>
    </w:p>
    <w:p>
      <w:pPr>
        <w:spacing w:line="560" w:lineRule="exact"/>
        <w:ind w:firstLine="480" w:firstLineChars="200"/>
        <w:rPr>
          <w:rFonts w:hAnsi="宋体"/>
          <w:bCs/>
          <w:sz w:val="24"/>
          <w:highlight w:val="none"/>
        </w:rPr>
      </w:pPr>
      <w:r>
        <w:rPr>
          <w:rFonts w:hint="eastAsia" w:hAnsi="宋体"/>
          <w:bCs/>
          <w:sz w:val="24"/>
        </w:rPr>
        <w:t>采用</w:t>
      </w:r>
      <w:r>
        <w:rPr>
          <w:rFonts w:hint="eastAsia" w:ascii="宋体" w:hAnsi="宋体"/>
          <w:bCs/>
          <w:sz w:val="24"/>
        </w:rPr>
        <w:t>最低评标价法</w:t>
      </w:r>
      <w:r>
        <w:rPr>
          <w:rFonts w:hint="eastAsia" w:hAnsi="宋体"/>
          <w:bCs/>
          <w:sz w:val="24"/>
        </w:rPr>
        <w:t>的，评标结果按照响应报价由低到高顺序排列。响应报价相同的并列。响应文件满足</w:t>
      </w:r>
      <w:r>
        <w:rPr>
          <w:rFonts w:hint="eastAsia" w:ascii="宋体" w:hAnsi="宋体"/>
          <w:sz w:val="24"/>
        </w:rPr>
        <w:t>竞争性谈判文件</w:t>
      </w:r>
      <w:r>
        <w:rPr>
          <w:rFonts w:hint="eastAsia" w:hAnsi="宋体"/>
          <w:bCs/>
          <w:sz w:val="24"/>
        </w:rPr>
        <w:t>全部实质性要求且最终报价最低的供应商为排名第一的成交候选人，</w:t>
      </w:r>
      <w:bookmarkStart w:id="461" w:name="_GoBack"/>
      <w:r>
        <w:rPr>
          <w:rFonts w:hint="eastAsia" w:hAnsi="宋体"/>
          <w:bCs/>
          <w:sz w:val="24"/>
          <w:highlight w:val="none"/>
        </w:rPr>
        <w:t>报价也相同的，由谈判小组投票决定。</w:t>
      </w:r>
    </w:p>
    <w:p>
      <w:pPr>
        <w:spacing w:line="560" w:lineRule="exact"/>
        <w:ind w:firstLine="480" w:firstLineChars="200"/>
        <w:rPr>
          <w:rFonts w:hAnsi="宋体"/>
          <w:bCs/>
          <w:sz w:val="24"/>
          <w:highlight w:val="none"/>
        </w:rPr>
      </w:pPr>
      <w:r>
        <w:rPr>
          <w:rFonts w:hint="eastAsia" w:hAnsi="宋体"/>
          <w:bCs/>
          <w:sz w:val="24"/>
          <w:highlight w:val="none"/>
        </w:rPr>
        <w:t>本项目面向中小微企业进行采购，评审过程中不再进行价格扣除。</w:t>
      </w:r>
    </w:p>
    <w:p>
      <w:pPr>
        <w:spacing w:line="560" w:lineRule="exact"/>
        <w:ind w:firstLine="542" w:firstLineChars="225"/>
        <w:outlineLvl w:val="1"/>
        <w:rPr>
          <w:rFonts w:ascii="宋体" w:hAnsi="宋体" w:eastAsiaTheme="minorEastAsia" w:cstheme="minorBidi"/>
          <w:b/>
          <w:bCs/>
          <w:sz w:val="24"/>
          <w:szCs w:val="22"/>
          <w:highlight w:val="none"/>
        </w:rPr>
      </w:pPr>
      <w:bookmarkStart w:id="354" w:name="_Toc19029"/>
      <w:r>
        <w:rPr>
          <w:rFonts w:hint="eastAsia" w:ascii="宋体" w:hAnsi="宋体" w:eastAsiaTheme="minorEastAsia" w:cstheme="minorBidi"/>
          <w:b/>
          <w:bCs/>
          <w:sz w:val="24"/>
          <w:szCs w:val="22"/>
          <w:highlight w:val="none"/>
        </w:rPr>
        <w:t>三、评标标准</w:t>
      </w:r>
      <w:bookmarkEnd w:id="354"/>
    </w:p>
    <w:bookmarkEnd w:id="461"/>
    <w:p>
      <w:pPr>
        <w:pStyle w:val="4"/>
        <w:spacing w:line="560" w:lineRule="exact"/>
        <w:rPr>
          <w:rFonts w:ascii="宋体" w:hAnsi="宋体" w:eastAsia="宋体" w:cs="宋体"/>
        </w:rPr>
      </w:pPr>
      <w:bookmarkStart w:id="355" w:name="_Toc63753206"/>
      <w:bookmarkStart w:id="356" w:name="_Toc14162"/>
      <w:bookmarkStart w:id="357" w:name="_Toc29759"/>
      <w:bookmarkStart w:id="358" w:name="_Toc62323827"/>
      <w:r>
        <w:rPr>
          <w:rFonts w:hint="eastAsia" w:ascii="宋体" w:hAnsi="宋体" w:eastAsia="宋体" w:cs="宋体"/>
        </w:rPr>
        <w:t>初步评审（样表）</w:t>
      </w:r>
      <w:bookmarkEnd w:id="355"/>
      <w:bookmarkEnd w:id="356"/>
      <w:bookmarkEnd w:id="357"/>
      <w:bookmarkEnd w:id="358"/>
    </w:p>
    <w:tbl>
      <w:tblPr>
        <w:tblStyle w:val="23"/>
        <w:tblpPr w:leftFromText="180" w:rightFromText="180" w:vertAnchor="text" w:horzAnchor="page" w:tblpX="1696" w:tblpY="597"/>
        <w:tblOverlap w:val="never"/>
        <w:tblW w:w="8686"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9"/>
        <w:gridCol w:w="641"/>
        <w:gridCol w:w="3650"/>
        <w:gridCol w:w="349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Align w:val="center"/>
          </w:tcPr>
          <w:p>
            <w:pPr>
              <w:spacing w:line="560" w:lineRule="exact"/>
              <w:jc w:val="center"/>
              <w:rPr>
                <w:rFonts w:ascii="宋体" w:hAnsi="宋体" w:cs="宋体"/>
                <w:kern w:val="0"/>
                <w:szCs w:val="21"/>
                <w:lang w:eastAsia="en-US"/>
              </w:rPr>
            </w:pPr>
            <w:r>
              <w:rPr>
                <w:rFonts w:ascii="宋体" w:hAnsi="宋体" w:cs="宋体"/>
                <w:kern w:val="0"/>
                <w:szCs w:val="21"/>
                <w:lang w:eastAsia="en-US"/>
              </w:rPr>
              <w:t>评审方式</w:t>
            </w:r>
          </w:p>
        </w:tc>
        <w:tc>
          <w:tcPr>
            <w:tcW w:w="641" w:type="dxa"/>
            <w:vAlign w:val="center"/>
          </w:tcPr>
          <w:p>
            <w:pPr>
              <w:spacing w:line="560" w:lineRule="exact"/>
              <w:jc w:val="center"/>
              <w:rPr>
                <w:rFonts w:ascii="宋体" w:hAnsi="宋体" w:cs="宋体"/>
                <w:kern w:val="0"/>
                <w:szCs w:val="21"/>
                <w:lang w:eastAsia="en-US"/>
              </w:rPr>
            </w:pPr>
            <w:r>
              <w:rPr>
                <w:rFonts w:ascii="宋体" w:hAnsi="宋体" w:cs="宋体"/>
                <w:kern w:val="0"/>
                <w:szCs w:val="21"/>
                <w:lang w:eastAsia="en-US"/>
              </w:rPr>
              <w:t>序号</w:t>
            </w:r>
          </w:p>
        </w:tc>
        <w:tc>
          <w:tcPr>
            <w:tcW w:w="3650" w:type="dxa"/>
            <w:vAlign w:val="center"/>
          </w:tcPr>
          <w:p>
            <w:pPr>
              <w:spacing w:line="560" w:lineRule="exact"/>
              <w:jc w:val="center"/>
              <w:rPr>
                <w:rFonts w:ascii="宋体" w:hAnsi="宋体" w:cs="宋体"/>
                <w:kern w:val="0"/>
                <w:szCs w:val="21"/>
              </w:rPr>
            </w:pPr>
            <w:r>
              <w:rPr>
                <w:rFonts w:ascii="宋体" w:hAnsi="宋体" w:cs="宋体"/>
                <w:kern w:val="0"/>
                <w:szCs w:val="21"/>
                <w:lang w:eastAsia="en-US"/>
              </w:rPr>
              <w:t>评审因素</w:t>
            </w:r>
          </w:p>
        </w:tc>
        <w:tc>
          <w:tcPr>
            <w:tcW w:w="3496" w:type="dxa"/>
            <w:vAlign w:val="center"/>
          </w:tcPr>
          <w:p>
            <w:pPr>
              <w:spacing w:line="560" w:lineRule="exact"/>
              <w:jc w:val="center"/>
              <w:rPr>
                <w:rFonts w:ascii="宋体" w:hAnsi="宋体" w:cs="宋体"/>
                <w:kern w:val="0"/>
                <w:szCs w:val="21"/>
                <w:lang w:eastAsia="en-US"/>
              </w:rPr>
            </w:pPr>
            <w:r>
              <w:rPr>
                <w:rFonts w:ascii="宋体" w:hAnsi="宋体" w:cs="宋体"/>
                <w:kern w:val="0"/>
                <w:szCs w:val="21"/>
                <w:lang w:eastAsia="en-US"/>
              </w:rPr>
              <w:t>评审标准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restart"/>
            <w:vAlign w:val="center"/>
          </w:tcPr>
          <w:p>
            <w:pPr>
              <w:spacing w:line="560" w:lineRule="exact"/>
              <w:jc w:val="center"/>
              <w:rPr>
                <w:rFonts w:ascii="宋体" w:hAnsi="宋体" w:cs="宋体"/>
                <w:kern w:val="0"/>
                <w:szCs w:val="21"/>
                <w:lang w:eastAsia="en-US"/>
              </w:rPr>
            </w:pPr>
            <w:r>
              <w:rPr>
                <w:rFonts w:hint="eastAsia" w:ascii="宋体" w:hAnsi="宋体" w:cs="宋体"/>
                <w:kern w:val="0"/>
                <w:szCs w:val="21"/>
                <w:lang w:eastAsia="en-US"/>
              </w:rPr>
              <w:t>符合性</w:t>
            </w:r>
          </w:p>
          <w:p>
            <w:pPr>
              <w:spacing w:line="560" w:lineRule="exact"/>
              <w:jc w:val="center"/>
              <w:rPr>
                <w:rFonts w:ascii="宋体" w:hAnsi="宋体" w:cs="宋体"/>
                <w:kern w:val="0"/>
                <w:szCs w:val="21"/>
                <w:lang w:eastAsia="en-US"/>
              </w:rPr>
            </w:pPr>
            <w:r>
              <w:rPr>
                <w:rFonts w:ascii="宋体" w:hAnsi="宋体" w:cs="宋体"/>
                <w:kern w:val="0"/>
                <w:szCs w:val="21"/>
                <w:lang w:eastAsia="en-US"/>
              </w:rPr>
              <w:t>评审</w:t>
            </w:r>
          </w:p>
          <w:p>
            <w:pPr>
              <w:spacing w:line="560" w:lineRule="exact"/>
              <w:rPr>
                <w:rFonts w:ascii="宋体" w:hAnsi="宋体" w:cs="宋体"/>
                <w:kern w:val="0"/>
                <w:szCs w:val="21"/>
                <w:lang w:eastAsia="en-US"/>
              </w:rPr>
            </w:pPr>
          </w:p>
        </w:tc>
        <w:tc>
          <w:tcPr>
            <w:tcW w:w="641" w:type="dxa"/>
            <w:vAlign w:val="center"/>
          </w:tcPr>
          <w:p>
            <w:pPr>
              <w:spacing w:line="560" w:lineRule="exact"/>
              <w:jc w:val="center"/>
              <w:rPr>
                <w:rFonts w:ascii="宋体" w:hAnsi="宋体" w:cs="宋体"/>
                <w:kern w:val="0"/>
                <w:szCs w:val="21"/>
                <w:lang w:eastAsia="en-US"/>
              </w:rPr>
            </w:pPr>
            <w:r>
              <w:rPr>
                <w:rFonts w:ascii="宋体" w:hAnsi="宋体" w:cs="宋体"/>
                <w:kern w:val="0"/>
                <w:szCs w:val="21"/>
                <w:lang w:eastAsia="en-US"/>
              </w:rPr>
              <w:t>1</w:t>
            </w:r>
          </w:p>
        </w:tc>
        <w:tc>
          <w:tcPr>
            <w:tcW w:w="3650" w:type="dxa"/>
            <w:vAlign w:val="center"/>
          </w:tcPr>
          <w:p>
            <w:pPr>
              <w:spacing w:line="560" w:lineRule="exact"/>
              <w:jc w:val="center"/>
              <w:rPr>
                <w:rFonts w:ascii="宋体" w:hAnsi="宋体" w:cs="宋体"/>
                <w:kern w:val="0"/>
                <w:szCs w:val="21"/>
                <w:lang w:eastAsia="en-US"/>
              </w:rPr>
            </w:pPr>
            <w:r>
              <w:rPr>
                <w:rFonts w:hint="eastAsia" w:ascii="宋体" w:hAnsi="宋体" w:cs="宋体"/>
                <w:kern w:val="0"/>
                <w:szCs w:val="21"/>
              </w:rPr>
              <w:t>供应商名称</w:t>
            </w:r>
          </w:p>
        </w:tc>
        <w:tc>
          <w:tcPr>
            <w:tcW w:w="3496" w:type="dxa"/>
            <w:vAlign w:val="center"/>
          </w:tcPr>
          <w:p>
            <w:pPr>
              <w:spacing w:line="560" w:lineRule="exact"/>
              <w:jc w:val="center"/>
              <w:rPr>
                <w:rFonts w:ascii="宋体" w:hAnsi="宋体" w:cs="宋体"/>
                <w:kern w:val="0"/>
                <w:szCs w:val="21"/>
                <w:lang w:eastAsia="en-US"/>
              </w:rPr>
            </w:pPr>
            <w:r>
              <w:rPr>
                <w:rFonts w:hint="eastAsia" w:ascii="宋体" w:hAnsi="宋体" w:cs="宋体"/>
                <w:kern w:val="0"/>
                <w:szCs w:val="21"/>
              </w:rPr>
              <w:t>与营业执照等一致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tcPr>
          <w:p>
            <w:pPr>
              <w:spacing w:line="560" w:lineRule="exact"/>
              <w:jc w:val="center"/>
              <w:rPr>
                <w:rFonts w:ascii="宋体" w:hAnsi="宋体" w:cs="宋体"/>
                <w:kern w:val="0"/>
                <w:szCs w:val="21"/>
                <w:lang w:eastAsia="en-US"/>
              </w:rPr>
            </w:pPr>
          </w:p>
        </w:tc>
        <w:tc>
          <w:tcPr>
            <w:tcW w:w="641" w:type="dxa"/>
            <w:vAlign w:val="center"/>
          </w:tcPr>
          <w:p>
            <w:pPr>
              <w:spacing w:line="560" w:lineRule="exact"/>
              <w:jc w:val="center"/>
              <w:rPr>
                <w:rFonts w:ascii="宋体" w:hAnsi="宋体" w:cs="宋体"/>
                <w:kern w:val="0"/>
                <w:szCs w:val="21"/>
                <w:lang w:eastAsia="en-US"/>
              </w:rPr>
            </w:pPr>
            <w:r>
              <w:rPr>
                <w:rFonts w:ascii="宋体" w:hAnsi="宋体" w:cs="宋体"/>
                <w:kern w:val="0"/>
                <w:szCs w:val="21"/>
                <w:lang w:eastAsia="en-US"/>
              </w:rPr>
              <w:t>2</w:t>
            </w:r>
          </w:p>
        </w:tc>
        <w:tc>
          <w:tcPr>
            <w:tcW w:w="3650" w:type="dxa"/>
            <w:vAlign w:val="center"/>
          </w:tcPr>
          <w:p>
            <w:pPr>
              <w:spacing w:line="560" w:lineRule="exact"/>
              <w:jc w:val="center"/>
              <w:rPr>
                <w:rFonts w:ascii="宋体" w:hAnsi="宋体" w:cs="宋体"/>
                <w:kern w:val="0"/>
                <w:szCs w:val="21"/>
                <w:lang w:eastAsia="en-US"/>
              </w:rPr>
            </w:pPr>
            <w:r>
              <w:rPr>
                <w:rFonts w:hint="eastAsia" w:ascii="宋体" w:hAnsi="宋体" w:cs="宋体"/>
                <w:kern w:val="0"/>
                <w:szCs w:val="21"/>
              </w:rPr>
              <w:t>报价文件签署</w:t>
            </w:r>
          </w:p>
        </w:tc>
        <w:tc>
          <w:tcPr>
            <w:tcW w:w="3496" w:type="dxa"/>
            <w:vAlign w:val="center"/>
          </w:tcPr>
          <w:p>
            <w:pPr>
              <w:spacing w:line="560" w:lineRule="exact"/>
              <w:jc w:val="center"/>
              <w:rPr>
                <w:rFonts w:ascii="宋体" w:hAnsi="宋体" w:cs="宋体"/>
                <w:kern w:val="0"/>
                <w:szCs w:val="21"/>
                <w:lang w:eastAsia="en-US"/>
              </w:rPr>
            </w:pPr>
            <w:r>
              <w:rPr>
                <w:rFonts w:hint="eastAsia" w:ascii="宋体" w:hAnsi="宋体" w:cs="宋体"/>
                <w:kern w:val="0"/>
                <w:szCs w:val="21"/>
              </w:rPr>
              <w:t>按谈判文件要求加盖公章或法人签字或签字有法人有效授权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tcPr>
          <w:p>
            <w:pPr>
              <w:spacing w:line="560" w:lineRule="exact"/>
              <w:jc w:val="center"/>
              <w:rPr>
                <w:rFonts w:ascii="宋体" w:hAnsi="宋体" w:cs="宋体"/>
                <w:kern w:val="0"/>
                <w:szCs w:val="21"/>
                <w:lang w:eastAsia="en-US"/>
              </w:rPr>
            </w:pPr>
          </w:p>
        </w:tc>
        <w:tc>
          <w:tcPr>
            <w:tcW w:w="641" w:type="dxa"/>
            <w:vAlign w:val="center"/>
          </w:tcPr>
          <w:p>
            <w:pPr>
              <w:spacing w:line="560" w:lineRule="exact"/>
              <w:jc w:val="center"/>
              <w:rPr>
                <w:rFonts w:ascii="宋体" w:hAnsi="宋体" w:cs="宋体"/>
                <w:kern w:val="0"/>
                <w:szCs w:val="21"/>
                <w:lang w:eastAsia="en-US"/>
              </w:rPr>
            </w:pPr>
            <w:r>
              <w:rPr>
                <w:rFonts w:ascii="宋体" w:hAnsi="宋体" w:cs="宋体"/>
                <w:kern w:val="0"/>
                <w:szCs w:val="21"/>
                <w:lang w:eastAsia="en-US"/>
              </w:rPr>
              <w:t>3</w:t>
            </w:r>
          </w:p>
        </w:tc>
        <w:tc>
          <w:tcPr>
            <w:tcW w:w="3650" w:type="dxa"/>
            <w:vAlign w:val="center"/>
          </w:tcPr>
          <w:p>
            <w:pPr>
              <w:spacing w:line="560" w:lineRule="exact"/>
              <w:jc w:val="center"/>
              <w:rPr>
                <w:rFonts w:ascii="宋体" w:hAnsi="宋体" w:cs="宋体"/>
                <w:kern w:val="0"/>
                <w:szCs w:val="21"/>
                <w:lang w:eastAsia="en-US"/>
              </w:rPr>
            </w:pPr>
            <w:r>
              <w:rPr>
                <w:rFonts w:hint="eastAsia" w:ascii="宋体" w:hAnsi="宋体" w:cs="宋体"/>
                <w:kern w:val="0"/>
                <w:szCs w:val="21"/>
              </w:rPr>
              <w:t>报价方案</w:t>
            </w:r>
          </w:p>
        </w:tc>
        <w:tc>
          <w:tcPr>
            <w:tcW w:w="3496" w:type="dxa"/>
            <w:vAlign w:val="center"/>
          </w:tcPr>
          <w:p>
            <w:pPr>
              <w:spacing w:line="560" w:lineRule="exact"/>
              <w:jc w:val="center"/>
              <w:rPr>
                <w:rFonts w:ascii="宋体" w:hAnsi="宋体" w:cs="宋体"/>
                <w:kern w:val="0"/>
                <w:szCs w:val="21"/>
                <w:lang w:eastAsia="en-US"/>
              </w:rPr>
            </w:pPr>
            <w:r>
              <w:rPr>
                <w:rFonts w:hint="eastAsia" w:ascii="宋体" w:hAnsi="宋体" w:cs="宋体"/>
                <w:kern w:val="0"/>
                <w:szCs w:val="21"/>
              </w:rPr>
              <w:t>只有一个方案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tcPr>
          <w:p>
            <w:pPr>
              <w:spacing w:line="560" w:lineRule="exact"/>
              <w:jc w:val="center"/>
              <w:rPr>
                <w:rFonts w:ascii="宋体" w:hAnsi="宋体" w:cs="宋体"/>
                <w:kern w:val="0"/>
                <w:szCs w:val="21"/>
                <w:lang w:eastAsia="en-US"/>
              </w:rPr>
            </w:pPr>
          </w:p>
        </w:tc>
        <w:tc>
          <w:tcPr>
            <w:tcW w:w="641" w:type="dxa"/>
            <w:vAlign w:val="center"/>
          </w:tcPr>
          <w:p>
            <w:pPr>
              <w:spacing w:line="560" w:lineRule="exact"/>
              <w:jc w:val="center"/>
              <w:rPr>
                <w:rFonts w:ascii="宋体" w:hAnsi="宋体" w:cs="宋体"/>
                <w:kern w:val="0"/>
                <w:szCs w:val="21"/>
                <w:lang w:eastAsia="en-US"/>
              </w:rPr>
            </w:pPr>
            <w:r>
              <w:rPr>
                <w:rFonts w:ascii="宋体" w:hAnsi="宋体" w:cs="宋体"/>
                <w:kern w:val="0"/>
                <w:szCs w:val="21"/>
                <w:lang w:eastAsia="en-US"/>
              </w:rPr>
              <w:t>4</w:t>
            </w:r>
          </w:p>
        </w:tc>
        <w:tc>
          <w:tcPr>
            <w:tcW w:w="3650" w:type="dxa"/>
            <w:vAlign w:val="center"/>
          </w:tcPr>
          <w:p>
            <w:pPr>
              <w:spacing w:line="560" w:lineRule="exact"/>
              <w:jc w:val="center"/>
              <w:rPr>
                <w:rFonts w:ascii="宋体" w:hAnsi="宋体" w:cs="宋体"/>
                <w:kern w:val="0"/>
                <w:szCs w:val="21"/>
                <w:lang w:eastAsia="en-US"/>
              </w:rPr>
            </w:pPr>
            <w:r>
              <w:rPr>
                <w:rFonts w:hint="eastAsia" w:ascii="宋体" w:hAnsi="宋体" w:cs="宋体"/>
                <w:kern w:val="0"/>
                <w:szCs w:val="21"/>
              </w:rPr>
              <w:t>报价</w:t>
            </w:r>
          </w:p>
        </w:tc>
        <w:tc>
          <w:tcPr>
            <w:tcW w:w="3496" w:type="dxa"/>
            <w:vAlign w:val="center"/>
          </w:tcPr>
          <w:p>
            <w:pPr>
              <w:spacing w:line="560" w:lineRule="exact"/>
              <w:jc w:val="center"/>
              <w:rPr>
                <w:rFonts w:ascii="宋体" w:hAnsi="宋体" w:cs="宋体"/>
                <w:kern w:val="0"/>
                <w:szCs w:val="21"/>
                <w:lang w:eastAsia="en-US"/>
              </w:rPr>
            </w:pPr>
            <w:r>
              <w:rPr>
                <w:rFonts w:hint="eastAsia" w:ascii="宋体" w:hAnsi="宋体" w:cs="宋体"/>
                <w:kern w:val="0"/>
                <w:szCs w:val="21"/>
              </w:rPr>
              <w:t>只有一个有效报价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tcPr>
          <w:p>
            <w:pPr>
              <w:spacing w:line="560" w:lineRule="exact"/>
              <w:jc w:val="center"/>
              <w:rPr>
                <w:rFonts w:ascii="宋体" w:hAnsi="宋体" w:cs="宋体"/>
                <w:kern w:val="0"/>
                <w:szCs w:val="21"/>
                <w:lang w:eastAsia="en-US"/>
              </w:rPr>
            </w:pPr>
          </w:p>
        </w:tc>
        <w:tc>
          <w:tcPr>
            <w:tcW w:w="641" w:type="dxa"/>
            <w:vAlign w:val="center"/>
          </w:tcPr>
          <w:p>
            <w:pPr>
              <w:spacing w:line="560" w:lineRule="exact"/>
              <w:jc w:val="center"/>
              <w:rPr>
                <w:rFonts w:ascii="宋体" w:hAnsi="宋体" w:cs="宋体"/>
                <w:kern w:val="0"/>
                <w:szCs w:val="21"/>
                <w:lang w:eastAsia="en-US"/>
              </w:rPr>
            </w:pPr>
            <w:r>
              <w:rPr>
                <w:rFonts w:ascii="宋体" w:hAnsi="宋体" w:cs="宋体"/>
                <w:kern w:val="0"/>
                <w:szCs w:val="21"/>
                <w:lang w:eastAsia="en-US"/>
              </w:rPr>
              <w:t>5</w:t>
            </w:r>
          </w:p>
        </w:tc>
        <w:tc>
          <w:tcPr>
            <w:tcW w:w="3650" w:type="dxa"/>
            <w:vAlign w:val="center"/>
          </w:tcPr>
          <w:p>
            <w:pPr>
              <w:spacing w:line="560" w:lineRule="exact"/>
              <w:jc w:val="center"/>
              <w:rPr>
                <w:rFonts w:ascii="宋体" w:hAnsi="宋体" w:cs="宋体"/>
                <w:kern w:val="0"/>
                <w:szCs w:val="21"/>
                <w:lang w:eastAsia="en-US"/>
              </w:rPr>
            </w:pPr>
            <w:r>
              <w:rPr>
                <w:rFonts w:hint="eastAsia" w:ascii="宋体" w:hAnsi="宋体" w:cs="宋体"/>
                <w:kern w:val="0"/>
                <w:szCs w:val="21"/>
              </w:rPr>
              <w:t>报价货物清单</w:t>
            </w:r>
          </w:p>
        </w:tc>
        <w:tc>
          <w:tcPr>
            <w:tcW w:w="3496" w:type="dxa"/>
            <w:vAlign w:val="center"/>
          </w:tcPr>
          <w:p>
            <w:pPr>
              <w:spacing w:line="560" w:lineRule="exact"/>
              <w:jc w:val="center"/>
              <w:rPr>
                <w:rFonts w:ascii="宋体" w:hAnsi="宋体" w:cs="宋体"/>
                <w:kern w:val="0"/>
                <w:szCs w:val="21"/>
                <w:lang w:eastAsia="en-US"/>
              </w:rPr>
            </w:pPr>
            <w:r>
              <w:rPr>
                <w:rFonts w:hint="eastAsia" w:ascii="宋体" w:hAnsi="宋体" w:cs="宋体"/>
                <w:kern w:val="0"/>
                <w:szCs w:val="21"/>
              </w:rPr>
              <w:t>符合谈判文件的要求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tcPr>
          <w:p>
            <w:pPr>
              <w:spacing w:line="560" w:lineRule="exact"/>
              <w:jc w:val="center"/>
              <w:rPr>
                <w:rFonts w:ascii="宋体" w:hAnsi="宋体" w:cs="宋体"/>
                <w:kern w:val="0"/>
                <w:szCs w:val="21"/>
                <w:lang w:eastAsia="en-US"/>
              </w:rPr>
            </w:pPr>
          </w:p>
        </w:tc>
        <w:tc>
          <w:tcPr>
            <w:tcW w:w="641" w:type="dxa"/>
            <w:vAlign w:val="center"/>
          </w:tcPr>
          <w:p>
            <w:pPr>
              <w:spacing w:line="560" w:lineRule="exact"/>
              <w:jc w:val="center"/>
              <w:rPr>
                <w:rFonts w:ascii="宋体" w:hAnsi="宋体" w:cs="宋体"/>
                <w:kern w:val="0"/>
                <w:szCs w:val="21"/>
                <w:lang w:eastAsia="en-US"/>
              </w:rPr>
            </w:pPr>
            <w:r>
              <w:rPr>
                <w:rFonts w:ascii="宋体" w:hAnsi="宋体" w:cs="宋体"/>
                <w:kern w:val="0"/>
                <w:szCs w:val="21"/>
                <w:lang w:eastAsia="en-US"/>
              </w:rPr>
              <w:t>6</w:t>
            </w:r>
          </w:p>
        </w:tc>
        <w:tc>
          <w:tcPr>
            <w:tcW w:w="3650" w:type="dxa"/>
            <w:vAlign w:val="center"/>
          </w:tcPr>
          <w:p>
            <w:pPr>
              <w:spacing w:line="560" w:lineRule="exact"/>
              <w:jc w:val="center"/>
              <w:rPr>
                <w:rFonts w:ascii="宋体" w:hAnsi="宋体" w:cs="宋体"/>
                <w:kern w:val="0"/>
                <w:szCs w:val="21"/>
                <w:lang w:eastAsia="en-US"/>
              </w:rPr>
            </w:pPr>
            <w:r>
              <w:rPr>
                <w:rFonts w:hint="eastAsia" w:ascii="宋体" w:hAnsi="宋体" w:cs="宋体"/>
                <w:kern w:val="0"/>
                <w:szCs w:val="21"/>
              </w:rPr>
              <w:t>报价有效期</w:t>
            </w:r>
          </w:p>
        </w:tc>
        <w:tc>
          <w:tcPr>
            <w:tcW w:w="3496" w:type="dxa"/>
            <w:vAlign w:val="center"/>
          </w:tcPr>
          <w:p>
            <w:pPr>
              <w:spacing w:line="560" w:lineRule="exact"/>
              <w:jc w:val="center"/>
              <w:rPr>
                <w:rFonts w:ascii="宋体" w:hAnsi="宋体" w:cs="宋体"/>
                <w:kern w:val="0"/>
                <w:szCs w:val="21"/>
                <w:lang w:eastAsia="en-US"/>
              </w:rPr>
            </w:pPr>
            <w:r>
              <w:rPr>
                <w:rFonts w:hint="eastAsia" w:ascii="宋体" w:hAnsi="宋体" w:cs="宋体"/>
                <w:kern w:val="0"/>
                <w:szCs w:val="21"/>
              </w:rPr>
              <w:t>符合第二章14.1条规定</w:t>
            </w:r>
          </w:p>
        </w:tc>
      </w:tr>
    </w:tbl>
    <w:p>
      <w:pPr>
        <w:spacing w:before="2" w:line="560" w:lineRule="exact"/>
        <w:jc w:val="left"/>
        <w:rPr>
          <w:rFonts w:ascii="宋体" w:hAnsi="宋体" w:cs="宋体"/>
          <w:kern w:val="0"/>
          <w:sz w:val="11"/>
          <w:szCs w:val="11"/>
        </w:rPr>
      </w:pPr>
    </w:p>
    <w:p>
      <w:pPr>
        <w:widowControl/>
        <w:spacing w:beforeAutospacing="1" w:afterAutospacing="1" w:line="560" w:lineRule="exact"/>
        <w:jc w:val="left"/>
        <w:outlineLvl w:val="1"/>
        <w:rPr>
          <w:rFonts w:ascii="宋体" w:hAnsi="宋体"/>
          <w:kern w:val="0"/>
          <w:sz w:val="24"/>
          <w:szCs w:val="22"/>
        </w:rPr>
      </w:pPr>
      <w:bookmarkStart w:id="359" w:name="_Toc29110"/>
      <w:r>
        <w:rPr>
          <w:rFonts w:hint="eastAsia" w:ascii="宋体" w:hAnsi="宋体" w:eastAsiaTheme="minorEastAsia" w:cstheme="minorBidi"/>
          <w:b/>
          <w:bCs/>
          <w:sz w:val="24"/>
          <w:szCs w:val="22"/>
        </w:rPr>
        <w:t>四、结果确认</w:t>
      </w:r>
      <w:bookmarkEnd w:id="359"/>
    </w:p>
    <w:p>
      <w:pPr>
        <w:spacing w:line="560" w:lineRule="exact"/>
        <w:ind w:firstLine="480" w:firstLineChars="200"/>
        <w:jc w:val="left"/>
        <w:rPr>
          <w:rFonts w:ascii="宋体" w:hAnsi="宋体"/>
          <w:sz w:val="24"/>
        </w:rPr>
      </w:pPr>
      <w:r>
        <w:rPr>
          <w:rFonts w:hint="eastAsia" w:ascii="宋体" w:hAnsi="宋体"/>
          <w:sz w:val="24"/>
        </w:rPr>
        <w:t>本项目按照</w:t>
      </w:r>
      <w:r>
        <w:rPr>
          <w:rFonts w:hint="eastAsia" w:ascii="宋体" w:hAnsi="宋体"/>
          <w:sz w:val="24"/>
          <w:u w:val="single"/>
        </w:rPr>
        <w:t>供应商须知资料表</w:t>
      </w:r>
      <w:r>
        <w:rPr>
          <w:rFonts w:hint="eastAsia" w:ascii="宋体" w:hAnsi="宋体"/>
          <w:sz w:val="24"/>
        </w:rPr>
        <w:t>由采购人委托谈判小组直接确定成交供应商。</w:t>
      </w:r>
    </w:p>
    <w:p>
      <w:pPr>
        <w:pStyle w:val="4"/>
        <w:spacing w:line="560" w:lineRule="exact"/>
        <w:ind w:left="720" w:hanging="720"/>
        <w:rPr>
          <w:rFonts w:ascii="宋体" w:hAnsi="宋体" w:eastAsia="宋体" w:cs="宋体"/>
          <w:szCs w:val="24"/>
        </w:rPr>
      </w:pPr>
      <w:r>
        <w:rPr>
          <w:rFonts w:hint="eastAsia" w:hAnsi="宋体" w:cs="宋体"/>
          <w:i/>
        </w:rPr>
        <w:br w:type="page"/>
      </w:r>
    </w:p>
    <w:bookmarkEnd w:id="329"/>
    <w:bookmarkEnd w:id="330"/>
    <w:bookmarkEnd w:id="331"/>
    <w:p>
      <w:pPr>
        <w:pStyle w:val="3"/>
        <w:spacing w:line="560" w:lineRule="exact"/>
        <w:rPr>
          <w:rFonts w:hAnsi="宋体" w:cs="宋体"/>
        </w:rPr>
      </w:pPr>
      <w:bookmarkStart w:id="360" w:name="_Toc518923106"/>
      <w:bookmarkStart w:id="361" w:name="_Toc216582812"/>
      <w:bookmarkStart w:id="362" w:name="_Toc19807"/>
      <w:bookmarkStart w:id="363" w:name="_Toc46235126"/>
      <w:r>
        <w:rPr>
          <w:rFonts w:hint="eastAsia" w:hAnsi="宋体" w:cs="宋体"/>
        </w:rPr>
        <w:t>第五章 响应文件格式</w:t>
      </w:r>
      <w:bookmarkEnd w:id="360"/>
      <w:bookmarkEnd w:id="361"/>
      <w:bookmarkEnd w:id="362"/>
      <w:bookmarkEnd w:id="363"/>
    </w:p>
    <w:p>
      <w:pPr>
        <w:spacing w:line="560" w:lineRule="exact"/>
        <w:rPr>
          <w:rFonts w:ascii="宋体" w:hAnsi="宋体" w:cs="宋体"/>
        </w:rPr>
      </w:pPr>
      <w:bookmarkStart w:id="364" w:name="_Toc518923108"/>
      <w:bookmarkStart w:id="365" w:name="_Toc46235128"/>
    </w:p>
    <w:p>
      <w:pPr>
        <w:pStyle w:val="4"/>
        <w:spacing w:line="560" w:lineRule="exact"/>
        <w:ind w:left="774" w:hanging="774" w:hangingChars="257"/>
        <w:rPr>
          <w:rFonts w:ascii="宋体" w:hAnsi="宋体" w:eastAsia="宋体" w:cs="宋体"/>
        </w:rPr>
      </w:pPr>
      <w:bookmarkStart w:id="366" w:name="_Toc11559"/>
      <w:r>
        <w:rPr>
          <w:rFonts w:hint="eastAsia" w:ascii="宋体" w:hAnsi="宋体" w:eastAsia="宋体" w:cs="宋体"/>
        </w:rPr>
        <w:t>一、报价一览表</w:t>
      </w:r>
      <w:bookmarkEnd w:id="364"/>
      <w:bookmarkEnd w:id="365"/>
      <w:r>
        <w:rPr>
          <w:rFonts w:hint="eastAsia" w:ascii="宋体" w:hAnsi="宋体" w:eastAsia="宋体" w:cs="宋体"/>
        </w:rPr>
        <w:t>（样表）</w:t>
      </w:r>
      <w:bookmarkEnd w:id="366"/>
    </w:p>
    <w:p>
      <w:pPr>
        <w:tabs>
          <w:tab w:val="left" w:pos="5580"/>
        </w:tabs>
        <w:spacing w:line="560" w:lineRule="exact"/>
        <w:ind w:left="269" w:leftChars="128"/>
        <w:rPr>
          <w:rFonts w:ascii="宋体" w:hAnsi="宋体" w:cs="宋体"/>
          <w:sz w:val="24"/>
          <w:szCs w:val="20"/>
        </w:rPr>
      </w:pPr>
    </w:p>
    <w:p>
      <w:pPr>
        <w:pStyle w:val="5"/>
        <w:spacing w:line="560" w:lineRule="exact"/>
        <w:rPr>
          <w:rFonts w:hAnsi="宋体" w:cs="宋体"/>
        </w:rPr>
      </w:pPr>
      <w:bookmarkStart w:id="367" w:name="_Hlt520356241"/>
      <w:bookmarkEnd w:id="367"/>
      <w:bookmarkStart w:id="368" w:name="_Toc46235129"/>
      <w:bookmarkStart w:id="369" w:name="_Toc62193452"/>
      <w:bookmarkStart w:id="370" w:name="_Toc494296984"/>
      <w:bookmarkStart w:id="371" w:name="_Toc10421"/>
      <w:bookmarkStart w:id="372" w:name="_Ref467988698"/>
      <w:bookmarkStart w:id="373" w:name="_Toc480942349"/>
      <w:bookmarkStart w:id="374" w:name="_Toc520356217"/>
      <w:bookmarkStart w:id="375" w:name="_Toc216582813"/>
      <w:r>
        <w:rPr>
          <w:rFonts w:hint="eastAsia" w:hAnsi="宋体" w:cs="宋体"/>
          <w:u w:val="none"/>
        </w:rPr>
        <w:t>1.报价一览表</w:t>
      </w:r>
      <w:bookmarkEnd w:id="368"/>
      <w:bookmarkEnd w:id="369"/>
      <w:bookmarkEnd w:id="370"/>
      <w:r>
        <w:rPr>
          <w:rFonts w:hint="eastAsia" w:hAnsi="宋体" w:cs="宋体"/>
        </w:rPr>
        <w:cr/>
      </w:r>
      <w:r>
        <w:rPr>
          <w:rFonts w:hAnsi="宋体" w:cs="宋体"/>
          <w:u w:val="none"/>
        </w:rPr>
        <w:t>报价单位：</w:t>
      </w:r>
      <w:bookmarkEnd w:id="371"/>
    </w:p>
    <w:tbl>
      <w:tblPr>
        <w:tblStyle w:val="23"/>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09"/>
        <w:gridCol w:w="5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rPr>
            </w:pPr>
            <w:r>
              <w:rPr>
                <w:rFonts w:hint="eastAsia" w:ascii="宋体" w:hAnsi="宋体" w:cs="宋体"/>
                <w:sz w:val="24"/>
              </w:rPr>
              <w:t>项目编号</w:t>
            </w:r>
          </w:p>
        </w:tc>
        <w:tc>
          <w:tcPr>
            <w:tcW w:w="5719" w:type="dxa"/>
            <w:tcBorders>
              <w:top w:val="single" w:color="auto" w:sz="4" w:space="0"/>
              <w:left w:val="nil"/>
              <w:bottom w:val="single" w:color="auto" w:sz="4" w:space="0"/>
              <w:right w:val="single" w:color="auto" w:sz="4" w:space="0"/>
            </w:tcBorders>
            <w:vAlign w:val="center"/>
          </w:tcPr>
          <w:p>
            <w:pPr>
              <w:pStyle w:val="21"/>
              <w:spacing w:line="56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rPr>
            </w:pPr>
            <w:r>
              <w:rPr>
                <w:rFonts w:hint="eastAsia" w:ascii="宋体" w:hAnsi="宋体" w:cs="宋体"/>
                <w:sz w:val="24"/>
              </w:rPr>
              <w:t>项目名称</w:t>
            </w:r>
          </w:p>
        </w:tc>
        <w:tc>
          <w:tcPr>
            <w:tcW w:w="5719" w:type="dxa"/>
            <w:tcBorders>
              <w:top w:val="single" w:color="auto" w:sz="4" w:space="0"/>
              <w:left w:val="nil"/>
              <w:bottom w:val="single" w:color="auto" w:sz="4" w:space="0"/>
              <w:right w:val="single" w:color="auto" w:sz="4" w:space="0"/>
            </w:tcBorders>
            <w:vAlign w:val="center"/>
          </w:tcPr>
          <w:p>
            <w:pPr>
              <w:spacing w:line="56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rPr>
            </w:pPr>
            <w:r>
              <w:rPr>
                <w:rFonts w:hint="eastAsia" w:ascii="宋体" w:hAnsi="宋体" w:cs="宋体"/>
                <w:sz w:val="24"/>
              </w:rPr>
              <w:t>供应商名称</w:t>
            </w:r>
          </w:p>
        </w:tc>
        <w:tc>
          <w:tcPr>
            <w:tcW w:w="5719" w:type="dxa"/>
            <w:tcBorders>
              <w:top w:val="single" w:color="auto" w:sz="4" w:space="0"/>
              <w:left w:val="nil"/>
              <w:bottom w:val="single" w:color="auto" w:sz="4" w:space="0"/>
              <w:right w:val="single" w:color="auto" w:sz="4" w:space="0"/>
            </w:tcBorders>
            <w:vAlign w:val="center"/>
          </w:tcPr>
          <w:p>
            <w:pPr>
              <w:widowControl/>
              <w:spacing w:line="56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rPr>
            </w:pPr>
            <w:r>
              <w:rPr>
                <w:rFonts w:hint="eastAsia" w:ascii="宋体" w:hAnsi="宋体" w:cs="宋体"/>
                <w:sz w:val="24"/>
              </w:rPr>
              <w:t>报价</w:t>
            </w:r>
          </w:p>
        </w:tc>
        <w:tc>
          <w:tcPr>
            <w:tcW w:w="5719" w:type="dxa"/>
            <w:tcBorders>
              <w:top w:val="single" w:color="auto" w:sz="4" w:space="0"/>
              <w:left w:val="nil"/>
              <w:bottom w:val="single" w:color="auto" w:sz="4" w:space="0"/>
              <w:right w:val="single" w:color="auto" w:sz="4" w:space="0"/>
            </w:tcBorders>
            <w:vAlign w:val="center"/>
          </w:tcPr>
          <w:p>
            <w:pPr>
              <w:pStyle w:val="21"/>
              <w:spacing w:line="560" w:lineRule="exact"/>
              <w:ind w:firstLine="1080" w:firstLineChars="450"/>
              <w:rPr>
                <w:rFonts w:ascii="宋体" w:hAnsi="宋体" w:cs="宋体"/>
                <w:sz w:val="24"/>
              </w:rPr>
            </w:pPr>
            <w:r>
              <w:rPr>
                <w:rFonts w:hint="eastAsia" w:ascii="宋体" w:hAnsi="宋体" w:cs="宋体"/>
                <w:sz w:val="24"/>
              </w:rPr>
              <w:t>大写：</w:t>
            </w:r>
            <w:r>
              <w:rPr>
                <w:rFonts w:ascii="宋体" w:hAnsi="宋体" w:cs="宋体"/>
                <w:sz w:val="24"/>
              </w:rPr>
              <w:t xml:space="preserve"> </w:t>
            </w:r>
          </w:p>
          <w:p>
            <w:pPr>
              <w:pStyle w:val="21"/>
              <w:spacing w:line="560" w:lineRule="exact"/>
              <w:ind w:firstLine="1080" w:firstLineChars="450"/>
              <w:rPr>
                <w:rFonts w:ascii="宋体" w:hAnsi="宋体" w:cs="宋体"/>
                <w:sz w:val="24"/>
              </w:rPr>
            </w:pPr>
            <w:r>
              <w:rPr>
                <w:rFonts w:hint="eastAsia" w:ascii="宋体" w:hAnsi="宋体" w:cs="宋体"/>
                <w:sz w:val="24"/>
              </w:rPr>
              <w:t>小写：</w:t>
            </w:r>
            <w:r>
              <w:rPr>
                <w:rFonts w:ascii="宋体" w:hAnsi="宋体" w:cs="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rPr>
            </w:pPr>
            <w:r>
              <w:rPr>
                <w:rFonts w:hint="eastAsia" w:ascii="宋体" w:hAnsi="宋体" w:cs="宋体"/>
                <w:sz w:val="24"/>
              </w:rPr>
              <w:t>供货期</w:t>
            </w:r>
          </w:p>
        </w:tc>
        <w:tc>
          <w:tcPr>
            <w:tcW w:w="5719" w:type="dxa"/>
            <w:tcBorders>
              <w:top w:val="single" w:color="auto" w:sz="4" w:space="0"/>
              <w:left w:val="nil"/>
              <w:bottom w:val="single" w:color="auto" w:sz="4" w:space="0"/>
              <w:right w:val="single" w:color="auto" w:sz="4" w:space="0"/>
            </w:tcBorders>
            <w:vAlign w:val="center"/>
          </w:tcPr>
          <w:p>
            <w:pPr>
              <w:spacing w:line="56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rPr>
            </w:pPr>
            <w:r>
              <w:rPr>
                <w:rFonts w:hint="eastAsia" w:ascii="宋体" w:hAnsi="宋体" w:cs="宋体"/>
                <w:sz w:val="24"/>
              </w:rPr>
              <w:t>备注</w:t>
            </w:r>
          </w:p>
        </w:tc>
        <w:tc>
          <w:tcPr>
            <w:tcW w:w="5719" w:type="dxa"/>
            <w:tcBorders>
              <w:top w:val="single" w:color="auto" w:sz="4" w:space="0"/>
              <w:left w:val="nil"/>
              <w:bottom w:val="single" w:color="auto" w:sz="4" w:space="0"/>
              <w:right w:val="single" w:color="auto" w:sz="4" w:space="0"/>
            </w:tcBorders>
            <w:vAlign w:val="center"/>
          </w:tcPr>
          <w:p>
            <w:pPr>
              <w:spacing w:line="560" w:lineRule="exact"/>
              <w:jc w:val="center"/>
              <w:rPr>
                <w:rFonts w:ascii="宋体" w:hAnsi="宋体" w:cs="宋体"/>
                <w:sz w:val="24"/>
              </w:rPr>
            </w:pPr>
          </w:p>
        </w:tc>
      </w:tr>
    </w:tbl>
    <w:p>
      <w:pPr>
        <w:pStyle w:val="12"/>
        <w:tabs>
          <w:tab w:val="left" w:pos="5580"/>
        </w:tabs>
        <w:spacing w:line="560" w:lineRule="exact"/>
        <w:rPr>
          <w:rFonts w:hAnsi="宋体"/>
          <w:sz w:val="24"/>
        </w:rPr>
      </w:pPr>
      <w:r>
        <w:rPr>
          <w:rFonts w:hint="eastAsia" w:hAnsi="宋体"/>
          <w:sz w:val="24"/>
        </w:rPr>
        <w:t>供应商名称（公章）：</w:t>
      </w:r>
      <w:r>
        <w:rPr>
          <w:rFonts w:hAnsi="宋体"/>
          <w:sz w:val="24"/>
          <w:u w:val="single"/>
        </w:rPr>
        <w:tab/>
      </w:r>
      <w:r>
        <w:rPr>
          <w:rFonts w:hint="eastAsia" w:hAnsi="宋体"/>
          <w:sz w:val="24"/>
          <w:u w:val="single"/>
        </w:rPr>
        <w:t xml:space="preserve">  </w:t>
      </w:r>
      <w:r>
        <w:rPr>
          <w:rFonts w:hAnsi="宋体"/>
          <w:sz w:val="24"/>
          <w:u w:val="single"/>
        </w:rPr>
        <w:tab/>
      </w:r>
      <w:r>
        <w:rPr>
          <w:rFonts w:hint="eastAsia" w:hAnsi="宋体"/>
          <w:sz w:val="24"/>
          <w:u w:val="single"/>
        </w:rPr>
        <w:t xml:space="preserve"> </w:t>
      </w:r>
      <w:r>
        <w:rPr>
          <w:rFonts w:hAnsi="宋体"/>
          <w:sz w:val="24"/>
          <w:u w:val="single"/>
        </w:rPr>
        <w:tab/>
      </w:r>
      <w:r>
        <w:rPr>
          <w:rFonts w:hint="eastAsia" w:hAnsi="宋体"/>
          <w:sz w:val="24"/>
          <w:u w:val="single"/>
        </w:rPr>
        <w:t xml:space="preserve"> </w:t>
      </w:r>
      <w:r>
        <w:rPr>
          <w:rFonts w:hAnsi="宋体"/>
          <w:sz w:val="24"/>
          <w:u w:val="single"/>
        </w:rPr>
        <w:tab/>
      </w:r>
      <w:r>
        <w:rPr>
          <w:rFonts w:hint="eastAsia" w:hAnsi="宋体"/>
          <w:sz w:val="24"/>
          <w:u w:val="single"/>
        </w:rPr>
        <w:t xml:space="preserve"> </w:t>
      </w:r>
      <w:r>
        <w:rPr>
          <w:rFonts w:hAnsi="宋体"/>
          <w:sz w:val="24"/>
          <w:u w:val="single"/>
        </w:rPr>
        <w:tab/>
      </w:r>
      <w:r>
        <w:rPr>
          <w:rFonts w:hint="eastAsia" w:hAnsi="宋体"/>
          <w:sz w:val="24"/>
          <w:u w:val="single"/>
        </w:rPr>
        <w:t xml:space="preserve"> </w:t>
      </w:r>
      <w:r>
        <w:rPr>
          <w:rFonts w:hAnsi="宋体"/>
          <w:sz w:val="24"/>
          <w:u w:val="single"/>
        </w:rPr>
        <w:tab/>
      </w:r>
      <w:r>
        <w:rPr>
          <w:rFonts w:hint="eastAsia" w:hAnsi="宋体"/>
          <w:sz w:val="24"/>
          <w:u w:val="single"/>
        </w:rPr>
        <w:t xml:space="preserve"> </w:t>
      </w:r>
      <w:r>
        <w:rPr>
          <w:rFonts w:hAnsi="宋体"/>
          <w:sz w:val="24"/>
          <w:u w:val="single"/>
        </w:rPr>
        <w:tab/>
      </w:r>
      <w:r>
        <w:rPr>
          <w:rFonts w:hint="eastAsia" w:hAnsi="宋体"/>
          <w:sz w:val="24"/>
          <w:u w:val="single"/>
        </w:rPr>
        <w:t xml:space="preserve"> </w:t>
      </w:r>
    </w:p>
    <w:p>
      <w:pPr>
        <w:pStyle w:val="12"/>
        <w:tabs>
          <w:tab w:val="left" w:pos="5580"/>
        </w:tabs>
        <w:spacing w:line="560" w:lineRule="exact"/>
        <w:rPr>
          <w:rFonts w:hAnsi="宋体"/>
          <w:sz w:val="24"/>
        </w:rPr>
      </w:pPr>
      <w:r>
        <w:rPr>
          <w:rFonts w:hint="eastAsia" w:hAnsi="宋体"/>
          <w:sz w:val="24"/>
        </w:rPr>
        <w:t>法定代表人（</w:t>
      </w:r>
      <w:r>
        <w:rPr>
          <w:rFonts w:hint="eastAsia" w:hAnsi="宋体" w:cs="宋体"/>
          <w:sz w:val="24"/>
        </w:rPr>
        <w:t>非法人组织的负责人</w:t>
      </w:r>
      <w:r>
        <w:rPr>
          <w:rFonts w:hint="eastAsia" w:hAnsi="宋体"/>
          <w:sz w:val="24"/>
        </w:rPr>
        <w:t>）或其授权代表（签章）：</w:t>
      </w:r>
      <w:r>
        <w:rPr>
          <w:rFonts w:hAnsi="宋体"/>
          <w:sz w:val="24"/>
          <w:u w:val="single"/>
        </w:rPr>
        <w:tab/>
      </w:r>
      <w:r>
        <w:rPr>
          <w:rFonts w:hint="eastAsia" w:hAnsi="宋体"/>
          <w:sz w:val="24"/>
          <w:u w:val="single"/>
        </w:rPr>
        <w:t xml:space="preserve">    </w:t>
      </w:r>
    </w:p>
    <w:p>
      <w:pPr>
        <w:pStyle w:val="12"/>
        <w:tabs>
          <w:tab w:val="left" w:pos="5580"/>
        </w:tabs>
        <w:spacing w:line="560" w:lineRule="exact"/>
        <w:rPr>
          <w:rFonts w:hAnsi="宋体"/>
          <w:sz w:val="24"/>
        </w:rPr>
      </w:pPr>
      <w:r>
        <w:rPr>
          <w:rFonts w:hint="eastAsia" w:hAnsi="宋体"/>
          <w:sz w:val="24"/>
        </w:rPr>
        <w:t>日    期：      年   月   日</w:t>
      </w:r>
    </w:p>
    <w:p>
      <w:pPr>
        <w:tabs>
          <w:tab w:val="left" w:pos="567"/>
          <w:tab w:val="left" w:pos="1146"/>
          <w:tab w:val="left" w:pos="1719"/>
          <w:tab w:val="left" w:pos="2483"/>
        </w:tabs>
        <w:spacing w:before="120" w:line="560" w:lineRule="exact"/>
        <w:ind w:left="377" w:leftChars="46" w:hanging="280" w:hangingChars="117"/>
        <w:rPr>
          <w:rFonts w:ascii="宋体" w:hAnsi="宋体" w:cs="宋体"/>
          <w:sz w:val="24"/>
          <w:szCs w:val="21"/>
        </w:rPr>
      </w:pPr>
    </w:p>
    <w:p>
      <w:pPr>
        <w:tabs>
          <w:tab w:val="left" w:pos="567"/>
          <w:tab w:val="left" w:pos="1146"/>
          <w:tab w:val="left" w:pos="1719"/>
          <w:tab w:val="left" w:pos="2483"/>
        </w:tabs>
        <w:spacing w:before="120" w:line="560" w:lineRule="exact"/>
        <w:ind w:left="377" w:leftChars="46" w:hanging="280" w:hangingChars="117"/>
        <w:rPr>
          <w:rFonts w:ascii="宋体" w:hAnsi="宋体" w:cs="宋体"/>
          <w:sz w:val="24"/>
          <w:szCs w:val="21"/>
        </w:rPr>
      </w:pPr>
    </w:p>
    <w:p>
      <w:pPr>
        <w:spacing w:line="560" w:lineRule="exact"/>
        <w:rPr>
          <w:rFonts w:ascii="宋体" w:hAnsi="宋体" w:cs="宋体"/>
        </w:rPr>
      </w:pPr>
      <w:bookmarkStart w:id="376" w:name="_Toc46235130"/>
      <w:bookmarkStart w:id="377" w:name="_Toc45562505"/>
      <w:r>
        <w:rPr>
          <w:rFonts w:hint="eastAsia" w:ascii="宋体" w:hAnsi="宋体" w:cs="宋体"/>
        </w:rPr>
        <w:br w:type="page"/>
      </w:r>
    </w:p>
    <w:p>
      <w:pPr>
        <w:pStyle w:val="4"/>
        <w:spacing w:line="560" w:lineRule="exact"/>
        <w:ind w:left="774" w:hanging="774" w:hangingChars="257"/>
        <w:rPr>
          <w:rFonts w:ascii="宋体" w:hAnsi="宋体" w:eastAsia="宋体" w:cs="宋体"/>
          <w:sz w:val="24"/>
        </w:rPr>
      </w:pPr>
      <w:bookmarkStart w:id="378" w:name="_Toc14620"/>
      <w:bookmarkStart w:id="379" w:name="_Toc19400"/>
      <w:r>
        <w:rPr>
          <w:rFonts w:hint="eastAsia" w:ascii="宋体" w:hAnsi="宋体" w:eastAsia="宋体" w:cs="宋体"/>
        </w:rPr>
        <w:t>二、资格证明文件</w:t>
      </w:r>
      <w:bookmarkEnd w:id="376"/>
      <w:bookmarkEnd w:id="377"/>
      <w:bookmarkEnd w:id="378"/>
      <w:bookmarkEnd w:id="379"/>
    </w:p>
    <w:p>
      <w:pPr>
        <w:pStyle w:val="5"/>
        <w:spacing w:line="560" w:lineRule="exact"/>
        <w:rPr>
          <w:rFonts w:hAnsi="宋体" w:cs="宋体"/>
          <w:u w:val="none"/>
        </w:rPr>
      </w:pPr>
      <w:bookmarkStart w:id="380" w:name="_Toc518923109"/>
      <w:bookmarkStart w:id="381" w:name="_Toc12829"/>
      <w:bookmarkStart w:id="382" w:name="_Toc46235131"/>
      <w:bookmarkStart w:id="383" w:name="_Toc11789"/>
      <w:r>
        <w:rPr>
          <w:rFonts w:hint="eastAsia" w:hAnsi="宋体" w:cs="宋体"/>
          <w:u w:val="none"/>
        </w:rPr>
        <w:t>2.</w:t>
      </w:r>
      <w:bookmarkEnd w:id="380"/>
      <w:bookmarkEnd w:id="381"/>
      <w:bookmarkEnd w:id="382"/>
      <w:bookmarkEnd w:id="383"/>
      <w:r>
        <w:rPr>
          <w:rFonts w:hint="eastAsia" w:hAnsi="宋体" w:cs="宋体"/>
          <w:u w:val="none"/>
        </w:rPr>
        <w:t>各供应商须提供一下材料原件扫描件用于资格审查：</w:t>
      </w:r>
    </w:p>
    <w:p>
      <w:pPr>
        <w:tabs>
          <w:tab w:val="left" w:pos="5580"/>
        </w:tabs>
        <w:spacing w:line="560" w:lineRule="exact"/>
        <w:rPr>
          <w:rFonts w:ascii="宋体" w:hAnsi="宋体" w:cs="宋体"/>
          <w:b/>
          <w:sz w:val="24"/>
          <w:szCs w:val="20"/>
        </w:rPr>
      </w:pPr>
    </w:p>
    <w:p>
      <w:pPr>
        <w:spacing w:line="560" w:lineRule="exact"/>
        <w:rPr>
          <w:rFonts w:ascii="宋体" w:hAnsi="宋体" w:cs="宋体"/>
          <w:sz w:val="24"/>
        </w:rPr>
      </w:pPr>
      <w:r>
        <w:rPr>
          <w:rFonts w:hint="eastAsia" w:ascii="宋体" w:hAnsi="宋体" w:cs="宋体"/>
          <w:sz w:val="24"/>
        </w:rPr>
        <w:t>（1）加载有统一社会信用代码的《营业执照》或其他组织有效证件原件扫描件；</w:t>
      </w:r>
    </w:p>
    <w:p>
      <w:pPr>
        <w:spacing w:line="560" w:lineRule="exact"/>
        <w:rPr>
          <w:rFonts w:ascii="宋体" w:hAnsi="宋体" w:cs="宋体"/>
          <w:sz w:val="24"/>
        </w:rPr>
      </w:pPr>
      <w:r>
        <w:rPr>
          <w:rFonts w:hint="eastAsia" w:ascii="宋体" w:hAnsi="宋体" w:cs="宋体"/>
          <w:sz w:val="24"/>
        </w:rPr>
        <w:t>（2）法定代表人（非法人组织的负责人）身份证明书或法定代表人（非法人组织的负责人）授权书；</w:t>
      </w:r>
    </w:p>
    <w:p>
      <w:pPr>
        <w:spacing w:line="560" w:lineRule="exact"/>
        <w:rPr>
          <w:rFonts w:ascii="宋体" w:hAnsi="宋体" w:cs="宋体"/>
          <w:sz w:val="24"/>
        </w:rPr>
      </w:pPr>
      <w:r>
        <w:rPr>
          <w:rFonts w:hint="eastAsia" w:ascii="宋体" w:hAnsi="宋体" w:cs="宋体"/>
          <w:sz w:val="24"/>
        </w:rPr>
        <w:t>（3）法定代表人（非法人组织的负责人）或其授权代表的身份证扫描件；</w:t>
      </w:r>
    </w:p>
    <w:p>
      <w:pPr>
        <w:spacing w:line="560" w:lineRule="exact"/>
        <w:rPr>
          <w:rFonts w:ascii="宋体" w:hAnsi="宋体" w:cs="宋体"/>
          <w:sz w:val="24"/>
        </w:rPr>
      </w:pPr>
      <w:r>
        <w:rPr>
          <w:rFonts w:hint="eastAsia" w:ascii="宋体" w:hAnsi="宋体" w:cs="宋体"/>
          <w:sz w:val="24"/>
        </w:rPr>
        <w:t>（4）政府采购供应商信用承诺书；</w:t>
      </w:r>
    </w:p>
    <w:p>
      <w:pPr>
        <w:tabs>
          <w:tab w:val="left" w:pos="5580"/>
        </w:tabs>
        <w:spacing w:line="560" w:lineRule="exact"/>
        <w:ind w:left="1080" w:leftChars="257" w:hanging="540"/>
        <w:jc w:val="center"/>
        <w:rPr>
          <w:rFonts w:ascii="宋体" w:hAnsi="宋体" w:cs="宋体"/>
          <w:sz w:val="24"/>
          <w:szCs w:val="20"/>
        </w:rPr>
      </w:pPr>
      <w:r>
        <w:rPr>
          <w:rFonts w:hint="eastAsia" w:ascii="宋体" w:hAnsi="宋体" w:cs="宋体"/>
          <w:sz w:val="24"/>
          <w:szCs w:val="20"/>
        </w:rPr>
        <w:br w:type="page"/>
      </w:r>
    </w:p>
    <w:p>
      <w:pPr>
        <w:pStyle w:val="5"/>
        <w:spacing w:line="560" w:lineRule="exact"/>
        <w:rPr>
          <w:u w:val="none"/>
        </w:rPr>
      </w:pPr>
      <w:bookmarkStart w:id="384" w:name="_Toc16053"/>
      <w:bookmarkStart w:id="385" w:name="_Toc46235132"/>
      <w:bookmarkStart w:id="386" w:name="_Toc62193455"/>
      <w:bookmarkStart w:id="387" w:name="_Toc2583670"/>
      <w:bookmarkStart w:id="388" w:name="_Toc518923110"/>
      <w:r>
        <w:rPr>
          <w:rFonts w:hint="eastAsia"/>
          <w:u w:val="none"/>
        </w:rPr>
        <w:t>3.法定代表人</w:t>
      </w:r>
      <w:r>
        <w:rPr>
          <w:rFonts w:hint="eastAsia" w:hAnsi="宋体"/>
        </w:rPr>
        <w:t>（</w:t>
      </w:r>
      <w:r>
        <w:rPr>
          <w:rFonts w:hint="eastAsia" w:hAnsi="宋体" w:cs="宋体"/>
        </w:rPr>
        <w:t>非法人组织的负责人</w:t>
      </w:r>
      <w:r>
        <w:rPr>
          <w:rFonts w:hint="eastAsia" w:hAnsi="宋体"/>
        </w:rPr>
        <w:t>）</w:t>
      </w:r>
      <w:r>
        <w:rPr>
          <w:rFonts w:hint="eastAsia"/>
          <w:u w:val="none"/>
        </w:rPr>
        <w:t>身份证明书</w:t>
      </w:r>
      <w:bookmarkEnd w:id="384"/>
      <w:bookmarkEnd w:id="385"/>
      <w:bookmarkEnd w:id="386"/>
      <w:bookmarkEnd w:id="387"/>
    </w:p>
    <w:p>
      <w:pPr>
        <w:pStyle w:val="8"/>
        <w:spacing w:line="560" w:lineRule="exact"/>
      </w:pPr>
    </w:p>
    <w:p>
      <w:pPr>
        <w:pStyle w:val="8"/>
        <w:spacing w:line="560" w:lineRule="exact"/>
        <w:ind w:firstLine="0"/>
        <w:jc w:val="center"/>
        <w:rPr>
          <w:b/>
          <w:sz w:val="30"/>
          <w:szCs w:val="30"/>
        </w:rPr>
      </w:pPr>
      <w:bookmarkStart w:id="389" w:name="_Toc46235133"/>
      <w:r>
        <w:rPr>
          <w:rFonts w:hint="eastAsia"/>
          <w:b/>
          <w:sz w:val="30"/>
          <w:szCs w:val="30"/>
        </w:rPr>
        <w:t>法定代表人（非法人组织的负责人）身份证明书</w:t>
      </w:r>
    </w:p>
    <w:p>
      <w:pPr>
        <w:pStyle w:val="8"/>
        <w:spacing w:line="560" w:lineRule="exact"/>
        <w:ind w:firstLine="0"/>
        <w:jc w:val="center"/>
        <w:rPr>
          <w:bCs/>
          <w:szCs w:val="24"/>
        </w:rPr>
      </w:pPr>
      <w:r>
        <w:rPr>
          <w:rFonts w:hint="eastAsia"/>
          <w:bCs/>
          <w:szCs w:val="24"/>
        </w:rPr>
        <w:t>【注：自然人响应的无需提供】</w:t>
      </w:r>
    </w:p>
    <w:p>
      <w:pPr>
        <w:tabs>
          <w:tab w:val="left" w:pos="5580"/>
        </w:tabs>
        <w:spacing w:line="560" w:lineRule="exact"/>
        <w:ind w:left="1100" w:leftChars="-29" w:hanging="1161"/>
        <w:rPr>
          <w:rFonts w:ascii="宋体" w:hAnsi="宋体" w:cs="宋体"/>
          <w:sz w:val="24"/>
        </w:rPr>
      </w:pPr>
      <w:r>
        <w:rPr>
          <w:rFonts w:hint="eastAsia" w:ascii="宋体" w:hAnsi="宋体" w:cs="宋体"/>
          <w:sz w:val="24"/>
        </w:rPr>
        <w:t>致：</w:t>
      </w:r>
      <w:r>
        <w:rPr>
          <w:rFonts w:hint="eastAsia" w:ascii="宋体" w:hAnsi="宋体" w:cs="宋体"/>
          <w:sz w:val="24"/>
          <w:u w:val="single"/>
        </w:rPr>
        <w:t>（采购人单位名称） </w:t>
      </w:r>
    </w:p>
    <w:p>
      <w:pPr>
        <w:snapToGrid w:val="0"/>
        <w:spacing w:line="560" w:lineRule="exact"/>
        <w:ind w:firstLine="480" w:firstLineChars="200"/>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p>
    <w:p>
      <w:pPr>
        <w:snapToGrid w:val="0"/>
        <w:spacing w:line="560" w:lineRule="exact"/>
        <w:ind w:firstLine="480" w:firstLineChars="200"/>
        <w:rPr>
          <w:rFonts w:ascii="宋体" w:hAnsi="宋体" w:cs="宋体"/>
          <w:sz w:val="24"/>
        </w:rPr>
      </w:pPr>
      <w:r>
        <w:rPr>
          <w:rFonts w:hint="eastAsia" w:ascii="宋体" w:hAnsi="宋体" w:cs="宋体"/>
          <w:sz w:val="24"/>
        </w:rPr>
        <w:t>单位性质：</w:t>
      </w:r>
      <w:r>
        <w:rPr>
          <w:rFonts w:hint="eastAsia" w:ascii="宋体" w:hAnsi="宋体" w:cs="宋体"/>
          <w:sz w:val="24"/>
          <w:u w:val="single"/>
        </w:rPr>
        <w:t xml:space="preserve">                                  </w:t>
      </w:r>
      <w:r>
        <w:rPr>
          <w:rFonts w:hint="eastAsia" w:ascii="宋体" w:hAnsi="宋体" w:cs="宋体"/>
          <w:sz w:val="24"/>
        </w:rPr>
        <w:t xml:space="preserve"> </w:t>
      </w:r>
    </w:p>
    <w:p>
      <w:pPr>
        <w:snapToGrid w:val="0"/>
        <w:spacing w:line="560" w:lineRule="exact"/>
        <w:ind w:firstLine="480" w:firstLineChars="200"/>
        <w:rPr>
          <w:rFonts w:ascii="宋体" w:hAnsi="宋体" w:cs="宋体"/>
          <w:sz w:val="24"/>
        </w:rPr>
      </w:pPr>
      <w:r>
        <w:rPr>
          <w:rFonts w:hint="eastAsia" w:ascii="宋体" w:hAnsi="宋体" w:cs="宋体"/>
          <w:sz w:val="24"/>
        </w:rPr>
        <w:t>地址：</w:t>
      </w:r>
      <w:r>
        <w:rPr>
          <w:rFonts w:hint="eastAsia" w:ascii="宋体" w:hAnsi="宋体" w:cs="宋体"/>
          <w:sz w:val="24"/>
          <w:u w:val="single"/>
        </w:rPr>
        <w:t xml:space="preserve">                                      </w:t>
      </w:r>
      <w:r>
        <w:rPr>
          <w:rFonts w:hint="eastAsia" w:ascii="宋体" w:hAnsi="宋体" w:cs="宋体"/>
          <w:sz w:val="24"/>
        </w:rPr>
        <w:t xml:space="preserve"> </w:t>
      </w:r>
    </w:p>
    <w:p>
      <w:pPr>
        <w:snapToGrid w:val="0"/>
        <w:spacing w:line="560" w:lineRule="exact"/>
        <w:ind w:firstLine="480" w:firstLineChars="200"/>
        <w:rPr>
          <w:rFonts w:ascii="宋体" w:hAnsi="宋体" w:cs="宋体"/>
          <w:sz w:val="24"/>
        </w:rPr>
      </w:pPr>
      <w:r>
        <w:rPr>
          <w:rFonts w:hint="eastAsia" w:ascii="宋体" w:hAnsi="宋体" w:cs="宋体"/>
          <w:sz w:val="24"/>
        </w:rPr>
        <w:t>成立时间：</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pPr>
        <w:snapToGrid w:val="0"/>
        <w:spacing w:line="560" w:lineRule="exact"/>
        <w:ind w:firstLine="480" w:firstLineChars="200"/>
        <w:rPr>
          <w:rFonts w:ascii="宋体" w:hAnsi="宋体" w:cs="宋体"/>
          <w:sz w:val="24"/>
        </w:rPr>
      </w:pPr>
      <w:r>
        <w:rPr>
          <w:rFonts w:hint="eastAsia" w:ascii="宋体" w:hAnsi="宋体" w:cs="宋体"/>
          <w:sz w:val="24"/>
        </w:rPr>
        <w:t>姓名：</w:t>
      </w:r>
      <w:r>
        <w:rPr>
          <w:rFonts w:hint="eastAsia" w:ascii="宋体" w:hAnsi="宋体" w:cs="宋体"/>
          <w:sz w:val="24"/>
          <w:u w:val="single"/>
        </w:rPr>
        <w:t xml:space="preserve">        </w:t>
      </w:r>
      <w:r>
        <w:rPr>
          <w:rFonts w:hint="eastAsia" w:ascii="宋体" w:hAnsi="宋体" w:cs="宋体"/>
          <w:sz w:val="24"/>
        </w:rPr>
        <w:t>性别：</w:t>
      </w:r>
      <w:r>
        <w:rPr>
          <w:rFonts w:hint="eastAsia" w:ascii="宋体" w:hAnsi="宋体" w:cs="宋体"/>
          <w:sz w:val="24"/>
          <w:u w:val="single"/>
        </w:rPr>
        <w:t xml:space="preserve">        </w:t>
      </w:r>
      <w:r>
        <w:rPr>
          <w:rFonts w:hint="eastAsia" w:ascii="宋体" w:hAnsi="宋体" w:cs="宋体"/>
          <w:sz w:val="24"/>
        </w:rPr>
        <w:t>年龄：</w:t>
      </w:r>
      <w:r>
        <w:rPr>
          <w:rFonts w:hint="eastAsia" w:ascii="宋体" w:hAnsi="宋体" w:cs="宋体"/>
          <w:sz w:val="24"/>
          <w:u w:val="single"/>
        </w:rPr>
        <w:t xml:space="preserve">       </w:t>
      </w:r>
      <w:r>
        <w:rPr>
          <w:rFonts w:hint="eastAsia" w:ascii="宋体" w:hAnsi="宋体" w:cs="宋体"/>
          <w:sz w:val="24"/>
        </w:rPr>
        <w:t>职务：</w:t>
      </w:r>
      <w:r>
        <w:rPr>
          <w:rFonts w:hint="eastAsia" w:ascii="宋体" w:hAnsi="宋体" w:cs="宋体"/>
          <w:sz w:val="24"/>
          <w:u w:val="single"/>
        </w:rPr>
        <w:t>（董事长、总经理等）</w:t>
      </w:r>
    </w:p>
    <w:p>
      <w:pPr>
        <w:snapToGrid w:val="0"/>
        <w:spacing w:line="560" w:lineRule="exact"/>
        <w:ind w:firstLine="480" w:firstLineChars="200"/>
        <w:rPr>
          <w:rFonts w:ascii="宋体" w:hAnsi="宋体" w:cs="宋体"/>
          <w:sz w:val="24"/>
        </w:rPr>
      </w:pPr>
      <w:r>
        <w:rPr>
          <w:rFonts w:hint="eastAsia" w:ascii="宋体" w:hAnsi="宋体" w:cs="宋体"/>
          <w:sz w:val="24"/>
        </w:rPr>
        <w:t>系</w:t>
      </w:r>
      <w:r>
        <w:rPr>
          <w:rFonts w:hint="eastAsia" w:ascii="宋体" w:hAnsi="宋体" w:cs="宋体"/>
          <w:sz w:val="24"/>
          <w:u w:val="single"/>
        </w:rPr>
        <w:t xml:space="preserve">                         </w:t>
      </w:r>
      <w:r>
        <w:rPr>
          <w:rFonts w:hint="eastAsia" w:ascii="宋体" w:hAnsi="宋体" w:cs="宋体"/>
          <w:sz w:val="24"/>
        </w:rPr>
        <w:t>（供应商名称）的法定代表人</w:t>
      </w:r>
      <w:r>
        <w:rPr>
          <w:rFonts w:hint="eastAsia" w:ascii="宋体" w:hAnsi="宋体"/>
          <w:sz w:val="24"/>
        </w:rPr>
        <w:t>（</w:t>
      </w:r>
      <w:r>
        <w:rPr>
          <w:rFonts w:hint="eastAsia" w:ascii="宋体" w:hAnsi="宋体" w:cs="宋体"/>
          <w:sz w:val="24"/>
        </w:rPr>
        <w:t>非法人组织的负责人</w:t>
      </w:r>
      <w:r>
        <w:rPr>
          <w:rFonts w:hint="eastAsia" w:ascii="宋体" w:hAnsi="宋体"/>
          <w:sz w:val="24"/>
        </w:rPr>
        <w:t>）</w:t>
      </w:r>
      <w:r>
        <w:rPr>
          <w:rFonts w:hint="eastAsia" w:ascii="宋体" w:hAnsi="宋体" w:cs="宋体"/>
          <w:sz w:val="24"/>
        </w:rPr>
        <w:t>。</w:t>
      </w:r>
    </w:p>
    <w:p>
      <w:pPr>
        <w:snapToGrid w:val="0"/>
        <w:spacing w:line="560" w:lineRule="exact"/>
        <w:ind w:firstLine="480" w:firstLineChars="200"/>
        <w:rPr>
          <w:rFonts w:ascii="宋体" w:hAnsi="宋体" w:cs="宋体"/>
          <w:sz w:val="24"/>
        </w:rPr>
      </w:pPr>
      <w:r>
        <w:rPr>
          <w:rFonts w:hint="eastAsia" w:ascii="宋体" w:hAnsi="宋体" w:cs="宋体"/>
          <w:sz w:val="24"/>
        </w:rPr>
        <w:t>特此证明。</w:t>
      </w:r>
    </w:p>
    <w:p>
      <w:pPr>
        <w:snapToGrid w:val="0"/>
        <w:spacing w:line="560" w:lineRule="exact"/>
        <w:ind w:firstLine="480" w:firstLineChars="200"/>
        <w:rPr>
          <w:rFonts w:ascii="宋体" w:hAnsi="宋体" w:cs="宋体"/>
          <w:sz w:val="24"/>
        </w:rPr>
      </w:pPr>
      <w:r>
        <w:rPr>
          <w:rFonts w:hint="eastAsia" w:ascii="宋体" w:hAnsi="宋体" w:cs="宋体"/>
          <w:sz w:val="24"/>
        </w:rPr>
        <w:t>附：法定代表人</w:t>
      </w:r>
      <w:r>
        <w:rPr>
          <w:rFonts w:hint="eastAsia" w:ascii="宋体" w:hAnsi="宋体"/>
          <w:sz w:val="24"/>
        </w:rPr>
        <w:t>（</w:t>
      </w:r>
      <w:r>
        <w:rPr>
          <w:rFonts w:hint="eastAsia" w:ascii="宋体" w:hAnsi="宋体" w:cs="宋体"/>
          <w:sz w:val="24"/>
        </w:rPr>
        <w:t>非法人组织的负责人</w:t>
      </w:r>
      <w:r>
        <w:rPr>
          <w:rFonts w:hint="eastAsia" w:ascii="宋体" w:hAnsi="宋体"/>
          <w:sz w:val="24"/>
        </w:rPr>
        <w:t>）</w:t>
      </w:r>
      <w:r>
        <w:rPr>
          <w:rFonts w:hint="eastAsia" w:ascii="宋体" w:hAnsi="宋体" w:cs="宋体"/>
          <w:sz w:val="24"/>
        </w:rPr>
        <w:t>身份证扫描件</w:t>
      </w:r>
    </w:p>
    <w:tbl>
      <w:tblPr>
        <w:tblStyle w:val="23"/>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9" w:hRule="atLeast"/>
          <w:jc w:val="center"/>
        </w:trPr>
        <w:tc>
          <w:tcPr>
            <w:tcW w:w="8787" w:type="dxa"/>
            <w:vAlign w:val="center"/>
          </w:tcPr>
          <w:p>
            <w:pPr>
              <w:pStyle w:val="21"/>
              <w:spacing w:line="560" w:lineRule="exact"/>
              <w:jc w:val="center"/>
              <w:rPr>
                <w:rFonts w:cs="宋体"/>
                <w:b/>
                <w:sz w:val="24"/>
              </w:rPr>
            </w:pPr>
            <w:r>
              <w:rPr>
                <w:rFonts w:hint="eastAsia" w:cs="宋体"/>
                <w:b/>
                <w:sz w:val="24"/>
              </w:rPr>
              <w:t>法定代表人（非法人组织的负责人）身份证扫描件</w:t>
            </w:r>
          </w:p>
          <w:p>
            <w:pPr>
              <w:pStyle w:val="21"/>
              <w:spacing w:line="560" w:lineRule="exact"/>
              <w:jc w:val="center"/>
              <w:rPr>
                <w:rFonts w:cs="宋体"/>
                <w:b/>
                <w:sz w:val="24"/>
              </w:rPr>
            </w:pPr>
            <w:r>
              <w:rPr>
                <w:rFonts w:hint="eastAsia" w:cs="宋体"/>
                <w:b/>
                <w:sz w:val="24"/>
              </w:rPr>
              <w:t>（正面、背面）</w:t>
            </w:r>
          </w:p>
        </w:tc>
      </w:tr>
    </w:tbl>
    <w:p>
      <w:pPr>
        <w:spacing w:line="560" w:lineRule="exact"/>
        <w:ind w:firstLine="2880" w:firstLineChars="1200"/>
        <w:rPr>
          <w:rFonts w:ascii="宋体" w:hAnsi="宋体" w:cs="宋体"/>
          <w:sz w:val="24"/>
        </w:rPr>
      </w:pPr>
      <w:r>
        <w:rPr>
          <w:rFonts w:hint="eastAsia" w:ascii="宋体" w:hAnsi="宋体" w:cs="宋体"/>
          <w:sz w:val="24"/>
        </w:rPr>
        <w:t>供应商：</w:t>
      </w:r>
      <w:r>
        <w:rPr>
          <w:rFonts w:hint="eastAsia" w:ascii="宋体" w:hAnsi="宋体" w:cs="宋体"/>
          <w:sz w:val="24"/>
          <w:u w:val="single"/>
        </w:rPr>
        <w:t xml:space="preserve">                  （公章） </w:t>
      </w:r>
    </w:p>
    <w:p>
      <w:pPr>
        <w:spacing w:line="560" w:lineRule="exact"/>
        <w:ind w:firstLine="2880" w:firstLineChars="1200"/>
        <w:rPr>
          <w:rFonts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pPr>
        <w:spacing w:line="560" w:lineRule="exact"/>
        <w:ind w:firstLine="2880" w:firstLineChars="1200"/>
        <w:rPr>
          <w:rFonts w:ascii="宋体" w:hAnsi="宋体" w:cs="宋体"/>
          <w:sz w:val="24"/>
        </w:rPr>
      </w:pPr>
    </w:p>
    <w:p>
      <w:pPr>
        <w:spacing w:line="560" w:lineRule="exact"/>
        <w:ind w:firstLine="2880" w:firstLineChars="1200"/>
        <w:rPr>
          <w:rFonts w:ascii="宋体" w:hAnsi="宋体" w:cs="宋体"/>
          <w:sz w:val="24"/>
        </w:rPr>
      </w:pPr>
    </w:p>
    <w:bookmarkEnd w:id="388"/>
    <w:bookmarkEnd w:id="389"/>
    <w:p>
      <w:pPr>
        <w:pStyle w:val="5"/>
        <w:spacing w:line="560" w:lineRule="exact"/>
        <w:rPr>
          <w:u w:val="none"/>
        </w:rPr>
      </w:pPr>
      <w:bookmarkStart w:id="390" w:name="_Toc22665"/>
      <w:bookmarkStart w:id="391" w:name="_Toc51257744"/>
      <w:r>
        <w:rPr>
          <w:rFonts w:hint="eastAsia"/>
          <w:u w:val="none"/>
        </w:rPr>
        <w:t>4.法定代表人（非法人组织的负责人）授权书（参考，推荐供应商使用此格式）</w:t>
      </w:r>
      <w:bookmarkEnd w:id="390"/>
      <w:bookmarkEnd w:id="391"/>
    </w:p>
    <w:p>
      <w:pPr>
        <w:pStyle w:val="8"/>
        <w:spacing w:line="560" w:lineRule="exact"/>
        <w:ind w:firstLine="0"/>
        <w:jc w:val="center"/>
        <w:rPr>
          <w:rFonts w:hAnsi="宋体" w:cs="宋体"/>
          <w:b/>
          <w:sz w:val="30"/>
          <w:szCs w:val="30"/>
        </w:rPr>
      </w:pPr>
      <w:r>
        <w:rPr>
          <w:rFonts w:hint="eastAsia" w:hAnsi="宋体" w:cs="宋体"/>
          <w:b/>
          <w:sz w:val="30"/>
          <w:szCs w:val="30"/>
        </w:rPr>
        <w:t>法定代表人（非法人组织的负责人）授权书</w:t>
      </w:r>
    </w:p>
    <w:p>
      <w:pPr>
        <w:pStyle w:val="8"/>
        <w:spacing w:line="560" w:lineRule="exact"/>
        <w:ind w:firstLine="0"/>
        <w:jc w:val="center"/>
        <w:rPr>
          <w:rFonts w:hAnsi="宋体" w:cs="宋体"/>
          <w:bCs/>
          <w:szCs w:val="24"/>
        </w:rPr>
      </w:pPr>
      <w:r>
        <w:rPr>
          <w:rFonts w:hint="eastAsia" w:hAnsi="宋体" w:cs="宋体"/>
          <w:bCs/>
          <w:szCs w:val="24"/>
        </w:rPr>
        <w:t>【注：自然人响应的无需提供】</w:t>
      </w:r>
    </w:p>
    <w:p>
      <w:pPr>
        <w:pStyle w:val="21"/>
        <w:spacing w:line="560" w:lineRule="exact"/>
        <w:rPr>
          <w:rFonts w:cs="宋体"/>
          <w:sz w:val="24"/>
        </w:rPr>
      </w:pPr>
      <w:r>
        <w:rPr>
          <w:rFonts w:hint="eastAsia" w:cs="宋体"/>
          <w:sz w:val="24"/>
          <w:u w:val="single"/>
        </w:rPr>
        <w:t> （采购人单位名称） </w:t>
      </w:r>
      <w:r>
        <w:rPr>
          <w:rFonts w:hint="eastAsia" w:cs="宋体"/>
          <w:sz w:val="24"/>
        </w:rPr>
        <w:t>：</w:t>
      </w:r>
    </w:p>
    <w:p>
      <w:pPr>
        <w:tabs>
          <w:tab w:val="left" w:pos="5580"/>
        </w:tabs>
        <w:spacing w:line="560" w:lineRule="exact"/>
        <w:ind w:firstLine="480"/>
        <w:rPr>
          <w:rFonts w:ascii="宋体" w:hAnsi="宋体" w:cs="宋体"/>
          <w:sz w:val="24"/>
        </w:rPr>
      </w:pPr>
      <w:r>
        <w:rPr>
          <w:rFonts w:hint="eastAsia" w:ascii="宋体" w:hAnsi="宋体" w:cs="宋体"/>
          <w:sz w:val="24"/>
          <w:szCs w:val="20"/>
        </w:rPr>
        <w:t>本授权书声明：注册于</w:t>
      </w:r>
      <w:r>
        <w:rPr>
          <w:rFonts w:hint="eastAsia" w:ascii="宋体" w:hAnsi="宋体" w:cs="宋体"/>
          <w:sz w:val="24"/>
          <w:szCs w:val="20"/>
          <w:u w:val="single"/>
        </w:rPr>
        <w:t>（国家或地区的名称）</w:t>
      </w:r>
      <w:r>
        <w:rPr>
          <w:rFonts w:hint="eastAsia" w:ascii="宋体" w:hAnsi="宋体" w:cs="宋体"/>
          <w:sz w:val="24"/>
          <w:szCs w:val="20"/>
        </w:rPr>
        <w:t>的（</w:t>
      </w:r>
      <w:r>
        <w:rPr>
          <w:rFonts w:hint="eastAsia" w:ascii="宋体" w:hAnsi="宋体" w:cs="宋体"/>
          <w:i/>
          <w:sz w:val="24"/>
          <w:szCs w:val="20"/>
          <w:u w:val="single"/>
        </w:rPr>
        <w:t>供应商名称</w:t>
      </w:r>
      <w:r>
        <w:rPr>
          <w:rFonts w:hint="eastAsia" w:ascii="宋体" w:hAnsi="宋体" w:cs="宋体"/>
          <w:sz w:val="24"/>
          <w:szCs w:val="20"/>
        </w:rPr>
        <w:t>）的在下面签字的（</w:t>
      </w:r>
      <w:r>
        <w:rPr>
          <w:rFonts w:hint="eastAsia" w:ascii="宋体" w:hAnsi="宋体" w:cs="宋体"/>
          <w:i/>
          <w:sz w:val="24"/>
          <w:szCs w:val="20"/>
          <w:u w:val="single"/>
        </w:rPr>
        <w:t>法定代表人（非法人组织的负责人）姓名、职务</w:t>
      </w:r>
      <w:r>
        <w:rPr>
          <w:rFonts w:hint="eastAsia" w:ascii="宋体" w:hAnsi="宋体" w:cs="宋体"/>
          <w:sz w:val="24"/>
          <w:szCs w:val="20"/>
        </w:rPr>
        <w:t>）代表我单位授权（</w:t>
      </w:r>
      <w:r>
        <w:rPr>
          <w:rFonts w:hint="eastAsia" w:ascii="宋体" w:hAnsi="宋体" w:cs="宋体"/>
          <w:i/>
          <w:sz w:val="24"/>
          <w:szCs w:val="20"/>
          <w:u w:val="single"/>
        </w:rPr>
        <w:t>供应商名称</w:t>
      </w:r>
      <w:r>
        <w:rPr>
          <w:rFonts w:hint="eastAsia" w:ascii="宋体" w:hAnsi="宋体" w:cs="宋体"/>
          <w:sz w:val="24"/>
          <w:szCs w:val="20"/>
        </w:rPr>
        <w:t>）的在下面签字的（</w:t>
      </w:r>
      <w:r>
        <w:rPr>
          <w:rFonts w:hint="eastAsia" w:ascii="宋体" w:hAnsi="宋体" w:cs="宋体"/>
          <w:i/>
          <w:sz w:val="24"/>
          <w:szCs w:val="20"/>
          <w:u w:val="single"/>
        </w:rPr>
        <w:t>被授权人的姓名、职务</w:t>
      </w:r>
      <w:r>
        <w:rPr>
          <w:rFonts w:hint="eastAsia" w:ascii="宋体" w:hAnsi="宋体" w:cs="宋体"/>
          <w:sz w:val="24"/>
          <w:szCs w:val="20"/>
        </w:rPr>
        <w:t>）为我单位的合法代理人，就（</w:t>
      </w:r>
      <w:r>
        <w:rPr>
          <w:rFonts w:hint="eastAsia" w:ascii="宋体" w:hAnsi="宋体" w:cs="宋体"/>
          <w:i/>
          <w:sz w:val="24"/>
          <w:szCs w:val="20"/>
          <w:u w:val="single"/>
        </w:rPr>
        <w:t>项目名称、项目编号</w:t>
      </w:r>
      <w:r>
        <w:rPr>
          <w:rFonts w:hint="eastAsia" w:ascii="宋体" w:hAnsi="宋体" w:cs="宋体"/>
          <w:sz w:val="24"/>
          <w:szCs w:val="20"/>
        </w:rPr>
        <w:t>）的（</w:t>
      </w:r>
      <w:r>
        <w:rPr>
          <w:rFonts w:hint="eastAsia" w:ascii="宋体" w:hAnsi="宋体" w:cs="宋体"/>
          <w:i/>
          <w:sz w:val="24"/>
          <w:szCs w:val="20"/>
          <w:u w:val="single"/>
        </w:rPr>
        <w:t>合同名称/(项目名称、标段**)</w:t>
      </w:r>
      <w:r>
        <w:rPr>
          <w:rFonts w:hint="eastAsia" w:ascii="宋体" w:hAnsi="宋体" w:cs="宋体"/>
          <w:sz w:val="24"/>
          <w:szCs w:val="20"/>
        </w:rPr>
        <w:t>）响应，以我单位名义处理一切与之有关的事务。</w:t>
      </w:r>
      <w:r>
        <w:rPr>
          <w:rFonts w:hint="eastAsia" w:ascii="宋体" w:hAnsi="宋体" w:cs="宋体"/>
          <w:sz w:val="24"/>
          <w:szCs w:val="20"/>
        </w:rPr>
        <w:cr/>
      </w:r>
      <w:r>
        <w:rPr>
          <w:rFonts w:hint="eastAsia" w:ascii="宋体" w:hAnsi="宋体" w:cs="宋体"/>
          <w:sz w:val="24"/>
          <w:szCs w:val="20"/>
        </w:rPr>
        <w:t>　　</w:t>
      </w:r>
      <w:r>
        <w:rPr>
          <w:rFonts w:hint="eastAsia" w:ascii="宋体" w:hAnsi="宋体"/>
          <w:sz w:val="24"/>
          <w:szCs w:val="20"/>
        </w:rPr>
        <w:t>本授权书于</w:t>
      </w:r>
      <w:r>
        <w:rPr>
          <w:rFonts w:hint="eastAsia" w:ascii="宋体" w:hAnsi="宋体"/>
          <w:sz w:val="24"/>
          <w:szCs w:val="20"/>
          <w:u w:val="single"/>
        </w:rPr>
        <w:t xml:space="preserve">           </w:t>
      </w:r>
      <w:r>
        <w:rPr>
          <w:rFonts w:hint="eastAsia" w:ascii="宋体" w:hAnsi="宋体"/>
          <w:sz w:val="24"/>
          <w:szCs w:val="20"/>
        </w:rPr>
        <w:t>年</w:t>
      </w:r>
      <w:r>
        <w:rPr>
          <w:rFonts w:hint="eastAsia" w:ascii="宋体" w:hAnsi="宋体"/>
          <w:sz w:val="24"/>
          <w:szCs w:val="20"/>
          <w:u w:val="single"/>
        </w:rPr>
        <w:t xml:space="preserve">     </w:t>
      </w:r>
      <w:r>
        <w:rPr>
          <w:rFonts w:hint="eastAsia" w:ascii="宋体" w:hAnsi="宋体"/>
          <w:sz w:val="24"/>
          <w:szCs w:val="20"/>
        </w:rPr>
        <w:t>月</w:t>
      </w:r>
      <w:r>
        <w:rPr>
          <w:rFonts w:hint="eastAsia" w:ascii="宋体" w:hAnsi="宋体"/>
          <w:sz w:val="24"/>
          <w:szCs w:val="20"/>
          <w:u w:val="single"/>
        </w:rPr>
        <w:t xml:space="preserve">     </w:t>
      </w:r>
      <w:r>
        <w:rPr>
          <w:rFonts w:hint="eastAsia" w:ascii="宋体" w:hAnsi="宋体"/>
          <w:sz w:val="24"/>
          <w:szCs w:val="20"/>
        </w:rPr>
        <w:t>日签字生效,特此声明。</w:t>
      </w:r>
    </w:p>
    <w:tbl>
      <w:tblPr>
        <w:tblStyle w:val="23"/>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4" w:hRule="atLeast"/>
          <w:jc w:val="center"/>
        </w:trPr>
        <w:tc>
          <w:tcPr>
            <w:tcW w:w="8787" w:type="dxa"/>
            <w:vAlign w:val="center"/>
          </w:tcPr>
          <w:p>
            <w:pPr>
              <w:pStyle w:val="21"/>
              <w:spacing w:line="560" w:lineRule="exact"/>
              <w:jc w:val="center"/>
              <w:rPr>
                <w:rFonts w:cs="宋体"/>
                <w:b/>
                <w:sz w:val="24"/>
              </w:rPr>
            </w:pPr>
            <w:r>
              <w:rPr>
                <w:rFonts w:hint="eastAsia" w:cs="宋体"/>
                <w:b/>
                <w:sz w:val="24"/>
              </w:rPr>
              <w:t>被授权代表人身份证扫描件或复印件，可另外单页提供</w:t>
            </w:r>
          </w:p>
          <w:p>
            <w:pPr>
              <w:pStyle w:val="21"/>
              <w:spacing w:line="560" w:lineRule="exact"/>
              <w:jc w:val="center"/>
              <w:rPr>
                <w:rFonts w:cs="宋体"/>
                <w:b/>
                <w:sz w:val="24"/>
              </w:rPr>
            </w:pPr>
            <w:r>
              <w:rPr>
                <w:rFonts w:hint="eastAsia" w:cs="宋体"/>
                <w:b/>
                <w:sz w:val="24"/>
              </w:rPr>
              <w:t>（正面、背面）</w:t>
            </w:r>
          </w:p>
        </w:tc>
      </w:tr>
    </w:tbl>
    <w:p>
      <w:pPr>
        <w:pStyle w:val="21"/>
        <w:spacing w:line="560" w:lineRule="exact"/>
        <w:rPr>
          <w:rFonts w:ascii="宋体" w:hAnsi="宋体"/>
          <w:sz w:val="24"/>
          <w:szCs w:val="20"/>
          <w:u w:val="single"/>
        </w:rPr>
      </w:pPr>
      <w:r>
        <w:rPr>
          <w:rFonts w:hint="eastAsia" w:cs="宋体"/>
          <w:sz w:val="24"/>
        </w:rPr>
        <w:t>附：</w:t>
      </w:r>
      <w:r>
        <w:rPr>
          <w:rFonts w:hint="eastAsia" w:ascii="宋体" w:hAnsi="宋体"/>
          <w:sz w:val="24"/>
          <w:szCs w:val="20"/>
        </w:rPr>
        <w:t>供应商（公章</w:t>
      </w:r>
      <w:r>
        <w:rPr>
          <w:rFonts w:ascii="宋体" w:hAnsi="宋体"/>
          <w:sz w:val="24"/>
          <w:szCs w:val="20"/>
        </w:rPr>
        <w:t>）：</w:t>
      </w:r>
      <w:r>
        <w:rPr>
          <w:rFonts w:ascii="宋体" w:hAnsi="宋体"/>
          <w:sz w:val="24"/>
          <w:szCs w:val="20"/>
          <w:u w:val="single"/>
        </w:rPr>
        <w:t xml:space="preserve">                                        </w:t>
      </w:r>
    </w:p>
    <w:p>
      <w:pPr>
        <w:tabs>
          <w:tab w:val="left" w:pos="5580"/>
        </w:tabs>
        <w:spacing w:line="560" w:lineRule="exact"/>
        <w:ind w:left="-540" w:leftChars="-257" w:firstLine="900" w:firstLineChars="375"/>
        <w:rPr>
          <w:rFonts w:ascii="宋体" w:hAnsi="宋体"/>
          <w:sz w:val="24"/>
          <w:szCs w:val="20"/>
          <w:u w:val="single"/>
        </w:rPr>
      </w:pPr>
      <w:r>
        <w:rPr>
          <w:rFonts w:hint="eastAsia" w:ascii="宋体" w:hAnsi="宋体"/>
          <w:sz w:val="24"/>
          <w:szCs w:val="20"/>
        </w:rPr>
        <w:t>法定代表人</w:t>
      </w:r>
      <w:r>
        <w:rPr>
          <w:rFonts w:hint="eastAsia" w:ascii="宋体" w:hAnsi="宋体"/>
          <w:sz w:val="24"/>
        </w:rPr>
        <w:t>（</w:t>
      </w:r>
      <w:r>
        <w:rPr>
          <w:rFonts w:hint="eastAsia" w:ascii="宋体" w:hAnsi="宋体" w:cs="宋体"/>
          <w:sz w:val="24"/>
        </w:rPr>
        <w:t>非法人组织的负责人</w:t>
      </w:r>
      <w:r>
        <w:rPr>
          <w:rFonts w:hint="eastAsia" w:ascii="宋体" w:hAnsi="宋体"/>
          <w:sz w:val="24"/>
        </w:rPr>
        <w:t>）</w:t>
      </w:r>
      <w:r>
        <w:rPr>
          <w:rFonts w:hint="eastAsia" w:ascii="宋体" w:hAnsi="宋体"/>
          <w:sz w:val="24"/>
          <w:szCs w:val="20"/>
        </w:rPr>
        <w:t>(签章)</w:t>
      </w:r>
      <w:r>
        <w:rPr>
          <w:rFonts w:ascii="宋体" w:hAnsi="宋体"/>
          <w:sz w:val="24"/>
          <w:szCs w:val="20"/>
        </w:rPr>
        <w:t>：</w:t>
      </w:r>
      <w:r>
        <w:rPr>
          <w:rFonts w:hint="eastAsia" w:ascii="宋体" w:hAnsi="宋体"/>
          <w:sz w:val="24"/>
          <w:szCs w:val="20"/>
          <w:u w:val="single"/>
        </w:rPr>
        <w:t xml:space="preserve">                      </w:t>
      </w:r>
      <w:r>
        <w:rPr>
          <w:rFonts w:ascii="宋体" w:hAnsi="宋体"/>
          <w:sz w:val="24"/>
          <w:szCs w:val="20"/>
          <w:u w:val="single"/>
        </w:rPr>
        <w:t xml:space="preserve">            </w:t>
      </w:r>
      <w:r>
        <w:rPr>
          <w:rFonts w:hint="eastAsia" w:ascii="宋体" w:hAnsi="宋体"/>
          <w:sz w:val="24"/>
          <w:szCs w:val="20"/>
          <w:u w:val="single"/>
        </w:rPr>
        <w:t xml:space="preserve">  </w:t>
      </w:r>
    </w:p>
    <w:p>
      <w:pPr>
        <w:tabs>
          <w:tab w:val="left" w:pos="5580"/>
        </w:tabs>
        <w:spacing w:line="560" w:lineRule="exact"/>
        <w:ind w:left="-540" w:leftChars="-257" w:firstLine="900" w:firstLineChars="375"/>
        <w:rPr>
          <w:rFonts w:ascii="宋体" w:hAnsi="宋体"/>
          <w:sz w:val="24"/>
          <w:szCs w:val="20"/>
          <w:u w:val="single"/>
        </w:rPr>
      </w:pPr>
      <w:r>
        <w:rPr>
          <w:rFonts w:ascii="宋体" w:hAnsi="宋体"/>
          <w:sz w:val="24"/>
          <w:szCs w:val="20"/>
        </w:rPr>
        <w:t>法定代表人</w:t>
      </w:r>
      <w:r>
        <w:rPr>
          <w:rFonts w:hint="eastAsia" w:ascii="宋体" w:hAnsi="宋体"/>
          <w:sz w:val="24"/>
        </w:rPr>
        <w:t>（</w:t>
      </w:r>
      <w:r>
        <w:rPr>
          <w:rFonts w:hint="eastAsia" w:ascii="宋体" w:hAnsi="宋体" w:cs="宋体"/>
          <w:sz w:val="24"/>
        </w:rPr>
        <w:t>非法人组织的负责人</w:t>
      </w:r>
      <w:r>
        <w:rPr>
          <w:rFonts w:hint="eastAsia" w:ascii="宋体" w:hAnsi="宋体"/>
          <w:sz w:val="24"/>
        </w:rPr>
        <w:t>）</w:t>
      </w:r>
      <w:r>
        <w:rPr>
          <w:rFonts w:hint="eastAsia" w:ascii="宋体" w:hAnsi="宋体"/>
          <w:sz w:val="24"/>
          <w:szCs w:val="20"/>
        </w:rPr>
        <w:t>身份证</w:t>
      </w:r>
      <w:r>
        <w:rPr>
          <w:rFonts w:ascii="宋体" w:hAnsi="宋体"/>
          <w:sz w:val="24"/>
          <w:szCs w:val="20"/>
        </w:rPr>
        <w:t>号码</w:t>
      </w:r>
      <w:r>
        <w:rPr>
          <w:rFonts w:hint="eastAsia" w:ascii="宋体" w:hAnsi="宋体"/>
          <w:sz w:val="24"/>
          <w:szCs w:val="20"/>
        </w:rPr>
        <w:t>：</w:t>
      </w:r>
      <w:r>
        <w:rPr>
          <w:rFonts w:hint="eastAsia" w:ascii="宋体" w:hAnsi="宋体"/>
          <w:sz w:val="24"/>
          <w:szCs w:val="20"/>
          <w:u w:val="single"/>
        </w:rPr>
        <w:t xml:space="preserve">  </w:t>
      </w:r>
      <w:r>
        <w:rPr>
          <w:rFonts w:ascii="宋体" w:hAnsi="宋体"/>
          <w:sz w:val="24"/>
          <w:szCs w:val="20"/>
          <w:u w:val="single"/>
        </w:rPr>
        <w:t xml:space="preserve">                                  </w:t>
      </w:r>
    </w:p>
    <w:p>
      <w:pPr>
        <w:pStyle w:val="12"/>
        <w:tabs>
          <w:tab w:val="left" w:pos="5580"/>
        </w:tabs>
        <w:spacing w:line="560" w:lineRule="exact"/>
        <w:ind w:firstLine="360" w:firstLineChars="150"/>
        <w:rPr>
          <w:rFonts w:hAnsi="宋体"/>
          <w:sz w:val="24"/>
        </w:rPr>
      </w:pPr>
      <w:r>
        <w:rPr>
          <w:rFonts w:hint="eastAsia" w:hAnsi="宋体"/>
          <w:sz w:val="24"/>
        </w:rPr>
        <w:t>授权代表：</w:t>
      </w:r>
      <w:r>
        <w:rPr>
          <w:rFonts w:hint="eastAsia" w:hAnsi="宋体"/>
          <w:sz w:val="24"/>
          <w:u w:val="single"/>
        </w:rPr>
        <w:t xml:space="preserve"> （姓名）                      </w:t>
      </w:r>
      <w:r>
        <w:rPr>
          <w:rFonts w:hint="eastAsia" w:hAnsi="宋体"/>
          <w:sz w:val="24"/>
        </w:rPr>
        <w:t xml:space="preserve"> </w:t>
      </w:r>
    </w:p>
    <w:p>
      <w:pPr>
        <w:pStyle w:val="12"/>
        <w:tabs>
          <w:tab w:val="left" w:pos="5580"/>
        </w:tabs>
        <w:spacing w:line="560" w:lineRule="exact"/>
        <w:ind w:firstLine="360" w:firstLineChars="150"/>
        <w:rPr>
          <w:rFonts w:hAnsi="宋体"/>
          <w:sz w:val="24"/>
          <w:u w:val="single"/>
        </w:rPr>
      </w:pPr>
      <w:r>
        <w:rPr>
          <w:rFonts w:hint="eastAsia" w:hAnsi="宋体"/>
          <w:sz w:val="24"/>
        </w:rPr>
        <w:t>授权代表身份证</w:t>
      </w:r>
      <w:r>
        <w:rPr>
          <w:rFonts w:hAnsi="宋体"/>
          <w:sz w:val="24"/>
        </w:rPr>
        <w:t>号码</w:t>
      </w:r>
      <w:r>
        <w:rPr>
          <w:rFonts w:hint="eastAsia" w:hAnsi="宋体"/>
          <w:sz w:val="24"/>
        </w:rPr>
        <w:t>：</w:t>
      </w:r>
      <w:r>
        <w:rPr>
          <w:rFonts w:hint="eastAsia" w:hAnsi="宋体"/>
          <w:sz w:val="24"/>
          <w:u w:val="single"/>
        </w:rPr>
        <w:t xml:space="preserve">                                    </w:t>
      </w:r>
      <w:r>
        <w:rPr>
          <w:rFonts w:hint="eastAsia" w:hAnsi="宋体"/>
          <w:sz w:val="24"/>
        </w:rPr>
        <w:t xml:space="preserve">               </w:t>
      </w:r>
    </w:p>
    <w:p>
      <w:pPr>
        <w:pStyle w:val="12"/>
        <w:tabs>
          <w:tab w:val="left" w:pos="5580"/>
        </w:tabs>
        <w:spacing w:line="560" w:lineRule="exact"/>
        <w:ind w:firstLine="360" w:firstLineChars="150"/>
        <w:rPr>
          <w:rFonts w:hAnsi="宋体"/>
          <w:sz w:val="24"/>
        </w:rPr>
      </w:pPr>
      <w:r>
        <w:rPr>
          <w:rFonts w:hint="eastAsia" w:hAnsi="宋体"/>
          <w:sz w:val="24"/>
        </w:rPr>
        <w:t>详细通讯地址：</w:t>
      </w:r>
      <w:r>
        <w:rPr>
          <w:rFonts w:hint="eastAsia" w:hAnsi="宋体"/>
          <w:sz w:val="24"/>
          <w:u w:val="single"/>
        </w:rPr>
        <w:t xml:space="preserve">                                </w:t>
      </w:r>
    </w:p>
    <w:p>
      <w:pPr>
        <w:pStyle w:val="12"/>
        <w:tabs>
          <w:tab w:val="left" w:pos="5580"/>
        </w:tabs>
        <w:spacing w:line="560" w:lineRule="exact"/>
        <w:ind w:firstLine="360" w:firstLineChars="150"/>
        <w:rPr>
          <w:rFonts w:hAnsi="宋体"/>
          <w:sz w:val="24"/>
        </w:rPr>
      </w:pPr>
      <w:r>
        <w:rPr>
          <w:rFonts w:hint="eastAsia" w:hAnsi="宋体"/>
          <w:sz w:val="24"/>
        </w:rPr>
        <w:t>邮 政 编 码 ：</w:t>
      </w:r>
      <w:r>
        <w:rPr>
          <w:rFonts w:hint="eastAsia" w:hAnsi="宋体"/>
          <w:sz w:val="24"/>
          <w:u w:val="single"/>
        </w:rPr>
        <w:t xml:space="preserve">                                </w:t>
      </w:r>
    </w:p>
    <w:p>
      <w:pPr>
        <w:pStyle w:val="12"/>
        <w:tabs>
          <w:tab w:val="left" w:pos="5580"/>
        </w:tabs>
        <w:spacing w:line="560" w:lineRule="exact"/>
        <w:ind w:firstLine="360" w:firstLineChars="150"/>
        <w:rPr>
          <w:rFonts w:hAnsi="宋体"/>
          <w:sz w:val="24"/>
          <w:u w:val="single"/>
        </w:rPr>
      </w:pPr>
      <w:r>
        <w:rPr>
          <w:rFonts w:hint="eastAsia" w:hAnsi="宋体"/>
          <w:sz w:val="24"/>
        </w:rPr>
        <w:t>传　　　　真：</w:t>
      </w:r>
      <w:r>
        <w:rPr>
          <w:rFonts w:hint="eastAsia" w:hAnsi="宋体"/>
          <w:sz w:val="24"/>
          <w:u w:val="single"/>
        </w:rPr>
        <w:t xml:space="preserve">                                </w:t>
      </w:r>
    </w:p>
    <w:p>
      <w:pPr>
        <w:spacing w:line="560" w:lineRule="exact"/>
        <w:ind w:left="120" w:leftChars="57" w:right="-20" w:firstLine="240" w:firstLineChars="100"/>
        <w:jc w:val="left"/>
        <w:rPr>
          <w:rFonts w:ascii="宋体" w:hAnsi="宋体" w:cs="宋体"/>
          <w:kern w:val="0"/>
          <w:sz w:val="24"/>
        </w:rPr>
      </w:pPr>
      <w:r>
        <w:rPr>
          <w:rFonts w:hint="eastAsia" w:hAnsi="宋体"/>
          <w:sz w:val="24"/>
        </w:rPr>
        <w:t>电　　　　话：</w:t>
      </w:r>
      <w:r>
        <w:rPr>
          <w:rFonts w:hint="eastAsia" w:hAnsi="宋体"/>
          <w:sz w:val="24"/>
          <w:u w:val="single"/>
        </w:rPr>
        <w:t xml:space="preserve">                                </w:t>
      </w:r>
      <w:r>
        <w:rPr>
          <w:rFonts w:hint="eastAsia" w:hAnsi="宋体"/>
          <w:sz w:val="24"/>
        </w:rPr>
        <w:t xml:space="preserve">          </w:t>
      </w:r>
    </w:p>
    <w:p>
      <w:pPr>
        <w:tabs>
          <w:tab w:val="left" w:pos="5580"/>
        </w:tabs>
        <w:spacing w:line="560" w:lineRule="exact"/>
        <w:ind w:firstLine="361" w:firstLineChars="150"/>
        <w:rPr>
          <w:rFonts w:ascii="宋体" w:hAnsi="宋体" w:cs="宋体"/>
          <w:b/>
          <w:kern w:val="0"/>
          <w:sz w:val="24"/>
          <w:szCs w:val="20"/>
        </w:rPr>
      </w:pPr>
      <w:r>
        <w:rPr>
          <w:rFonts w:hint="eastAsia" w:ascii="宋体" w:hAnsi="宋体" w:cs="宋体"/>
          <w:b/>
          <w:kern w:val="0"/>
          <w:sz w:val="24"/>
          <w:szCs w:val="20"/>
        </w:rPr>
        <w:br w:type="page"/>
      </w:r>
    </w:p>
    <w:p>
      <w:pPr>
        <w:pStyle w:val="5"/>
        <w:spacing w:line="560" w:lineRule="exact"/>
        <w:rPr>
          <w:rFonts w:hAnsi="宋体" w:cs="宋体"/>
          <w:u w:val="none"/>
        </w:rPr>
      </w:pPr>
      <w:bookmarkStart w:id="392" w:name="_Toc46235135"/>
      <w:bookmarkStart w:id="393" w:name="_Toc4378"/>
      <w:bookmarkStart w:id="394" w:name="_Toc518923111"/>
      <w:r>
        <w:rPr>
          <w:rFonts w:hint="eastAsia" w:hAnsi="宋体" w:cs="宋体"/>
          <w:u w:val="none"/>
        </w:rPr>
        <w:t>5.</w:t>
      </w:r>
      <w:bookmarkEnd w:id="392"/>
      <w:bookmarkEnd w:id="393"/>
      <w:r>
        <w:rPr>
          <w:rFonts w:hint="eastAsia" w:hAnsi="宋体" w:cs="宋体"/>
          <w:u w:val="none"/>
        </w:rPr>
        <w:t>政府采购供应商信用承诺书</w:t>
      </w:r>
    </w:p>
    <w:p>
      <w:pPr>
        <w:tabs>
          <w:tab w:val="left" w:pos="5580"/>
        </w:tabs>
        <w:spacing w:line="560" w:lineRule="exact"/>
        <w:ind w:left="1080" w:leftChars="257" w:hanging="540"/>
        <w:jc w:val="center"/>
        <w:rPr>
          <w:rFonts w:ascii="宋体" w:hAnsi="宋体" w:cs="宋体"/>
          <w:b/>
          <w:sz w:val="24"/>
          <w:szCs w:val="20"/>
        </w:rPr>
      </w:pPr>
    </w:p>
    <w:p>
      <w:pPr>
        <w:tabs>
          <w:tab w:val="left" w:pos="5580"/>
        </w:tabs>
        <w:spacing w:line="560" w:lineRule="exact"/>
        <w:ind w:left="2100"/>
        <w:rPr>
          <w:rFonts w:ascii="宋体" w:hAnsi="宋体" w:cs="宋体"/>
          <w:b/>
          <w:sz w:val="24"/>
          <w:szCs w:val="20"/>
        </w:rPr>
      </w:pPr>
    </w:p>
    <w:p>
      <w:pPr>
        <w:pStyle w:val="8"/>
        <w:spacing w:line="560" w:lineRule="exact"/>
        <w:ind w:firstLine="0"/>
        <w:jc w:val="center"/>
        <w:rPr>
          <w:rFonts w:hAnsi="宋体" w:cs="宋体"/>
          <w:b/>
          <w:sz w:val="30"/>
          <w:szCs w:val="30"/>
        </w:rPr>
      </w:pPr>
      <w:r>
        <w:rPr>
          <w:rFonts w:hint="eastAsia" w:hAnsi="宋体" w:cs="宋体"/>
          <w:b/>
          <w:sz w:val="30"/>
          <w:szCs w:val="30"/>
        </w:rPr>
        <w:t>政府采购供应商信用承诺书</w:t>
      </w:r>
    </w:p>
    <w:p>
      <w:pPr>
        <w:pStyle w:val="8"/>
        <w:spacing w:line="560" w:lineRule="exact"/>
        <w:ind w:firstLine="0"/>
        <w:jc w:val="center"/>
        <w:rPr>
          <w:rFonts w:hAnsi="宋体"/>
        </w:rPr>
      </w:pPr>
    </w:p>
    <w:p>
      <w:pPr>
        <w:tabs>
          <w:tab w:val="left" w:pos="5580"/>
        </w:tabs>
        <w:spacing w:line="560" w:lineRule="exact"/>
        <w:ind w:firstLine="480"/>
        <w:rPr>
          <w:rFonts w:ascii="宋体" w:hAnsi="宋体" w:cs="宋体"/>
          <w:sz w:val="24"/>
          <w:szCs w:val="20"/>
        </w:rPr>
      </w:pPr>
      <w:r>
        <w:rPr>
          <w:rFonts w:hint="eastAsia" w:ascii="宋体" w:hAnsi="宋体" w:cs="宋体"/>
          <w:sz w:val="24"/>
          <w:szCs w:val="20"/>
        </w:rPr>
        <w:t>本公司（联合体）郑重声明：</w:t>
      </w:r>
    </w:p>
    <w:p>
      <w:pPr>
        <w:tabs>
          <w:tab w:val="left" w:pos="5580"/>
        </w:tabs>
        <w:spacing w:line="560" w:lineRule="exact"/>
        <w:ind w:firstLine="480"/>
        <w:rPr>
          <w:rFonts w:ascii="宋体" w:hAnsi="宋体" w:cs="宋体"/>
          <w:sz w:val="24"/>
          <w:szCs w:val="20"/>
        </w:rPr>
      </w:pPr>
      <w:r>
        <w:rPr>
          <w:rFonts w:hint="eastAsia" w:ascii="宋体" w:hAnsi="宋体" w:cs="宋体"/>
          <w:sz w:val="24"/>
          <w:szCs w:val="20"/>
        </w:rPr>
        <w:t>1、承诺具有良好的商业信誉和健全的财务会计制度；</w:t>
      </w:r>
    </w:p>
    <w:p>
      <w:pPr>
        <w:tabs>
          <w:tab w:val="left" w:pos="5580"/>
        </w:tabs>
        <w:spacing w:line="560" w:lineRule="exact"/>
        <w:ind w:firstLine="480" w:firstLineChars="200"/>
        <w:rPr>
          <w:rFonts w:ascii="宋体" w:hAnsi="宋体" w:cs="宋体"/>
          <w:sz w:val="24"/>
          <w:szCs w:val="20"/>
        </w:rPr>
      </w:pPr>
      <w:r>
        <w:rPr>
          <w:rFonts w:hint="eastAsia" w:ascii="宋体" w:hAnsi="宋体" w:cs="宋体"/>
          <w:sz w:val="24"/>
          <w:szCs w:val="20"/>
        </w:rPr>
        <w:t>2、承诺依法缴纳税收和社会保障资金；</w:t>
      </w:r>
    </w:p>
    <w:p>
      <w:pPr>
        <w:tabs>
          <w:tab w:val="left" w:pos="5580"/>
        </w:tabs>
        <w:spacing w:line="560" w:lineRule="exact"/>
        <w:ind w:firstLine="480" w:firstLineChars="200"/>
        <w:rPr>
          <w:rFonts w:ascii="宋体" w:hAnsi="宋体" w:cs="宋体"/>
          <w:sz w:val="24"/>
          <w:szCs w:val="20"/>
        </w:rPr>
      </w:pPr>
      <w:r>
        <w:rPr>
          <w:rFonts w:hint="eastAsia" w:ascii="宋体" w:hAnsi="宋体" w:cs="宋体"/>
          <w:sz w:val="24"/>
          <w:szCs w:val="20"/>
        </w:rPr>
        <w:t>3、承诺参加政府采购活动前三年内，在经营活动中没有重大违法记录及无行贿犯罪记录。</w:t>
      </w:r>
    </w:p>
    <w:p>
      <w:pPr>
        <w:tabs>
          <w:tab w:val="left" w:pos="5580"/>
        </w:tabs>
        <w:spacing w:line="560" w:lineRule="exact"/>
        <w:ind w:firstLine="480"/>
        <w:rPr>
          <w:rFonts w:ascii="宋体" w:hAnsi="宋体" w:cs="宋体"/>
          <w:sz w:val="24"/>
          <w:szCs w:val="20"/>
        </w:rPr>
      </w:pPr>
      <w:r>
        <w:rPr>
          <w:rFonts w:hint="eastAsia" w:ascii="宋体" w:hAnsi="宋体" w:cs="宋体"/>
          <w:sz w:val="24"/>
          <w:szCs w:val="20"/>
        </w:rPr>
        <w:t>供应商应当遵循诚实信用原则，不得作出虚假承诺，若承诺不实的，属于提供虚假材料谋取中标、成交，依法承担相应的法律责任。</w:t>
      </w:r>
    </w:p>
    <w:p>
      <w:pPr>
        <w:pStyle w:val="5"/>
        <w:rPr>
          <w:rFonts w:hAnsi="宋体" w:cs="宋体"/>
        </w:rPr>
      </w:pPr>
    </w:p>
    <w:p/>
    <w:p>
      <w:pPr>
        <w:spacing w:line="560" w:lineRule="exact"/>
        <w:jc w:val="right"/>
        <w:rPr>
          <w:rFonts w:eastAsia="Calibri" w:cs="Calibri"/>
          <w:sz w:val="24"/>
        </w:rPr>
      </w:pPr>
      <w:r>
        <w:rPr>
          <w:rFonts w:hint="eastAsia" w:ascii="宋体" w:hAnsi="宋体" w:cs="宋体"/>
          <w:sz w:val="24"/>
        </w:rPr>
        <w:t>承诺单位</w:t>
      </w:r>
      <w:r>
        <w:rPr>
          <w:rFonts w:ascii="宋体" w:hAnsi="宋体" w:cs="宋体"/>
          <w:sz w:val="24"/>
        </w:rPr>
        <w:t>（</w:t>
      </w:r>
      <w:r>
        <w:rPr>
          <w:rFonts w:hint="eastAsia" w:ascii="宋体" w:hAnsi="宋体" w:cs="宋体"/>
          <w:sz w:val="24"/>
        </w:rPr>
        <w:t>签</w:t>
      </w:r>
      <w:r>
        <w:rPr>
          <w:rFonts w:ascii="宋体" w:hAnsi="宋体" w:cs="宋体"/>
          <w:sz w:val="24"/>
        </w:rPr>
        <w:t>章）：</w:t>
      </w:r>
      <w:r>
        <w:rPr>
          <w:rFonts w:ascii="宋体" w:hAnsi="宋体" w:cs="宋体"/>
          <w:sz w:val="24"/>
          <w:u w:val="single"/>
        </w:rPr>
        <w:tab/>
      </w:r>
      <w:r>
        <w:rPr>
          <w:rFonts w:ascii="宋体" w:hAnsi="宋体" w:cs="宋体"/>
          <w:sz w:val="24"/>
          <w:u w:val="single"/>
        </w:rPr>
        <w:tab/>
      </w:r>
      <w:r>
        <w:rPr>
          <w:rFonts w:ascii="宋体" w:hAnsi="宋体" w:cs="宋体"/>
          <w:sz w:val="24"/>
          <w:u w:val="single"/>
        </w:rPr>
        <w:tab/>
      </w:r>
      <w:r>
        <w:rPr>
          <w:rFonts w:ascii="宋体" w:hAnsi="宋体" w:cs="宋体"/>
          <w:sz w:val="24"/>
          <w:u w:val="single"/>
        </w:rPr>
        <w:tab/>
      </w:r>
      <w:r>
        <w:rPr>
          <w:rFonts w:ascii="宋体" w:hAnsi="宋体" w:cs="宋体"/>
          <w:sz w:val="24"/>
          <w:u w:val="single"/>
        </w:rPr>
        <w:tab/>
      </w:r>
      <w:r>
        <w:rPr>
          <w:rFonts w:ascii="宋体" w:hAnsi="宋体" w:cs="宋体"/>
          <w:sz w:val="24"/>
          <w:u w:val="single"/>
        </w:rPr>
        <w:tab/>
      </w:r>
      <w:r>
        <w:rPr>
          <w:rFonts w:ascii="宋体" w:hAnsi="宋体" w:cs="宋体"/>
          <w:sz w:val="24"/>
          <w:u w:val="single"/>
        </w:rPr>
        <w:tab/>
      </w:r>
    </w:p>
    <w:p>
      <w:pPr>
        <w:spacing w:line="560" w:lineRule="exact"/>
        <w:jc w:val="right"/>
        <w:rPr>
          <w:rFonts w:eastAsia="Calibri" w:cs="Calibri"/>
          <w:sz w:val="24"/>
        </w:rPr>
      </w:pPr>
      <w:r>
        <w:rPr>
          <w:rFonts w:ascii="宋体" w:hAnsi="宋体" w:cs="宋体"/>
          <w:sz w:val="24"/>
        </w:rPr>
        <w:t>法定代表人或其授权代表（签章）：</w:t>
      </w:r>
      <w:r>
        <w:rPr>
          <w:rFonts w:ascii="宋体" w:hAnsi="宋体" w:cs="宋体"/>
          <w:sz w:val="24"/>
          <w:u w:val="single"/>
        </w:rPr>
        <w:tab/>
      </w:r>
      <w:r>
        <w:rPr>
          <w:rFonts w:ascii="宋体" w:hAnsi="宋体" w:cs="宋体"/>
          <w:sz w:val="24"/>
          <w:u w:val="single"/>
        </w:rPr>
        <w:tab/>
      </w:r>
    </w:p>
    <w:p>
      <w:pPr>
        <w:spacing w:line="560" w:lineRule="exact"/>
        <w:jc w:val="right"/>
        <w:rPr>
          <w:rFonts w:ascii="宋体" w:hAnsi="宋体" w:cs="宋体"/>
          <w:sz w:val="24"/>
        </w:rPr>
      </w:pPr>
      <w:r>
        <w:rPr>
          <w:rFonts w:ascii="宋体" w:hAnsi="宋体" w:cs="宋体"/>
          <w:sz w:val="24"/>
        </w:rPr>
        <w:t>日    期：      年   月   日</w:t>
      </w:r>
    </w:p>
    <w:p>
      <w:pPr>
        <w:spacing w:line="560" w:lineRule="exact"/>
        <w:ind w:left="482"/>
        <w:rPr>
          <w:rFonts w:ascii="宋体" w:hAnsi="宋体" w:cs="宋体"/>
          <w:sz w:val="24"/>
        </w:rPr>
      </w:pPr>
    </w:p>
    <w:p>
      <w:pPr>
        <w:spacing w:line="560" w:lineRule="exact"/>
        <w:ind w:left="482"/>
        <w:rPr>
          <w:rFonts w:ascii="宋体" w:hAnsi="宋体" w:cs="宋体"/>
          <w:sz w:val="24"/>
        </w:rPr>
      </w:pPr>
    </w:p>
    <w:p>
      <w:pPr>
        <w:tabs>
          <w:tab w:val="left" w:pos="5580"/>
        </w:tabs>
        <w:spacing w:line="560" w:lineRule="exact"/>
        <w:rPr>
          <w:rFonts w:ascii="宋体" w:hAnsi="宋体" w:cs="宋体"/>
          <w:sz w:val="24"/>
        </w:rPr>
      </w:pPr>
    </w:p>
    <w:p>
      <w:pPr>
        <w:spacing w:line="560" w:lineRule="exact"/>
        <w:rPr>
          <w:rFonts w:hAnsi="宋体" w:cs="宋体"/>
        </w:rPr>
      </w:pPr>
      <w:bookmarkStart w:id="395" w:name="_Toc46235136"/>
      <w:bookmarkStart w:id="396" w:name="_Toc518923112"/>
      <w:r>
        <w:rPr>
          <w:rFonts w:hint="eastAsia" w:hAnsi="宋体" w:cs="宋体"/>
        </w:rPr>
        <w:br w:type="page"/>
      </w:r>
    </w:p>
    <w:bookmarkEnd w:id="394"/>
    <w:bookmarkEnd w:id="395"/>
    <w:bookmarkEnd w:id="396"/>
    <w:p>
      <w:pPr>
        <w:pStyle w:val="4"/>
        <w:spacing w:line="560" w:lineRule="exact"/>
        <w:ind w:left="774" w:hanging="774" w:hangingChars="257"/>
        <w:rPr>
          <w:rFonts w:ascii="宋体" w:hAnsi="宋体" w:eastAsia="宋体" w:cs="宋体"/>
        </w:rPr>
      </w:pPr>
      <w:bookmarkStart w:id="397" w:name="_Toc518923115"/>
      <w:bookmarkStart w:id="398" w:name="_Toc46235139"/>
      <w:bookmarkStart w:id="399" w:name="_Toc16923"/>
      <w:r>
        <w:rPr>
          <w:rFonts w:hint="eastAsia" w:ascii="宋体" w:hAnsi="宋体" w:eastAsia="宋体" w:cs="宋体"/>
        </w:rPr>
        <w:t>三、商务及技术文件</w:t>
      </w:r>
      <w:bookmarkEnd w:id="397"/>
      <w:bookmarkEnd w:id="398"/>
      <w:bookmarkEnd w:id="399"/>
    </w:p>
    <w:p>
      <w:pPr>
        <w:spacing w:line="560" w:lineRule="exact"/>
        <w:ind w:left="1080" w:leftChars="257" w:hanging="540"/>
        <w:rPr>
          <w:rFonts w:ascii="宋体" w:hAnsi="宋体" w:cs="宋体"/>
          <w:sz w:val="24"/>
          <w:szCs w:val="20"/>
        </w:rPr>
      </w:pPr>
    </w:p>
    <w:p>
      <w:pPr>
        <w:pStyle w:val="5"/>
        <w:spacing w:line="560" w:lineRule="exact"/>
        <w:rPr>
          <w:rFonts w:hAnsi="宋体" w:cs="宋体"/>
          <w:u w:val="none"/>
        </w:rPr>
      </w:pPr>
      <w:bookmarkStart w:id="400" w:name="_Hlt520355504"/>
      <w:bookmarkEnd w:id="400"/>
      <w:bookmarkStart w:id="401" w:name="_Toc9012"/>
      <w:bookmarkStart w:id="402" w:name="_Toc46235140"/>
      <w:bookmarkStart w:id="403" w:name="_Toc518923116"/>
      <w:r>
        <w:rPr>
          <w:rFonts w:hint="eastAsia" w:hAnsi="宋体" w:cs="宋体"/>
          <w:u w:val="none"/>
        </w:rPr>
        <w:t>6.响应文件</w:t>
      </w:r>
      <w:bookmarkEnd w:id="372"/>
      <w:bookmarkEnd w:id="373"/>
      <w:r>
        <w:rPr>
          <w:rFonts w:hint="eastAsia" w:hAnsi="宋体" w:cs="宋体"/>
          <w:u w:val="none"/>
        </w:rPr>
        <w:t>书</w:t>
      </w:r>
      <w:bookmarkEnd w:id="374"/>
      <w:bookmarkEnd w:id="375"/>
      <w:bookmarkEnd w:id="401"/>
      <w:bookmarkEnd w:id="402"/>
      <w:bookmarkEnd w:id="403"/>
    </w:p>
    <w:p>
      <w:pPr>
        <w:tabs>
          <w:tab w:val="left" w:pos="5580"/>
        </w:tabs>
        <w:spacing w:line="560" w:lineRule="exact"/>
        <w:ind w:left="1080" w:leftChars="257" w:hanging="540"/>
        <w:rPr>
          <w:rFonts w:ascii="宋体" w:hAnsi="宋体" w:cs="宋体"/>
          <w:sz w:val="24"/>
        </w:rPr>
      </w:pPr>
    </w:p>
    <w:p>
      <w:pPr>
        <w:tabs>
          <w:tab w:val="left" w:pos="5580"/>
        </w:tabs>
        <w:spacing w:line="560" w:lineRule="exact"/>
        <w:ind w:left="1080" w:hanging="1080"/>
        <w:rPr>
          <w:rFonts w:ascii="宋体" w:hAnsi="宋体" w:cs="宋体"/>
          <w:sz w:val="24"/>
        </w:rPr>
      </w:pPr>
      <w:r>
        <w:rPr>
          <w:rFonts w:hint="eastAsia" w:ascii="宋体" w:hAnsi="宋体" w:cs="宋体"/>
          <w:sz w:val="24"/>
        </w:rPr>
        <w:t>致：</w:t>
      </w:r>
      <w:r>
        <w:rPr>
          <w:rFonts w:hint="eastAsia" w:ascii="宋体" w:hAnsi="宋体" w:cs="宋体"/>
          <w:sz w:val="24"/>
          <w:szCs w:val="20"/>
          <w:u w:val="single"/>
        </w:rPr>
        <w:t xml:space="preserve">                     </w:t>
      </w:r>
      <w:r>
        <w:rPr>
          <w:rFonts w:hint="eastAsia" w:ascii="宋体" w:hAnsi="宋体" w:cs="宋体"/>
          <w:sz w:val="24"/>
          <w:szCs w:val="20"/>
        </w:rPr>
        <w:t>（采购人）</w:t>
      </w:r>
    </w:p>
    <w:p>
      <w:pPr>
        <w:tabs>
          <w:tab w:val="left" w:pos="5580"/>
        </w:tabs>
        <w:spacing w:line="560" w:lineRule="exact"/>
        <w:ind w:left="1080" w:leftChars="257" w:hanging="540"/>
        <w:rPr>
          <w:rFonts w:ascii="宋体" w:hAnsi="宋体" w:cs="宋体"/>
          <w:sz w:val="24"/>
          <w:szCs w:val="20"/>
        </w:rPr>
      </w:pPr>
    </w:p>
    <w:p>
      <w:pPr>
        <w:pStyle w:val="12"/>
        <w:tabs>
          <w:tab w:val="left" w:pos="5580"/>
        </w:tabs>
        <w:spacing w:line="560" w:lineRule="exact"/>
        <w:ind w:left="2" w:leftChars="1" w:firstLine="480" w:firstLineChars="200"/>
        <w:rPr>
          <w:rFonts w:hAnsi="宋体"/>
          <w:b/>
          <w:sz w:val="24"/>
        </w:rPr>
      </w:pPr>
      <w:bookmarkStart w:id="404" w:name="_Toc45562518"/>
      <w:bookmarkStart w:id="405" w:name="_Toc46235141"/>
      <w:bookmarkStart w:id="406" w:name="_Toc518923119"/>
      <w:bookmarkStart w:id="407" w:name="_Toc216582818"/>
      <w:bookmarkStart w:id="408" w:name="_Toc216582815"/>
      <w:r>
        <w:rPr>
          <w:rFonts w:hint="eastAsia" w:hAnsi="宋体"/>
          <w:sz w:val="24"/>
          <w:u w:val="single"/>
        </w:rPr>
        <w:t> （供应商全称）</w:t>
      </w:r>
      <w:r>
        <w:rPr>
          <w:rFonts w:hint="eastAsia" w:hAnsi="宋体"/>
          <w:sz w:val="24"/>
        </w:rPr>
        <w:t>法定代表人</w:t>
      </w:r>
      <w:r>
        <w:rPr>
          <w:rFonts w:hint="eastAsia" w:hAnsi="宋体"/>
          <w:sz w:val="24"/>
          <w:u w:val="single"/>
        </w:rPr>
        <w:t xml:space="preserve">       </w:t>
      </w:r>
      <w:r>
        <w:rPr>
          <w:rFonts w:hint="eastAsia" w:hAnsi="宋体"/>
          <w:sz w:val="24"/>
        </w:rPr>
        <w:t>授权</w:t>
      </w:r>
      <w:r>
        <w:rPr>
          <w:rFonts w:hint="eastAsia" w:hAnsi="宋体"/>
          <w:sz w:val="24"/>
          <w:u w:val="single"/>
        </w:rPr>
        <w:t xml:space="preserve">       </w:t>
      </w:r>
      <w:r>
        <w:rPr>
          <w:rFonts w:hint="eastAsia" w:hAnsi="宋体"/>
          <w:sz w:val="24"/>
        </w:rPr>
        <w:t>（被授权代表人姓名）全权参加贵方组织的</w:t>
      </w:r>
      <w:r>
        <w:rPr>
          <w:rFonts w:hint="eastAsia" w:hAnsi="宋体"/>
          <w:sz w:val="24"/>
          <w:u w:val="single"/>
        </w:rPr>
        <w:t xml:space="preserve">             </w:t>
      </w:r>
      <w:r>
        <w:rPr>
          <w:rFonts w:hint="eastAsia" w:hAnsi="宋体"/>
          <w:sz w:val="24"/>
        </w:rPr>
        <w:t>（项目编号、项目名称）采购的有关活动，并对</w:t>
      </w:r>
      <w:r>
        <w:rPr>
          <w:rFonts w:hint="eastAsia" w:hAnsi="宋体"/>
          <w:sz w:val="24"/>
          <w:u w:val="single"/>
        </w:rPr>
        <w:t>       </w:t>
      </w:r>
      <w:r>
        <w:rPr>
          <w:rFonts w:hint="eastAsia" w:hAnsi="宋体"/>
          <w:sz w:val="24"/>
        </w:rPr>
        <w:t xml:space="preserve"> （项目名称）进行响应，提交加密电子响应文件</w:t>
      </w:r>
      <w:r>
        <w:rPr>
          <w:rFonts w:hAnsi="宋体"/>
          <w:sz w:val="24"/>
          <w:u w:val="single"/>
        </w:rPr>
        <w:t xml:space="preserve"> </w:t>
      </w:r>
      <w:r>
        <w:rPr>
          <w:rFonts w:hint="eastAsia" w:hAnsi="宋体"/>
          <w:sz w:val="24"/>
          <w:u w:val="single"/>
        </w:rPr>
        <w:t xml:space="preserve"> </w:t>
      </w:r>
      <w:r>
        <w:rPr>
          <w:rFonts w:hAnsi="宋体"/>
          <w:sz w:val="24"/>
          <w:u w:val="single"/>
        </w:rPr>
        <w:t xml:space="preserve"> </w:t>
      </w:r>
      <w:r>
        <w:rPr>
          <w:rFonts w:hint="eastAsia" w:hAnsi="宋体"/>
          <w:sz w:val="24"/>
        </w:rPr>
        <w:t>份。</w:t>
      </w:r>
    </w:p>
    <w:p>
      <w:pPr>
        <w:tabs>
          <w:tab w:val="left" w:pos="5580"/>
        </w:tabs>
        <w:spacing w:line="560" w:lineRule="exact"/>
        <w:ind w:left="1080" w:leftChars="257" w:hanging="540"/>
        <w:rPr>
          <w:rFonts w:ascii="宋体" w:hAnsi="宋体"/>
          <w:sz w:val="24"/>
          <w:szCs w:val="20"/>
        </w:rPr>
      </w:pPr>
      <w:r>
        <w:rPr>
          <w:rFonts w:hint="eastAsia" w:ascii="宋体" w:hAnsi="宋体"/>
          <w:sz w:val="24"/>
          <w:szCs w:val="20"/>
        </w:rPr>
        <w:t>据此，签字代表宣布同意如下：</w:t>
      </w:r>
    </w:p>
    <w:p>
      <w:pPr>
        <w:pStyle w:val="12"/>
        <w:tabs>
          <w:tab w:val="left" w:pos="720"/>
          <w:tab w:val="left" w:pos="900"/>
        </w:tabs>
        <w:spacing w:line="560" w:lineRule="exact"/>
        <w:ind w:left="769" w:leftChars="257" w:hanging="229"/>
        <w:rPr>
          <w:rFonts w:hAnsi="宋体"/>
          <w:sz w:val="24"/>
          <w:u w:val="single"/>
        </w:rPr>
      </w:pPr>
      <w:r>
        <w:rPr>
          <w:rFonts w:hint="eastAsia" w:hAnsi="宋体"/>
          <w:sz w:val="24"/>
        </w:rPr>
        <w:t>（1）响应总价详见开标</w:t>
      </w:r>
      <w:r>
        <w:rPr>
          <w:rFonts w:hAnsi="宋体"/>
          <w:sz w:val="24"/>
        </w:rPr>
        <w:t>一览表，</w:t>
      </w:r>
      <w:r>
        <w:rPr>
          <w:rFonts w:hint="eastAsia" w:hAnsi="宋体"/>
          <w:sz w:val="24"/>
          <w:u w:val="single"/>
        </w:rPr>
        <w:t>其中由</w:t>
      </w:r>
      <w:r>
        <w:rPr>
          <w:rFonts w:hAnsi="宋体"/>
          <w:sz w:val="24"/>
          <w:u w:val="single"/>
        </w:rPr>
        <w:t>小型和</w:t>
      </w:r>
      <w:r>
        <w:rPr>
          <w:rFonts w:hAnsi="宋体"/>
          <w:sz w:val="24"/>
        </w:rPr>
        <w:t>微型企业</w:t>
      </w:r>
      <w:r>
        <w:rPr>
          <w:rFonts w:hint="eastAsia" w:hAnsi="宋体"/>
          <w:sz w:val="24"/>
        </w:rPr>
        <w:t>制造</w:t>
      </w:r>
      <w:r>
        <w:rPr>
          <w:rFonts w:hAnsi="宋体"/>
          <w:sz w:val="24"/>
        </w:rPr>
        <w:t>产品的价格</w:t>
      </w:r>
      <w:r>
        <w:rPr>
          <w:rFonts w:hint="eastAsia" w:hAnsi="宋体"/>
          <w:sz w:val="24"/>
        </w:rPr>
        <w:t>为</w:t>
      </w:r>
      <w:r>
        <w:rPr>
          <w:rFonts w:hint="eastAsia" w:hAnsi="宋体"/>
          <w:sz w:val="24"/>
          <w:u w:val="single"/>
        </w:rPr>
        <w:t>　　  （用文字和数字表示），占响应总价   %</w:t>
      </w:r>
      <w:r>
        <w:rPr>
          <w:rFonts w:hint="eastAsia" w:hAnsi="宋体"/>
          <w:sz w:val="24"/>
        </w:rPr>
        <w:t>。</w:t>
      </w:r>
    </w:p>
    <w:p>
      <w:pPr>
        <w:tabs>
          <w:tab w:val="left" w:pos="5580"/>
        </w:tabs>
        <w:spacing w:line="560" w:lineRule="exact"/>
        <w:ind w:firstLine="480" w:firstLineChars="200"/>
        <w:rPr>
          <w:rFonts w:ascii="宋体" w:hAnsi="宋体"/>
          <w:sz w:val="24"/>
          <w:szCs w:val="20"/>
        </w:rPr>
      </w:pPr>
      <w:r>
        <w:rPr>
          <w:rFonts w:hint="eastAsia" w:ascii="宋体" w:hAnsi="宋体"/>
          <w:sz w:val="24"/>
          <w:szCs w:val="20"/>
        </w:rPr>
        <w:t>（2）本响应有效期为提交响应文件截止之日起</w:t>
      </w:r>
      <w:r>
        <w:rPr>
          <w:rFonts w:hint="eastAsia" w:ascii="宋体" w:hAnsi="宋体"/>
          <w:sz w:val="24"/>
          <w:szCs w:val="20"/>
          <w:u w:val="single"/>
        </w:rPr>
        <w:t xml:space="preserve">    </w:t>
      </w:r>
      <w:r>
        <w:rPr>
          <w:rFonts w:hint="eastAsia" w:ascii="宋体" w:hAnsi="宋体"/>
          <w:sz w:val="24"/>
          <w:szCs w:val="20"/>
        </w:rPr>
        <w:t>个日历日。</w:t>
      </w:r>
    </w:p>
    <w:p>
      <w:pPr>
        <w:tabs>
          <w:tab w:val="left" w:pos="5580"/>
        </w:tabs>
        <w:spacing w:line="560" w:lineRule="exact"/>
        <w:ind w:left="1080" w:leftChars="257" w:hanging="540"/>
        <w:rPr>
          <w:rFonts w:ascii="宋体" w:hAnsi="宋体"/>
          <w:sz w:val="24"/>
          <w:szCs w:val="20"/>
        </w:rPr>
      </w:pPr>
      <w:r>
        <w:rPr>
          <w:rFonts w:hint="eastAsia" w:ascii="宋体" w:hAnsi="宋体"/>
          <w:sz w:val="24"/>
          <w:szCs w:val="20"/>
        </w:rPr>
        <w:t>（3）已详细审查全部竞争性谈判文件，包括所有补充通知（如果有的话），完全理解并同意放弃对这方面有不明、误解和质疑的权力。</w:t>
      </w:r>
    </w:p>
    <w:p>
      <w:pPr>
        <w:tabs>
          <w:tab w:val="left" w:pos="5580"/>
        </w:tabs>
        <w:spacing w:line="560" w:lineRule="exact"/>
        <w:ind w:left="1080" w:leftChars="257" w:hanging="540"/>
        <w:rPr>
          <w:rFonts w:ascii="宋体" w:hAnsi="宋体"/>
          <w:sz w:val="24"/>
          <w:szCs w:val="20"/>
          <w:u w:val="single"/>
        </w:rPr>
      </w:pPr>
      <w:r>
        <w:rPr>
          <w:rFonts w:hint="eastAsia" w:ascii="宋体" w:hAnsi="宋体"/>
          <w:sz w:val="24"/>
          <w:szCs w:val="20"/>
        </w:rPr>
        <w:t>（4）</w:t>
      </w:r>
      <w:r>
        <w:rPr>
          <w:rFonts w:ascii="宋体" w:hAnsi="宋体"/>
          <w:sz w:val="24"/>
          <w:szCs w:val="20"/>
        </w:rPr>
        <w:t>联合体</w:t>
      </w:r>
      <w:r>
        <w:rPr>
          <w:rFonts w:hint="eastAsia" w:ascii="宋体" w:hAnsi="宋体"/>
          <w:sz w:val="24"/>
          <w:szCs w:val="20"/>
        </w:rPr>
        <w:t>中</w:t>
      </w:r>
      <w:r>
        <w:rPr>
          <w:rFonts w:ascii="宋体" w:hAnsi="宋体"/>
          <w:sz w:val="24"/>
          <w:szCs w:val="20"/>
        </w:rPr>
        <w:t>的大中型企业和其他自然人、法人或者</w:t>
      </w:r>
      <w:r>
        <w:rPr>
          <w:rFonts w:hint="eastAsia" w:ascii="宋体" w:hAnsi="宋体"/>
          <w:sz w:val="24"/>
          <w:szCs w:val="20"/>
        </w:rPr>
        <w:t>其他组织</w:t>
      </w:r>
      <w:r>
        <w:rPr>
          <w:rFonts w:ascii="宋体" w:hAnsi="宋体"/>
          <w:sz w:val="24"/>
          <w:szCs w:val="20"/>
        </w:rPr>
        <w:t>，与</w:t>
      </w:r>
      <w:r>
        <w:rPr>
          <w:rFonts w:hint="eastAsia" w:ascii="宋体" w:hAnsi="宋体"/>
          <w:sz w:val="24"/>
          <w:szCs w:val="20"/>
        </w:rPr>
        <w:t>联合体中的</w:t>
      </w:r>
      <w:r>
        <w:rPr>
          <w:rFonts w:ascii="宋体" w:hAnsi="宋体"/>
          <w:sz w:val="24"/>
          <w:szCs w:val="20"/>
        </w:rPr>
        <w:t>小型、微型企业之间</w:t>
      </w:r>
      <w:r>
        <w:rPr>
          <w:rFonts w:hint="eastAsia" w:ascii="宋体" w:hAnsi="宋体"/>
          <w:sz w:val="24"/>
          <w:szCs w:val="20"/>
          <w:u w:val="single"/>
        </w:rPr>
        <w:t xml:space="preserve">     （</w:t>
      </w:r>
      <w:r>
        <w:rPr>
          <w:rFonts w:ascii="宋体" w:hAnsi="宋体"/>
          <w:sz w:val="24"/>
          <w:szCs w:val="20"/>
        </w:rPr>
        <w:t>存在</w:t>
      </w:r>
      <w:r>
        <w:rPr>
          <w:rFonts w:hint="eastAsia" w:ascii="宋体" w:hAnsi="宋体"/>
          <w:sz w:val="24"/>
          <w:szCs w:val="20"/>
        </w:rPr>
        <w:t>、不存在）</w:t>
      </w:r>
      <w:r>
        <w:rPr>
          <w:rFonts w:ascii="宋体" w:hAnsi="宋体"/>
          <w:sz w:val="24"/>
          <w:szCs w:val="20"/>
        </w:rPr>
        <w:t>投资关系</w:t>
      </w:r>
      <w:r>
        <w:rPr>
          <w:rFonts w:hint="eastAsia" w:ascii="宋体" w:hAnsi="宋体"/>
          <w:sz w:val="24"/>
          <w:szCs w:val="20"/>
        </w:rPr>
        <w:t>（如有）。</w:t>
      </w:r>
    </w:p>
    <w:p>
      <w:pPr>
        <w:tabs>
          <w:tab w:val="left" w:pos="5580"/>
        </w:tabs>
        <w:spacing w:line="560" w:lineRule="exact"/>
        <w:ind w:left="1080" w:leftChars="257" w:hanging="540"/>
        <w:rPr>
          <w:rFonts w:ascii="宋体" w:hAnsi="宋体"/>
          <w:sz w:val="24"/>
          <w:szCs w:val="20"/>
        </w:rPr>
      </w:pPr>
      <w:r>
        <w:rPr>
          <w:rFonts w:hint="eastAsia" w:ascii="宋体" w:hAnsi="宋体"/>
          <w:sz w:val="24"/>
          <w:szCs w:val="20"/>
        </w:rPr>
        <w:t>（5）我方不是</w:t>
      </w:r>
      <w:r>
        <w:rPr>
          <w:rFonts w:ascii="宋体" w:hAnsi="宋体"/>
          <w:sz w:val="24"/>
          <w:szCs w:val="20"/>
        </w:rPr>
        <w:t>为</w:t>
      </w:r>
      <w:r>
        <w:rPr>
          <w:rFonts w:hint="eastAsia" w:ascii="宋体" w:hAnsi="宋体"/>
          <w:sz w:val="24"/>
          <w:szCs w:val="20"/>
        </w:rPr>
        <w:t>本</w:t>
      </w:r>
      <w:r>
        <w:rPr>
          <w:rFonts w:ascii="宋体" w:hAnsi="宋体"/>
          <w:sz w:val="24"/>
          <w:szCs w:val="20"/>
        </w:rPr>
        <w:t>项目提供整体</w:t>
      </w:r>
      <w:r>
        <w:rPr>
          <w:rFonts w:hint="eastAsia" w:ascii="宋体" w:hAnsi="宋体"/>
          <w:sz w:val="24"/>
          <w:szCs w:val="20"/>
        </w:rPr>
        <w:t>设计</w:t>
      </w:r>
      <w:r>
        <w:rPr>
          <w:rFonts w:ascii="宋体" w:hAnsi="宋体"/>
          <w:sz w:val="24"/>
          <w:szCs w:val="20"/>
        </w:rPr>
        <w:t>、规范编制或者项目管理、监理、检测等服务的</w:t>
      </w:r>
      <w:r>
        <w:rPr>
          <w:rFonts w:hint="eastAsia" w:ascii="宋体" w:hAnsi="宋体"/>
          <w:sz w:val="24"/>
          <w:szCs w:val="20"/>
        </w:rPr>
        <w:t>供应商，我方不是采购代理机构的附属机构。</w:t>
      </w:r>
    </w:p>
    <w:p>
      <w:pPr>
        <w:tabs>
          <w:tab w:val="left" w:pos="5580"/>
        </w:tabs>
        <w:spacing w:line="560" w:lineRule="exact"/>
        <w:ind w:left="1080" w:leftChars="257" w:hanging="540"/>
        <w:rPr>
          <w:rFonts w:ascii="宋体" w:hAnsi="宋体"/>
          <w:sz w:val="24"/>
          <w:szCs w:val="20"/>
        </w:rPr>
      </w:pPr>
      <w:r>
        <w:rPr>
          <w:rFonts w:hint="eastAsia" w:ascii="宋体" w:hAnsi="宋体"/>
          <w:sz w:val="24"/>
          <w:szCs w:val="20"/>
        </w:rPr>
        <w:t>（6）按照贵方可能要求，提供与其响应有关的一切数据或资料。</w:t>
      </w:r>
    </w:p>
    <w:p>
      <w:pPr>
        <w:tabs>
          <w:tab w:val="left" w:pos="5580"/>
        </w:tabs>
        <w:spacing w:line="560" w:lineRule="exact"/>
        <w:ind w:left="1080" w:leftChars="257" w:hanging="540"/>
        <w:rPr>
          <w:rFonts w:ascii="宋体" w:hAnsi="宋体"/>
          <w:sz w:val="24"/>
          <w:szCs w:val="20"/>
        </w:rPr>
      </w:pPr>
      <w:r>
        <w:rPr>
          <w:rFonts w:hint="eastAsia" w:ascii="宋体" w:hAnsi="宋体"/>
          <w:sz w:val="24"/>
          <w:szCs w:val="20"/>
        </w:rPr>
        <w:t>（7）我方保证所报货物均为原厂正品，否则，由此产生的一切法律责任由我方承担。</w:t>
      </w:r>
    </w:p>
    <w:p>
      <w:pPr>
        <w:pStyle w:val="38"/>
        <w:spacing w:line="560" w:lineRule="exact"/>
        <w:ind w:firstLine="480"/>
        <w:rPr>
          <w:rFonts w:ascii="宋体" w:hAnsi="宋体"/>
          <w:kern w:val="2"/>
          <w:szCs w:val="20"/>
        </w:rPr>
      </w:pPr>
      <w:r>
        <w:rPr>
          <w:rFonts w:hint="eastAsia" w:ascii="宋体" w:hAnsi="宋体"/>
        </w:rPr>
        <w:t>（8）</w:t>
      </w:r>
      <w:r>
        <w:rPr>
          <w:rFonts w:hint="eastAsia" w:ascii="宋体" w:hAnsi="宋体"/>
          <w:kern w:val="2"/>
          <w:szCs w:val="20"/>
        </w:rPr>
        <w:t>在领成交通知书的</w:t>
      </w:r>
      <w:r>
        <w:rPr>
          <w:rFonts w:ascii="宋体" w:hAnsi="宋体"/>
          <w:kern w:val="2"/>
          <w:szCs w:val="20"/>
        </w:rPr>
        <w:t>同</w:t>
      </w:r>
      <w:r>
        <w:rPr>
          <w:rFonts w:hint="eastAsia" w:ascii="宋体" w:hAnsi="宋体"/>
          <w:kern w:val="2"/>
          <w:szCs w:val="20"/>
        </w:rPr>
        <w:t>时按</w:t>
      </w:r>
      <w:r>
        <w:rPr>
          <w:rFonts w:hint="eastAsia" w:hAnsi="宋体" w:cs="宋体"/>
        </w:rPr>
        <w:t>竞争性谈判文件</w:t>
      </w:r>
      <w:r>
        <w:rPr>
          <w:rFonts w:hint="eastAsia" w:ascii="宋体" w:hAnsi="宋体"/>
          <w:kern w:val="2"/>
          <w:szCs w:val="20"/>
        </w:rPr>
        <w:t>规定的</w:t>
      </w:r>
      <w:r>
        <w:rPr>
          <w:rFonts w:ascii="宋体" w:hAnsi="宋体"/>
          <w:kern w:val="2"/>
          <w:szCs w:val="20"/>
        </w:rPr>
        <w:t>形式</w:t>
      </w:r>
      <w:r>
        <w:rPr>
          <w:rFonts w:hint="eastAsia" w:ascii="宋体" w:hAnsi="宋体"/>
          <w:kern w:val="2"/>
          <w:szCs w:val="20"/>
        </w:rPr>
        <w:t>，向采购代理机构一次性支付成交服务费。</w:t>
      </w:r>
    </w:p>
    <w:p>
      <w:pPr>
        <w:tabs>
          <w:tab w:val="left" w:pos="5580"/>
        </w:tabs>
        <w:spacing w:line="560" w:lineRule="exact"/>
        <w:ind w:left="1080" w:leftChars="257" w:hanging="540"/>
        <w:rPr>
          <w:rFonts w:ascii="宋体" w:hAnsi="宋体"/>
          <w:sz w:val="24"/>
          <w:szCs w:val="20"/>
        </w:rPr>
      </w:pPr>
      <w:r>
        <w:rPr>
          <w:rFonts w:hint="eastAsia" w:ascii="宋体" w:hAnsi="宋体"/>
          <w:sz w:val="24"/>
          <w:szCs w:val="20"/>
        </w:rPr>
        <w:t>（9）按照</w:t>
      </w:r>
      <w:r>
        <w:rPr>
          <w:rFonts w:hint="eastAsia" w:hAnsi="宋体" w:cs="宋体"/>
          <w:sz w:val="24"/>
        </w:rPr>
        <w:t>竞争性谈判文件</w:t>
      </w:r>
      <w:r>
        <w:rPr>
          <w:rFonts w:hint="eastAsia" w:ascii="宋体" w:hAnsi="宋体"/>
          <w:sz w:val="24"/>
          <w:szCs w:val="20"/>
        </w:rPr>
        <w:t>的规定履行合同责任和义务。</w:t>
      </w:r>
    </w:p>
    <w:p>
      <w:pPr>
        <w:tabs>
          <w:tab w:val="left" w:pos="5580"/>
        </w:tabs>
        <w:spacing w:line="560" w:lineRule="exact"/>
        <w:ind w:left="359" w:leftChars="68" w:hanging="216" w:hangingChars="90"/>
        <w:rPr>
          <w:rFonts w:ascii="宋体" w:hAnsi="宋体"/>
          <w:sz w:val="24"/>
          <w:szCs w:val="20"/>
        </w:rPr>
      </w:pPr>
      <w:r>
        <w:rPr>
          <w:rFonts w:hint="eastAsia" w:ascii="宋体" w:hAnsi="宋体"/>
          <w:sz w:val="24"/>
          <w:szCs w:val="20"/>
        </w:rPr>
        <w:t xml:space="preserve">  与本响应有关的一切正式往来信函请寄：</w:t>
      </w:r>
    </w:p>
    <w:p>
      <w:pPr>
        <w:tabs>
          <w:tab w:val="left" w:pos="5580"/>
        </w:tabs>
        <w:spacing w:line="560" w:lineRule="exact"/>
        <w:ind w:left="1080" w:leftChars="257" w:hanging="540"/>
        <w:rPr>
          <w:rFonts w:ascii="宋体" w:hAnsi="宋体"/>
          <w:sz w:val="24"/>
          <w:szCs w:val="20"/>
        </w:rPr>
      </w:pPr>
      <w:r>
        <w:rPr>
          <w:rFonts w:hint="eastAsia" w:ascii="宋体" w:hAnsi="宋体"/>
          <w:sz w:val="24"/>
          <w:szCs w:val="20"/>
        </w:rPr>
        <w:t>地址：</w:t>
      </w:r>
      <w:r>
        <w:rPr>
          <w:rFonts w:hint="eastAsia" w:ascii="宋体" w:hAnsi="宋体"/>
          <w:sz w:val="24"/>
          <w:szCs w:val="20"/>
          <w:u w:val="single"/>
        </w:rPr>
        <w:t xml:space="preserve">                         </w:t>
      </w:r>
      <w:r>
        <w:rPr>
          <w:rFonts w:hint="eastAsia" w:ascii="宋体" w:hAnsi="宋体"/>
          <w:sz w:val="24"/>
          <w:szCs w:val="20"/>
        </w:rPr>
        <w:t xml:space="preserve">     传真：</w:t>
      </w:r>
      <w:r>
        <w:rPr>
          <w:rFonts w:hint="eastAsia" w:ascii="宋体" w:hAnsi="宋体"/>
          <w:sz w:val="24"/>
          <w:szCs w:val="20"/>
          <w:u w:val="single"/>
        </w:rPr>
        <w:t xml:space="preserve">                             </w:t>
      </w:r>
    </w:p>
    <w:p>
      <w:pPr>
        <w:tabs>
          <w:tab w:val="left" w:pos="5580"/>
        </w:tabs>
        <w:spacing w:line="560" w:lineRule="exact"/>
        <w:ind w:left="1080" w:leftChars="257" w:hanging="540"/>
        <w:rPr>
          <w:rFonts w:ascii="宋体" w:hAnsi="宋体"/>
          <w:b/>
          <w:sz w:val="24"/>
          <w:szCs w:val="20"/>
        </w:rPr>
      </w:pPr>
      <w:r>
        <w:rPr>
          <w:rFonts w:hint="eastAsia" w:ascii="宋体" w:hAnsi="宋体"/>
          <w:sz w:val="24"/>
          <w:szCs w:val="20"/>
        </w:rPr>
        <w:t>电话：</w:t>
      </w:r>
      <w:r>
        <w:rPr>
          <w:rFonts w:hint="eastAsia" w:ascii="宋体" w:hAnsi="宋体"/>
          <w:sz w:val="24"/>
          <w:szCs w:val="20"/>
          <w:u w:val="single"/>
        </w:rPr>
        <w:t xml:space="preserve">                         </w:t>
      </w:r>
      <w:r>
        <w:rPr>
          <w:rFonts w:hint="eastAsia" w:ascii="宋体" w:hAnsi="宋体"/>
          <w:sz w:val="24"/>
          <w:szCs w:val="20"/>
        </w:rPr>
        <w:t xml:space="preserve">     电子函件：</w:t>
      </w:r>
      <w:r>
        <w:rPr>
          <w:rFonts w:hint="eastAsia" w:ascii="宋体" w:hAnsi="宋体"/>
          <w:sz w:val="24"/>
          <w:szCs w:val="20"/>
          <w:u w:val="single"/>
        </w:rPr>
        <w:t xml:space="preserve">                         </w:t>
      </w:r>
    </w:p>
    <w:p>
      <w:pPr>
        <w:tabs>
          <w:tab w:val="left" w:pos="5580"/>
        </w:tabs>
        <w:spacing w:line="560" w:lineRule="exact"/>
        <w:ind w:left="1080" w:leftChars="257" w:hanging="540"/>
        <w:rPr>
          <w:rFonts w:ascii="宋体" w:hAnsi="宋体"/>
          <w:sz w:val="24"/>
          <w:szCs w:val="20"/>
        </w:rPr>
      </w:pPr>
    </w:p>
    <w:p>
      <w:pPr>
        <w:pStyle w:val="12"/>
        <w:autoSpaceDE w:val="0"/>
        <w:spacing w:line="560" w:lineRule="exact"/>
        <w:rPr>
          <w:rFonts w:hAnsi="宋体" w:cs="MingLiU_HKSCS"/>
          <w:sz w:val="24"/>
          <w:szCs w:val="24"/>
        </w:rPr>
      </w:pPr>
      <w:r>
        <w:rPr>
          <w:rFonts w:hint="eastAsia" w:hAnsi="宋体"/>
          <w:sz w:val="24"/>
          <w:szCs w:val="24"/>
        </w:rPr>
        <w:t>供应商名称(公章)：______________</w:t>
      </w:r>
    </w:p>
    <w:p>
      <w:pPr>
        <w:pStyle w:val="12"/>
        <w:autoSpaceDE w:val="0"/>
        <w:spacing w:line="560" w:lineRule="exact"/>
        <w:rPr>
          <w:rFonts w:hAnsi="宋体" w:cs="MingLiU_HKSCS"/>
          <w:sz w:val="24"/>
          <w:szCs w:val="24"/>
        </w:rPr>
      </w:pPr>
      <w:r>
        <w:rPr>
          <w:rFonts w:hint="eastAsia" w:hAnsi="宋体"/>
          <w:sz w:val="24"/>
          <w:szCs w:val="24"/>
        </w:rPr>
        <w:t>法定代表人（非法人组织的负责人）或其授权代表(签章)：_______</w:t>
      </w:r>
    </w:p>
    <w:p>
      <w:pPr>
        <w:pStyle w:val="12"/>
        <w:autoSpaceDE w:val="0"/>
        <w:spacing w:line="560" w:lineRule="exact"/>
        <w:rPr>
          <w:rFonts w:hAnsi="宋体" w:cs="宋体"/>
          <w:sz w:val="24"/>
          <w:szCs w:val="24"/>
        </w:rPr>
      </w:pPr>
      <w:r>
        <w:rPr>
          <w:rFonts w:hint="eastAsia" w:hAnsi="宋体"/>
          <w:sz w:val="24"/>
          <w:szCs w:val="24"/>
        </w:rPr>
        <w:t xml:space="preserve">日期：______年____月____日 </w:t>
      </w:r>
    </w:p>
    <w:p>
      <w:pPr>
        <w:pStyle w:val="5"/>
        <w:spacing w:line="560" w:lineRule="exact"/>
        <w:rPr>
          <w:rFonts w:hAnsi="宋体" w:cs="宋体"/>
          <w:u w:val="none"/>
        </w:rPr>
      </w:pPr>
    </w:p>
    <w:p>
      <w:pPr>
        <w:pStyle w:val="5"/>
        <w:spacing w:line="560" w:lineRule="exact"/>
        <w:rPr>
          <w:rFonts w:hAnsi="宋体" w:cs="宋体"/>
          <w:u w:val="none"/>
        </w:rPr>
      </w:pPr>
    </w:p>
    <w:p>
      <w:pPr>
        <w:pStyle w:val="5"/>
        <w:spacing w:line="560" w:lineRule="exact"/>
        <w:rPr>
          <w:rFonts w:hAnsi="宋体" w:cs="宋体"/>
          <w:u w:val="none"/>
        </w:rPr>
      </w:pPr>
    </w:p>
    <w:p>
      <w:pPr>
        <w:pStyle w:val="5"/>
        <w:spacing w:line="560" w:lineRule="exact"/>
        <w:rPr>
          <w:rFonts w:hAnsi="宋体" w:cs="宋体"/>
          <w:u w:val="none"/>
        </w:rPr>
      </w:pPr>
    </w:p>
    <w:p>
      <w:pPr>
        <w:spacing w:line="560" w:lineRule="exact"/>
        <w:rPr>
          <w:rFonts w:hAnsi="宋体" w:cs="宋体"/>
        </w:rPr>
      </w:pPr>
    </w:p>
    <w:p>
      <w:pPr>
        <w:pStyle w:val="5"/>
        <w:spacing w:line="560" w:lineRule="exact"/>
        <w:rPr>
          <w:rFonts w:hAnsi="宋体" w:cs="宋体"/>
          <w:u w:val="none"/>
        </w:rPr>
      </w:pPr>
    </w:p>
    <w:p>
      <w:pPr>
        <w:spacing w:line="560" w:lineRule="exact"/>
        <w:rPr>
          <w:rFonts w:hAnsi="宋体" w:cs="宋体"/>
        </w:rPr>
      </w:pPr>
    </w:p>
    <w:p>
      <w:pPr>
        <w:pStyle w:val="5"/>
        <w:spacing w:line="560" w:lineRule="exact"/>
        <w:rPr>
          <w:rFonts w:hAnsi="宋体" w:cs="宋体"/>
          <w:u w:val="none"/>
        </w:rPr>
      </w:pPr>
    </w:p>
    <w:p>
      <w:pPr>
        <w:spacing w:line="560" w:lineRule="exact"/>
        <w:rPr>
          <w:rFonts w:hAnsi="宋体" w:cs="宋体"/>
        </w:rPr>
      </w:pPr>
    </w:p>
    <w:p>
      <w:pPr>
        <w:pStyle w:val="5"/>
        <w:spacing w:line="560" w:lineRule="exact"/>
        <w:rPr>
          <w:rFonts w:hAnsi="宋体" w:cs="宋体"/>
          <w:u w:val="none"/>
        </w:rPr>
      </w:pPr>
      <w:bookmarkStart w:id="409" w:name="_Toc4863"/>
      <w:r>
        <w:rPr>
          <w:rFonts w:hint="eastAsia" w:hAnsi="宋体" w:cs="宋体"/>
          <w:u w:val="none"/>
        </w:rPr>
        <w:t>7.报价明细表</w:t>
      </w:r>
    </w:p>
    <w:p>
      <w:pPr>
        <w:pStyle w:val="5"/>
        <w:spacing w:line="560" w:lineRule="exact"/>
        <w:jc w:val="center"/>
        <w:rPr>
          <w:rFonts w:hAnsi="宋体" w:cs="宋体"/>
          <w:u w:val="none"/>
        </w:rPr>
      </w:pPr>
      <w:r>
        <w:rPr>
          <w:rFonts w:hint="eastAsia" w:hAnsi="宋体" w:cs="宋体"/>
          <w:u w:val="none"/>
        </w:rPr>
        <w:t>报价明细表</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8"/>
        <w:gridCol w:w="1018"/>
        <w:gridCol w:w="1018"/>
        <w:gridCol w:w="1018"/>
        <w:gridCol w:w="1018"/>
        <w:gridCol w:w="1019"/>
        <w:gridCol w:w="1019"/>
        <w:gridCol w:w="1019"/>
        <w:gridCol w:w="10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tcPr>
          <w:p>
            <w:pPr>
              <w:pStyle w:val="5"/>
              <w:spacing w:line="560" w:lineRule="exact"/>
              <w:jc w:val="center"/>
              <w:outlineLvl w:val="2"/>
              <w:rPr>
                <w:rFonts w:hAnsi="宋体" w:cs="宋体"/>
                <w:sz w:val="21"/>
                <w:szCs w:val="21"/>
                <w:u w:val="none"/>
              </w:rPr>
            </w:pPr>
            <w:r>
              <w:rPr>
                <w:rFonts w:hint="eastAsia" w:hAnsi="宋体" w:cs="宋体"/>
                <w:sz w:val="21"/>
                <w:szCs w:val="21"/>
                <w:u w:val="none"/>
              </w:rPr>
              <w:t>序号</w:t>
            </w:r>
          </w:p>
        </w:tc>
        <w:tc>
          <w:tcPr>
            <w:tcW w:w="1018" w:type="dxa"/>
          </w:tcPr>
          <w:p>
            <w:pPr>
              <w:pStyle w:val="5"/>
              <w:spacing w:line="560" w:lineRule="exact"/>
              <w:jc w:val="both"/>
              <w:outlineLvl w:val="2"/>
              <w:rPr>
                <w:rFonts w:hAnsi="宋体" w:cs="宋体"/>
                <w:sz w:val="21"/>
                <w:szCs w:val="21"/>
                <w:u w:val="none"/>
              </w:rPr>
            </w:pPr>
            <w:r>
              <w:rPr>
                <w:rFonts w:hint="eastAsia" w:hAnsi="宋体" w:cs="宋体"/>
                <w:sz w:val="21"/>
                <w:szCs w:val="21"/>
                <w:u w:val="none"/>
              </w:rPr>
              <w:t>名称</w:t>
            </w:r>
          </w:p>
        </w:tc>
        <w:tc>
          <w:tcPr>
            <w:tcW w:w="1018" w:type="dxa"/>
          </w:tcPr>
          <w:p>
            <w:pPr>
              <w:pStyle w:val="5"/>
              <w:spacing w:line="560" w:lineRule="exact"/>
              <w:jc w:val="center"/>
              <w:outlineLvl w:val="2"/>
              <w:rPr>
                <w:rFonts w:hAnsi="宋体" w:cs="宋体"/>
                <w:sz w:val="21"/>
                <w:szCs w:val="21"/>
                <w:u w:val="none"/>
              </w:rPr>
            </w:pPr>
            <w:r>
              <w:rPr>
                <w:rFonts w:hint="eastAsia" w:hAnsi="宋体" w:cs="宋体"/>
                <w:sz w:val="21"/>
                <w:szCs w:val="21"/>
                <w:u w:val="none"/>
              </w:rPr>
              <w:t>数量</w:t>
            </w:r>
          </w:p>
        </w:tc>
        <w:tc>
          <w:tcPr>
            <w:tcW w:w="1018" w:type="dxa"/>
          </w:tcPr>
          <w:p>
            <w:pPr>
              <w:pStyle w:val="5"/>
              <w:spacing w:line="560" w:lineRule="exact"/>
              <w:jc w:val="center"/>
              <w:outlineLvl w:val="2"/>
              <w:rPr>
                <w:rFonts w:hAnsi="宋体" w:cs="宋体"/>
                <w:sz w:val="21"/>
                <w:szCs w:val="21"/>
                <w:u w:val="none"/>
              </w:rPr>
            </w:pPr>
            <w:r>
              <w:rPr>
                <w:rFonts w:hint="eastAsia" w:hAnsi="宋体" w:cs="宋体"/>
                <w:sz w:val="21"/>
                <w:szCs w:val="21"/>
                <w:u w:val="none"/>
              </w:rPr>
              <w:t>综合单价</w:t>
            </w:r>
          </w:p>
        </w:tc>
        <w:tc>
          <w:tcPr>
            <w:tcW w:w="1018" w:type="dxa"/>
          </w:tcPr>
          <w:p>
            <w:pPr>
              <w:pStyle w:val="5"/>
              <w:spacing w:line="560" w:lineRule="exact"/>
              <w:jc w:val="center"/>
              <w:outlineLvl w:val="2"/>
              <w:rPr>
                <w:rFonts w:hAnsi="宋体" w:cs="宋体"/>
                <w:sz w:val="21"/>
                <w:szCs w:val="21"/>
                <w:u w:val="none"/>
              </w:rPr>
            </w:pPr>
            <w:r>
              <w:rPr>
                <w:rFonts w:hint="eastAsia" w:hAnsi="宋体" w:cs="宋体"/>
                <w:sz w:val="21"/>
                <w:szCs w:val="21"/>
                <w:u w:val="none"/>
              </w:rPr>
              <w:t>小计</w:t>
            </w:r>
          </w:p>
        </w:tc>
        <w:tc>
          <w:tcPr>
            <w:tcW w:w="1019" w:type="dxa"/>
          </w:tcPr>
          <w:p>
            <w:pPr>
              <w:pStyle w:val="5"/>
              <w:spacing w:line="560" w:lineRule="exact"/>
              <w:jc w:val="center"/>
              <w:outlineLvl w:val="2"/>
              <w:rPr>
                <w:rFonts w:hAnsi="宋体" w:cs="宋体"/>
                <w:sz w:val="21"/>
                <w:szCs w:val="21"/>
                <w:u w:val="none"/>
              </w:rPr>
            </w:pPr>
            <w:r>
              <w:rPr>
                <w:rFonts w:hint="eastAsia" w:hAnsi="宋体" w:cs="宋体"/>
                <w:sz w:val="21"/>
                <w:szCs w:val="21"/>
                <w:u w:val="none"/>
              </w:rPr>
              <w:t>品牌</w:t>
            </w:r>
          </w:p>
        </w:tc>
        <w:tc>
          <w:tcPr>
            <w:tcW w:w="1019" w:type="dxa"/>
          </w:tcPr>
          <w:p>
            <w:pPr>
              <w:pStyle w:val="5"/>
              <w:spacing w:line="560" w:lineRule="exact"/>
              <w:jc w:val="center"/>
              <w:outlineLvl w:val="2"/>
              <w:rPr>
                <w:rFonts w:hAnsi="宋体" w:cs="宋体"/>
                <w:sz w:val="21"/>
                <w:szCs w:val="21"/>
                <w:u w:val="none"/>
              </w:rPr>
            </w:pPr>
            <w:r>
              <w:rPr>
                <w:rFonts w:hint="eastAsia" w:hAnsi="宋体" w:cs="宋体"/>
                <w:sz w:val="21"/>
                <w:szCs w:val="21"/>
                <w:u w:val="none"/>
              </w:rPr>
              <w:t>型号</w:t>
            </w:r>
          </w:p>
        </w:tc>
        <w:tc>
          <w:tcPr>
            <w:tcW w:w="1019" w:type="dxa"/>
          </w:tcPr>
          <w:p>
            <w:pPr>
              <w:pStyle w:val="5"/>
              <w:spacing w:line="560" w:lineRule="exact"/>
              <w:jc w:val="center"/>
              <w:outlineLvl w:val="2"/>
              <w:rPr>
                <w:rFonts w:hAnsi="宋体" w:cs="宋体"/>
                <w:sz w:val="21"/>
                <w:szCs w:val="21"/>
                <w:u w:val="none"/>
              </w:rPr>
            </w:pPr>
            <w:r>
              <w:rPr>
                <w:rFonts w:hint="eastAsia" w:hAnsi="宋体" w:cs="宋体"/>
                <w:sz w:val="21"/>
                <w:szCs w:val="21"/>
                <w:u w:val="none"/>
              </w:rPr>
              <w:t>产地</w:t>
            </w:r>
          </w:p>
        </w:tc>
        <w:tc>
          <w:tcPr>
            <w:tcW w:w="1019" w:type="dxa"/>
          </w:tcPr>
          <w:p>
            <w:pPr>
              <w:pStyle w:val="5"/>
              <w:spacing w:line="560" w:lineRule="exact"/>
              <w:jc w:val="center"/>
              <w:outlineLvl w:val="2"/>
              <w:rPr>
                <w:rFonts w:hAnsi="宋体" w:cs="宋体"/>
                <w:sz w:val="21"/>
                <w:szCs w:val="21"/>
                <w:u w:val="none"/>
              </w:rPr>
            </w:pPr>
            <w:r>
              <w:rPr>
                <w:rFonts w:hint="eastAsia" w:hAnsi="宋体" w:cs="宋体"/>
                <w:sz w:val="21"/>
                <w:szCs w:val="21"/>
                <w:u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1018" w:type="dxa"/>
          </w:tcPr>
          <w:p>
            <w:pPr>
              <w:pStyle w:val="5"/>
              <w:spacing w:line="560" w:lineRule="exact"/>
              <w:jc w:val="center"/>
              <w:outlineLvl w:val="2"/>
              <w:rPr>
                <w:rFonts w:hAnsi="宋体" w:cs="宋体"/>
                <w:u w:val="none"/>
              </w:rPr>
            </w:pPr>
            <w:r>
              <w:rPr>
                <w:rFonts w:hint="eastAsia" w:hAnsi="宋体" w:cs="宋体"/>
                <w:u w:val="none"/>
              </w:rPr>
              <w:t>1</w:t>
            </w: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8" w:type="dxa"/>
          </w:tcPr>
          <w:p>
            <w:pPr>
              <w:pStyle w:val="5"/>
              <w:spacing w:line="560" w:lineRule="exact"/>
              <w:jc w:val="center"/>
              <w:outlineLvl w:val="2"/>
              <w:rPr>
                <w:rFonts w:hAnsi="宋体" w:cs="宋体"/>
                <w:u w:val="none"/>
              </w:rPr>
            </w:pPr>
            <w:r>
              <w:rPr>
                <w:rFonts w:hint="eastAsia" w:hAnsi="宋体" w:cs="宋体"/>
                <w:u w:val="none"/>
              </w:rPr>
              <w:t>2</w:t>
            </w: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tcPr>
          <w:p>
            <w:pPr>
              <w:pStyle w:val="5"/>
              <w:spacing w:line="560" w:lineRule="exact"/>
              <w:jc w:val="center"/>
              <w:outlineLvl w:val="2"/>
              <w:rPr>
                <w:rFonts w:hAnsi="宋体" w:cs="宋体"/>
                <w:u w:val="none"/>
              </w:rPr>
            </w:pPr>
            <w:r>
              <w:rPr>
                <w:rFonts w:hint="eastAsia" w:hAnsi="宋体" w:cs="宋体"/>
                <w:u w:val="none"/>
              </w:rPr>
              <w:t>3</w:t>
            </w: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tcPr>
          <w:p>
            <w:pPr>
              <w:pStyle w:val="5"/>
              <w:spacing w:line="560" w:lineRule="exact"/>
              <w:jc w:val="center"/>
              <w:outlineLvl w:val="2"/>
              <w:rPr>
                <w:rFonts w:hAnsi="宋体" w:cs="宋体"/>
                <w:u w:val="none"/>
              </w:rPr>
            </w:pPr>
            <w:r>
              <w:rPr>
                <w:rFonts w:hint="eastAsia" w:hAnsi="宋体" w:cs="宋体"/>
                <w:u w:val="none"/>
              </w:rPr>
              <w:t>...</w:t>
            </w: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tcPr>
          <w:p>
            <w:pPr>
              <w:pStyle w:val="5"/>
              <w:spacing w:line="560" w:lineRule="exact"/>
              <w:jc w:val="center"/>
              <w:outlineLvl w:val="2"/>
              <w:rPr>
                <w:rFonts w:hAnsi="宋体" w:cs="宋体"/>
                <w:u w:val="none"/>
              </w:rPr>
            </w:pPr>
            <w:r>
              <w:rPr>
                <w:rFonts w:hint="eastAsia" w:hAnsi="宋体" w:cs="宋体"/>
                <w:u w:val="none"/>
              </w:rPr>
              <w:t>合计：</w:t>
            </w: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r>
    </w:tbl>
    <w:p>
      <w:pPr>
        <w:widowControl/>
        <w:spacing w:before="100" w:beforeAutospacing="1" w:after="100" w:afterAutospacing="1" w:line="560" w:lineRule="exact"/>
        <w:ind w:firstLine="480"/>
        <w:jc w:val="left"/>
        <w:rPr>
          <w:rFonts w:ascii="宋体" w:hAnsi="宋体" w:cs="宋体"/>
          <w:kern w:val="0"/>
          <w:sz w:val="24"/>
        </w:rPr>
      </w:pPr>
      <w:r>
        <w:rPr>
          <w:rFonts w:hint="eastAsia" w:ascii="宋体" w:hAnsi="宋体" w:cs="宋体"/>
          <w:kern w:val="0"/>
          <w:sz w:val="24"/>
        </w:rPr>
        <w:t>供应商（公章）：</w:t>
      </w:r>
    </w:p>
    <w:p>
      <w:pPr>
        <w:widowControl/>
        <w:spacing w:before="100" w:beforeAutospacing="1" w:after="100" w:afterAutospacing="1" w:line="560" w:lineRule="exact"/>
        <w:ind w:firstLine="480"/>
        <w:jc w:val="left"/>
        <w:rPr>
          <w:rFonts w:ascii="宋体" w:hAnsi="宋体" w:cs="宋体"/>
          <w:kern w:val="0"/>
          <w:sz w:val="24"/>
        </w:rPr>
      </w:pPr>
      <w:r>
        <w:rPr>
          <w:rFonts w:hint="eastAsia" w:ascii="宋体" w:hAnsi="宋体"/>
          <w:sz w:val="24"/>
        </w:rPr>
        <w:t>法定代表人（</w:t>
      </w:r>
      <w:r>
        <w:rPr>
          <w:rFonts w:hint="eastAsia" w:ascii="宋体" w:hAnsi="宋体" w:cs="宋体"/>
          <w:sz w:val="24"/>
        </w:rPr>
        <w:t>非法人组织的负责人</w:t>
      </w:r>
      <w:r>
        <w:rPr>
          <w:rFonts w:hint="eastAsia" w:ascii="宋体" w:hAnsi="宋体"/>
          <w:sz w:val="24"/>
        </w:rPr>
        <w:t>）或其授权代表（签章）</w:t>
      </w:r>
      <w:r>
        <w:rPr>
          <w:rFonts w:hint="eastAsia" w:ascii="宋体" w:hAnsi="宋体" w:cs="宋体"/>
          <w:kern w:val="0"/>
          <w:sz w:val="24"/>
        </w:rPr>
        <w:t>：</w:t>
      </w:r>
    </w:p>
    <w:p>
      <w:pPr>
        <w:spacing w:line="560" w:lineRule="exact"/>
        <w:ind w:left="1080" w:leftChars="257" w:hanging="540"/>
        <w:rPr>
          <w:rFonts w:ascii="宋体" w:hAnsi="宋体"/>
          <w:kern w:val="0"/>
          <w:sz w:val="24"/>
          <w:szCs w:val="20"/>
        </w:rPr>
      </w:pPr>
      <w:r>
        <w:rPr>
          <w:rFonts w:hint="eastAsia" w:ascii="宋体" w:hAnsi="宋体" w:cs="宋体"/>
          <w:kern w:val="0"/>
          <w:sz w:val="24"/>
        </w:rPr>
        <w:t>日    期：      年   月   日</w:t>
      </w:r>
    </w:p>
    <w:p>
      <w:pPr>
        <w:pStyle w:val="5"/>
        <w:spacing w:line="560" w:lineRule="exact"/>
        <w:rPr>
          <w:rFonts w:hAnsi="宋体" w:cs="宋体"/>
          <w:u w:val="none"/>
        </w:rPr>
      </w:pPr>
    </w:p>
    <w:p/>
    <w:p>
      <w:pPr>
        <w:pStyle w:val="5"/>
        <w:spacing w:line="560" w:lineRule="exact"/>
        <w:rPr>
          <w:rFonts w:hAnsi="宋体" w:cs="宋体"/>
        </w:rPr>
      </w:pPr>
      <w:r>
        <w:rPr>
          <w:rFonts w:hint="eastAsia" w:hAnsi="宋体" w:cs="宋体"/>
          <w:u w:val="none"/>
        </w:rPr>
        <w:t>8.符合价格扣除条件的供应商需提供的资料</w:t>
      </w:r>
      <w:bookmarkEnd w:id="404"/>
      <w:bookmarkEnd w:id="405"/>
      <w:bookmarkEnd w:id="409"/>
    </w:p>
    <w:bookmarkEnd w:id="406"/>
    <w:bookmarkEnd w:id="407"/>
    <w:p>
      <w:pPr>
        <w:spacing w:line="560" w:lineRule="exact"/>
        <w:jc w:val="center"/>
        <w:rPr>
          <w:rFonts w:ascii="宋体" w:hAnsi="宋体" w:cs="宋体"/>
          <w:b/>
          <w:kern w:val="0"/>
          <w:sz w:val="24"/>
          <w:szCs w:val="20"/>
        </w:rPr>
      </w:pPr>
      <w:bookmarkStart w:id="410" w:name="_Toc518923120"/>
      <w:r>
        <w:rPr>
          <w:rFonts w:hint="eastAsia" w:ascii="宋体" w:hAnsi="宋体" w:cs="宋体"/>
          <w:b/>
          <w:kern w:val="0"/>
          <w:sz w:val="24"/>
          <w:szCs w:val="20"/>
        </w:rPr>
        <w:t>8.1</w:t>
      </w:r>
      <w:bookmarkEnd w:id="410"/>
      <w:r>
        <w:rPr>
          <w:rFonts w:hint="eastAsia" w:ascii="宋体" w:hAnsi="宋体" w:cs="宋体"/>
          <w:b/>
          <w:kern w:val="0"/>
          <w:sz w:val="24"/>
          <w:szCs w:val="20"/>
        </w:rPr>
        <w:t>中小企业声明函</w:t>
      </w:r>
    </w:p>
    <w:p>
      <w:pPr>
        <w:spacing w:line="560" w:lineRule="exact"/>
        <w:ind w:left="1080" w:leftChars="257" w:hanging="540"/>
        <w:jc w:val="center"/>
        <w:rPr>
          <w:rFonts w:ascii="宋体" w:hAnsi="宋体" w:cs="宋体"/>
          <w:b/>
          <w:kern w:val="0"/>
          <w:sz w:val="24"/>
          <w:szCs w:val="20"/>
        </w:rPr>
      </w:pPr>
    </w:p>
    <w:p>
      <w:pPr>
        <w:pStyle w:val="9"/>
        <w:spacing w:before="55" w:line="560" w:lineRule="exact"/>
        <w:ind w:right="415" w:firstLine="640"/>
        <w:rPr>
          <w:rFonts w:asciiTheme="minorEastAsia" w:hAnsiTheme="minorEastAsia" w:eastAsiaTheme="minorEastAsia" w:cstheme="minorEastAsia"/>
          <w:spacing w:val="-2"/>
        </w:rPr>
      </w:pPr>
      <w:r>
        <w:rPr>
          <w:rFonts w:hint="eastAsia" w:asciiTheme="minorEastAsia" w:hAnsiTheme="minorEastAsia" w:eastAsiaTheme="minorEastAsia" w:cstheme="minorEastAsia"/>
          <w:spacing w:val="-2"/>
        </w:rPr>
        <w:t>本公司</w:t>
      </w:r>
      <w:r>
        <w:rPr>
          <w:rFonts w:hint="eastAsia" w:asciiTheme="minorEastAsia" w:hAnsiTheme="minorEastAsia" w:eastAsiaTheme="minorEastAsia" w:cstheme="minorEastAsia"/>
        </w:rPr>
        <w:t>（联合体</w:t>
      </w:r>
      <w:r>
        <w:rPr>
          <w:rFonts w:hint="eastAsia" w:asciiTheme="minorEastAsia" w:hAnsiTheme="minorEastAsia" w:eastAsiaTheme="minorEastAsia" w:cstheme="minorEastAsia"/>
          <w:spacing w:val="-5"/>
        </w:rPr>
        <w:t>）</w:t>
      </w:r>
      <w:r>
        <w:rPr>
          <w:rFonts w:hint="eastAsia" w:asciiTheme="minorEastAsia" w:hAnsiTheme="minorEastAsia" w:eastAsiaTheme="minorEastAsia" w:cstheme="minorEastAsia"/>
          <w:spacing w:val="-2"/>
        </w:rPr>
        <w:t>郑重声明，根据《政府采购促进中小</w:t>
      </w:r>
      <w:r>
        <w:rPr>
          <w:rFonts w:hint="eastAsia" w:asciiTheme="minorEastAsia" w:hAnsiTheme="minorEastAsia" w:eastAsiaTheme="minorEastAsia" w:cstheme="minorEastAsia"/>
          <w:spacing w:val="-18"/>
        </w:rPr>
        <w:t>企业发展管理办法》</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5"/>
        </w:rPr>
        <w:t>财库</w:t>
      </w:r>
      <w:r>
        <w:rPr>
          <w:rFonts w:hint="eastAsia" w:asciiTheme="minorEastAsia" w:hAnsiTheme="minorEastAsia" w:eastAsiaTheme="minorEastAsia" w:cstheme="minorEastAsia"/>
        </w:rPr>
        <w:t>﹝2020﹞46</w:t>
      </w:r>
      <w:r>
        <w:rPr>
          <w:rFonts w:hint="eastAsia" w:asciiTheme="minorEastAsia" w:hAnsiTheme="minorEastAsia" w:eastAsiaTheme="minorEastAsia" w:cstheme="minorEastAsia"/>
          <w:spacing w:val="-38"/>
        </w:rPr>
        <w:t xml:space="preserve"> 号</w:t>
      </w:r>
      <w:r>
        <w:rPr>
          <w:rFonts w:hint="eastAsia" w:asciiTheme="minorEastAsia" w:hAnsiTheme="minorEastAsia" w:eastAsiaTheme="minorEastAsia" w:cstheme="minorEastAsia"/>
          <w:spacing w:val="5"/>
        </w:rPr>
        <w:t>）</w:t>
      </w:r>
      <w:r>
        <w:rPr>
          <w:rFonts w:hint="eastAsia" w:asciiTheme="minorEastAsia" w:hAnsiTheme="minorEastAsia" w:eastAsiaTheme="minorEastAsia" w:cstheme="minorEastAsia"/>
        </w:rPr>
        <w:t>的规定，本公司（联合体）</w:t>
      </w:r>
      <w:r>
        <w:rPr>
          <w:rFonts w:hint="eastAsia" w:asciiTheme="minorEastAsia" w:hAnsiTheme="minorEastAsia" w:eastAsiaTheme="minorEastAsia" w:cstheme="minorEastAsia"/>
          <w:spacing w:val="-8"/>
        </w:rPr>
        <w:t>参加</w:t>
      </w:r>
      <w:r>
        <w:rPr>
          <w:rFonts w:hint="eastAsia" w:asciiTheme="minorEastAsia" w:hAnsiTheme="minorEastAsia" w:eastAsiaTheme="minorEastAsia" w:cstheme="minorEastAsia"/>
          <w:spacing w:val="-8"/>
          <w:u w:val="single"/>
        </w:rPr>
        <w:t>（单位名称）</w:t>
      </w:r>
      <w:r>
        <w:rPr>
          <w:rFonts w:hint="eastAsia" w:asciiTheme="minorEastAsia" w:hAnsiTheme="minorEastAsia" w:eastAsiaTheme="minorEastAsia" w:cstheme="minorEastAsia"/>
          <w:spacing w:val="-8"/>
        </w:rPr>
        <w:t>的</w:t>
      </w:r>
      <w:r>
        <w:rPr>
          <w:rFonts w:hint="eastAsia" w:asciiTheme="minorEastAsia" w:hAnsiTheme="minorEastAsia" w:eastAsiaTheme="minorEastAsia" w:cstheme="minorEastAsia"/>
          <w:spacing w:val="-8"/>
          <w:u w:val="single"/>
        </w:rPr>
        <w:t>（项目名称）</w:t>
      </w:r>
      <w:r>
        <w:rPr>
          <w:rFonts w:hint="eastAsia" w:asciiTheme="minorEastAsia" w:hAnsiTheme="minorEastAsia" w:eastAsiaTheme="minorEastAsia" w:cstheme="minorEastAsia"/>
          <w:spacing w:val="-8"/>
        </w:rPr>
        <w:t>采</w:t>
      </w:r>
      <w:r>
        <w:rPr>
          <w:rFonts w:hint="eastAsia" w:asciiTheme="minorEastAsia" w:hAnsiTheme="minorEastAsia" w:eastAsiaTheme="minorEastAsia" w:cstheme="minorEastAsia"/>
          <w:spacing w:val="-1"/>
        </w:rPr>
        <w:t>购</w:t>
      </w:r>
      <w:r>
        <w:rPr>
          <w:rFonts w:hint="eastAsia" w:asciiTheme="minorEastAsia" w:hAnsiTheme="minorEastAsia" w:eastAsiaTheme="minorEastAsia" w:cstheme="minorEastAsia"/>
          <w:spacing w:val="-2"/>
        </w:rPr>
        <w:t>活动，提供的货物全部由符合政策要求的中小企业制造。相关企业（含联合体中的中小企业、签订分包意向协议的中小企业） 的具体情况如下：</w:t>
      </w:r>
    </w:p>
    <w:p>
      <w:pPr>
        <w:pStyle w:val="36"/>
        <w:numPr>
          <w:ilvl w:val="0"/>
          <w:numId w:val="3"/>
        </w:numPr>
        <w:tabs>
          <w:tab w:val="left" w:pos="1183"/>
          <w:tab w:val="left" w:pos="1484"/>
          <w:tab w:val="left" w:pos="4662"/>
          <w:tab w:val="left" w:pos="6903"/>
        </w:tabs>
        <w:spacing w:line="560" w:lineRule="exact"/>
        <w:ind w:right="169" w:firstLine="480"/>
        <w:rPr>
          <w:rFonts w:asciiTheme="minorEastAsia" w:hAnsiTheme="minorEastAsia" w:eastAsiaTheme="minorEastAsia" w:cstheme="minorEastAsia"/>
        </w:rPr>
      </w:pPr>
      <w:r>
        <w:rPr>
          <w:rFonts w:hint="eastAsia" w:asciiTheme="minorEastAsia" w:hAnsiTheme="minorEastAsia" w:eastAsiaTheme="minorEastAsia" w:cstheme="minorEastAsia"/>
          <w:u w:val="single"/>
          <w:lang w:val="zh-CN" w:bidi="zh-CN"/>
        </w:rPr>
        <w:t xml:space="preserve"> （标的名称）</w:t>
      </w:r>
      <w:r>
        <w:rPr>
          <w:rFonts w:hint="eastAsia" w:asciiTheme="minorEastAsia" w:hAnsiTheme="minorEastAsia" w:eastAsiaTheme="minorEastAsia" w:cstheme="minorEastAsia"/>
          <w:spacing w:val="-38"/>
          <w:w w:val="95"/>
        </w:rPr>
        <w:t xml:space="preserve"> </w:t>
      </w:r>
      <w:r>
        <w:rPr>
          <w:rFonts w:hint="eastAsia" w:asciiTheme="minorEastAsia" w:hAnsiTheme="minorEastAsia" w:eastAsiaTheme="minorEastAsia" w:cstheme="minorEastAsia"/>
          <w:spacing w:val="-43"/>
          <w:w w:val="95"/>
        </w:rPr>
        <w:t>，</w:t>
      </w:r>
      <w:r>
        <w:rPr>
          <w:rFonts w:hint="eastAsia" w:asciiTheme="minorEastAsia" w:hAnsiTheme="minorEastAsia" w:eastAsiaTheme="minorEastAsia" w:cstheme="minorEastAsia"/>
          <w:spacing w:val="-2"/>
          <w:kern w:val="2"/>
        </w:rPr>
        <w:t>属于</w:t>
      </w:r>
      <w:r>
        <w:rPr>
          <w:rFonts w:hint="eastAsia" w:asciiTheme="minorEastAsia" w:hAnsiTheme="minorEastAsia" w:eastAsiaTheme="minorEastAsia" w:cstheme="minorEastAsia"/>
          <w:u w:val="single"/>
          <w:lang w:val="zh-CN" w:bidi="zh-CN"/>
        </w:rPr>
        <w:t>（</w:t>
      </w:r>
      <w:r>
        <w:rPr>
          <w:rFonts w:hint="eastAsia" w:asciiTheme="minorEastAsia" w:hAnsiTheme="minorEastAsia" w:eastAsiaTheme="minorEastAsia" w:cstheme="minorEastAsia"/>
          <w:u w:val="single"/>
          <w:lang w:bidi="zh-CN"/>
        </w:rPr>
        <w:t>竞争性谈判</w:t>
      </w:r>
      <w:r>
        <w:rPr>
          <w:rFonts w:hint="eastAsia" w:asciiTheme="minorEastAsia" w:hAnsiTheme="minorEastAsia" w:eastAsiaTheme="minorEastAsia" w:cstheme="minorEastAsia"/>
          <w:u w:val="single"/>
          <w:lang w:val="zh-CN" w:bidi="zh-CN"/>
        </w:rPr>
        <w:t>文件中明确的所属行业）</w:t>
      </w:r>
      <w:r>
        <w:rPr>
          <w:rFonts w:hint="eastAsia" w:asciiTheme="minorEastAsia" w:hAnsiTheme="minorEastAsia" w:eastAsiaTheme="minorEastAsia" w:cstheme="minorEastAsia"/>
          <w:spacing w:val="7"/>
          <w:w w:val="95"/>
        </w:rPr>
        <w:t>；</w:t>
      </w:r>
      <w:r>
        <w:rPr>
          <w:rFonts w:hint="eastAsia" w:asciiTheme="minorEastAsia" w:hAnsiTheme="minorEastAsia" w:eastAsiaTheme="minorEastAsia" w:cstheme="minorEastAsia"/>
          <w:spacing w:val="-2"/>
          <w:kern w:val="2"/>
        </w:rPr>
        <w:t>制造商为</w:t>
      </w:r>
      <w:r>
        <w:rPr>
          <w:rFonts w:hint="eastAsia" w:asciiTheme="minorEastAsia" w:hAnsiTheme="minorEastAsia" w:eastAsiaTheme="minorEastAsia" w:cstheme="minorEastAsia"/>
          <w:u w:val="single"/>
          <w:lang w:val="zh-CN" w:bidi="zh-CN"/>
        </w:rPr>
        <w:t>（企业名称）</w:t>
      </w:r>
      <w:r>
        <w:rPr>
          <w:rFonts w:hint="eastAsia" w:asciiTheme="minorEastAsia" w:hAnsiTheme="minorEastAsia" w:eastAsiaTheme="minorEastAsia" w:cstheme="minorEastAsia"/>
          <w:spacing w:val="11"/>
          <w:w w:val="95"/>
          <w:u w:val="single"/>
          <w:lang w:val="zh-CN" w:bidi="zh-CN"/>
        </w:rPr>
        <w:t>，</w:t>
      </w:r>
      <w:r>
        <w:rPr>
          <w:rFonts w:hint="eastAsia" w:asciiTheme="minorEastAsia" w:hAnsiTheme="minorEastAsia" w:eastAsiaTheme="minorEastAsia" w:cstheme="minorEastAsia"/>
          <w:spacing w:val="-2"/>
          <w:kern w:val="2"/>
        </w:rPr>
        <w:t>从业人员</w:t>
      </w:r>
      <w:r>
        <w:rPr>
          <w:rFonts w:hint="eastAsia" w:asciiTheme="minorEastAsia" w:hAnsiTheme="minorEastAsia" w:eastAsiaTheme="minorEastAsia" w:cstheme="minorEastAsia"/>
          <w:w w:val="99"/>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7"/>
          <w:w w:val="99"/>
        </w:rPr>
        <w:t>人</w:t>
      </w:r>
      <w:r>
        <w:rPr>
          <w:rFonts w:hint="eastAsia" w:asciiTheme="minorEastAsia" w:hAnsiTheme="minorEastAsia" w:eastAsiaTheme="minorEastAsia" w:cstheme="minorEastAsia"/>
          <w:spacing w:val="5"/>
          <w:w w:val="99"/>
        </w:rPr>
        <w:t>，</w:t>
      </w:r>
      <w:r>
        <w:rPr>
          <w:rFonts w:hint="eastAsia" w:asciiTheme="minorEastAsia" w:hAnsiTheme="minorEastAsia" w:eastAsiaTheme="minorEastAsia" w:cstheme="minorEastAsia"/>
          <w:spacing w:val="-2"/>
          <w:kern w:val="2"/>
        </w:rPr>
        <w:t>营业收入为</w:t>
      </w:r>
      <w:r>
        <w:rPr>
          <w:rFonts w:hint="eastAsia" w:asciiTheme="minorEastAsia" w:hAnsiTheme="minorEastAsia" w:eastAsiaTheme="minorEastAsia" w:cstheme="minorEastAsia"/>
          <w:w w:val="99"/>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2"/>
          <w:kern w:val="2"/>
        </w:rPr>
        <w:t xml:space="preserve">万元，资产总额为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2"/>
          <w:kern w:val="2"/>
        </w:rPr>
        <w:t>万元，属于</w:t>
      </w:r>
      <w:r>
        <w:rPr>
          <w:rFonts w:hint="eastAsia" w:asciiTheme="minorEastAsia" w:hAnsiTheme="minorEastAsia" w:eastAsiaTheme="minorEastAsia" w:cstheme="minorEastAsia"/>
          <w:u w:val="single"/>
          <w:lang w:val="zh-CN" w:bidi="zh-CN"/>
        </w:rPr>
        <w:t>（中型企业、小型企业、微型企业</w:t>
      </w:r>
      <w:r>
        <w:rPr>
          <w:rFonts w:hint="eastAsia" w:asciiTheme="minorEastAsia" w:hAnsiTheme="minorEastAsia" w:eastAsiaTheme="minorEastAsia" w:cstheme="minorEastAsia"/>
          <w:u w:val="single"/>
          <w:lang w:bidi="zh-CN"/>
        </w:rPr>
        <w:t>）</w:t>
      </w:r>
      <w:r>
        <w:rPr>
          <w:rFonts w:hint="eastAsia" w:asciiTheme="minorEastAsia" w:hAnsiTheme="minorEastAsia" w:eastAsiaTheme="minorEastAsia" w:cstheme="minorEastAsia"/>
          <w:w w:val="99"/>
          <w:u w:val="single"/>
        </w:rPr>
        <w:t>；</w:t>
      </w:r>
    </w:p>
    <w:p>
      <w:pPr>
        <w:pStyle w:val="36"/>
        <w:numPr>
          <w:ilvl w:val="0"/>
          <w:numId w:val="3"/>
        </w:numPr>
        <w:tabs>
          <w:tab w:val="left" w:pos="1165"/>
          <w:tab w:val="left" w:pos="1183"/>
          <w:tab w:val="left" w:pos="4362"/>
          <w:tab w:val="left" w:pos="6577"/>
        </w:tabs>
        <w:spacing w:line="560" w:lineRule="exact"/>
        <w:ind w:right="169" w:firstLine="480"/>
        <w:rPr>
          <w:rFonts w:asciiTheme="minorEastAsia" w:hAnsiTheme="minorEastAsia" w:eastAsiaTheme="minorEastAsia" w:cstheme="minorEastAsia"/>
        </w:rPr>
      </w:pPr>
      <w:r>
        <w:rPr>
          <w:rFonts w:hint="eastAsia" w:asciiTheme="minorEastAsia" w:hAnsiTheme="minorEastAsia" w:eastAsiaTheme="minorEastAsia" w:cstheme="minorEastAsia"/>
          <w:u w:val="single"/>
          <w:lang w:val="zh-CN" w:bidi="zh-CN"/>
        </w:rPr>
        <w:t xml:space="preserve"> （标的名称）</w:t>
      </w:r>
      <w:r>
        <w:rPr>
          <w:rFonts w:hint="eastAsia" w:asciiTheme="minorEastAsia" w:hAnsiTheme="minorEastAsia" w:eastAsiaTheme="minorEastAsia" w:cstheme="minorEastAsia"/>
          <w:spacing w:val="-43"/>
        </w:rPr>
        <w:t>，</w:t>
      </w:r>
      <w:r>
        <w:rPr>
          <w:rFonts w:hint="eastAsia" w:asciiTheme="minorEastAsia" w:hAnsiTheme="minorEastAsia" w:eastAsiaTheme="minorEastAsia" w:cstheme="minorEastAsia"/>
          <w:spacing w:val="-2"/>
          <w:kern w:val="2"/>
        </w:rPr>
        <w:t>属于</w:t>
      </w:r>
      <w:r>
        <w:rPr>
          <w:rFonts w:hint="eastAsia" w:asciiTheme="minorEastAsia" w:hAnsiTheme="minorEastAsia" w:eastAsiaTheme="minorEastAsia" w:cstheme="minorEastAsia"/>
          <w:u w:val="single"/>
          <w:lang w:val="zh-CN" w:bidi="zh-CN"/>
        </w:rPr>
        <w:t>（</w:t>
      </w:r>
      <w:r>
        <w:rPr>
          <w:rFonts w:hint="eastAsia" w:asciiTheme="minorEastAsia" w:hAnsiTheme="minorEastAsia" w:eastAsiaTheme="minorEastAsia" w:cstheme="minorEastAsia"/>
          <w:u w:val="single"/>
          <w:lang w:bidi="zh-CN"/>
        </w:rPr>
        <w:t>竞争性谈判</w:t>
      </w:r>
      <w:r>
        <w:rPr>
          <w:rFonts w:hint="eastAsia" w:asciiTheme="minorEastAsia" w:hAnsiTheme="minorEastAsia" w:eastAsiaTheme="minorEastAsia" w:cstheme="minorEastAsia"/>
          <w:u w:val="single"/>
          <w:lang w:val="zh-CN" w:bidi="zh-CN"/>
        </w:rPr>
        <w:t>文件中明确的所属行业）</w:t>
      </w:r>
      <w:r>
        <w:rPr>
          <w:rFonts w:hint="eastAsia" w:asciiTheme="minorEastAsia" w:hAnsiTheme="minorEastAsia" w:eastAsiaTheme="minorEastAsia" w:cstheme="minorEastAsia"/>
          <w:spacing w:val="7"/>
          <w:w w:val="95"/>
        </w:rPr>
        <w:t>；</w:t>
      </w:r>
      <w:r>
        <w:rPr>
          <w:rFonts w:hint="eastAsia" w:asciiTheme="minorEastAsia" w:hAnsiTheme="minorEastAsia" w:eastAsiaTheme="minorEastAsia" w:cstheme="minorEastAsia"/>
          <w:spacing w:val="-2"/>
          <w:kern w:val="2"/>
        </w:rPr>
        <w:t>制造商为</w:t>
      </w:r>
      <w:r>
        <w:rPr>
          <w:rFonts w:hint="eastAsia" w:asciiTheme="minorEastAsia" w:hAnsiTheme="minorEastAsia" w:eastAsiaTheme="minorEastAsia" w:cstheme="minorEastAsia"/>
          <w:u w:val="single"/>
          <w:lang w:val="zh-CN" w:bidi="zh-CN"/>
        </w:rPr>
        <w:t>（企业名称），</w:t>
      </w:r>
      <w:r>
        <w:rPr>
          <w:rFonts w:hint="eastAsia" w:asciiTheme="minorEastAsia" w:hAnsiTheme="minorEastAsia" w:eastAsiaTheme="minorEastAsia" w:cstheme="minorEastAsia"/>
          <w:spacing w:val="-2"/>
          <w:kern w:val="2"/>
        </w:rPr>
        <w:t>从业人员</w:t>
      </w:r>
      <w:r>
        <w:rPr>
          <w:rFonts w:hint="eastAsia" w:asciiTheme="minorEastAsia" w:hAnsiTheme="minorEastAsia" w:eastAsiaTheme="minorEastAsia" w:cstheme="minorEastAsia"/>
          <w:w w:val="99"/>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2"/>
          <w:kern w:val="2"/>
        </w:rPr>
        <w:t>人，营业收入</w:t>
      </w:r>
      <w:r>
        <w:rPr>
          <w:rFonts w:hint="eastAsia" w:asciiTheme="minorEastAsia" w:hAnsiTheme="minorEastAsia" w:eastAsiaTheme="minorEastAsia" w:cstheme="minorEastAsia"/>
        </w:rPr>
        <w:t>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万元</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rPr>
        <w:t>资产总额为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万元</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rPr>
        <w:t>属</w:t>
      </w:r>
      <w:r>
        <w:rPr>
          <w:rFonts w:hint="eastAsia" w:asciiTheme="minorEastAsia" w:hAnsiTheme="minorEastAsia" w:eastAsiaTheme="minorEastAsia" w:cstheme="minorEastAsia"/>
          <w:spacing w:val="-17"/>
        </w:rPr>
        <w:t>于</w:t>
      </w:r>
      <w:r>
        <w:rPr>
          <w:rFonts w:hint="eastAsia" w:asciiTheme="minorEastAsia" w:hAnsiTheme="minorEastAsia" w:eastAsiaTheme="minorEastAsia" w:cstheme="minorEastAsia"/>
          <w:u w:val="single"/>
          <w:lang w:val="zh-CN" w:bidi="zh-CN"/>
        </w:rPr>
        <w:t>（中型企业、小型企业、微型企业</w:t>
      </w:r>
      <w:r>
        <w:rPr>
          <w:rFonts w:hint="eastAsia" w:asciiTheme="minorEastAsia" w:hAnsiTheme="minorEastAsia" w:eastAsiaTheme="minorEastAsia" w:cstheme="minorEastAsia"/>
          <w:u w:val="single"/>
          <w:lang w:bidi="zh-CN"/>
        </w:rPr>
        <w:t>）</w:t>
      </w:r>
      <w:r>
        <w:rPr>
          <w:rFonts w:hint="eastAsia" w:asciiTheme="minorEastAsia" w:hAnsiTheme="minorEastAsia" w:eastAsiaTheme="minorEastAsia" w:cstheme="minorEastAsia"/>
          <w:w w:val="99"/>
          <w:u w:val="single"/>
        </w:rPr>
        <w:t>；</w:t>
      </w:r>
    </w:p>
    <w:p>
      <w:pPr>
        <w:pStyle w:val="9"/>
        <w:spacing w:line="560" w:lineRule="exact"/>
        <w:ind w:left="860"/>
        <w:rPr>
          <w:rFonts w:asciiTheme="minorEastAsia" w:hAnsiTheme="minorEastAsia" w:eastAsiaTheme="minorEastAsia" w:cstheme="minorEastAsia"/>
        </w:rPr>
      </w:pPr>
      <w:r>
        <w:rPr>
          <w:rFonts w:hint="eastAsia" w:asciiTheme="minorEastAsia" w:hAnsiTheme="minorEastAsia" w:eastAsiaTheme="minorEastAsia" w:cstheme="minorEastAsia"/>
        </w:rPr>
        <w:t>……</w:t>
      </w:r>
    </w:p>
    <w:p>
      <w:pPr>
        <w:pStyle w:val="9"/>
        <w:spacing w:before="105" w:line="560" w:lineRule="exact"/>
        <w:ind w:right="417" w:firstLine="645"/>
        <w:rPr>
          <w:rFonts w:asciiTheme="minorEastAsia" w:hAnsiTheme="minorEastAsia" w:eastAsiaTheme="minorEastAsia" w:cstheme="minorEastAsia"/>
        </w:rPr>
      </w:pPr>
      <w:r>
        <w:rPr>
          <w:rFonts w:hint="eastAsia" w:asciiTheme="minorEastAsia" w:hAnsiTheme="minorEastAsia" w:eastAsiaTheme="minorEastAsia" w:cstheme="minorEastAsia"/>
          <w:spacing w:val="-3"/>
        </w:rPr>
        <w:t>以上企业，不属于大企业的分支机构，不存在控股股东</w:t>
      </w:r>
      <w:r>
        <w:rPr>
          <w:rFonts w:hint="eastAsia" w:asciiTheme="minorEastAsia" w:hAnsiTheme="minorEastAsia" w:eastAsiaTheme="minorEastAsia" w:cstheme="minorEastAsia"/>
          <w:spacing w:val="-5"/>
        </w:rPr>
        <w:t>为大企业的情形，也不存在与大企业的负责人为同一人的情形。</w:t>
      </w:r>
    </w:p>
    <w:p>
      <w:pPr>
        <w:pStyle w:val="9"/>
        <w:spacing w:line="560" w:lineRule="exact"/>
        <w:ind w:right="372" w:firstLine="645"/>
        <w:rPr>
          <w:rFonts w:asciiTheme="minorEastAsia" w:hAnsiTheme="minorEastAsia" w:eastAsiaTheme="minorEastAsia" w:cstheme="minorEastAsia"/>
        </w:rPr>
      </w:pPr>
      <w:r>
        <w:rPr>
          <w:rFonts w:hint="eastAsia" w:asciiTheme="minorEastAsia" w:hAnsiTheme="minorEastAsia" w:eastAsiaTheme="minorEastAsia" w:cstheme="minorEastAsia"/>
        </w:rPr>
        <w:t>本企业对上述声明内容的真实性负责。如有虚假，将依法承担相应责任。</w:t>
      </w:r>
    </w:p>
    <w:p>
      <w:pPr>
        <w:pStyle w:val="9"/>
        <w:spacing w:before="35" w:line="560" w:lineRule="exact"/>
        <w:ind w:left="4060" w:right="2166"/>
        <w:rPr>
          <w:rFonts w:asciiTheme="minorEastAsia" w:hAnsiTheme="minorEastAsia" w:eastAsiaTheme="minorEastAsia" w:cstheme="minorEastAsia"/>
          <w:spacing w:val="-2"/>
        </w:rPr>
      </w:pPr>
      <w:r>
        <w:rPr>
          <w:rFonts w:hint="eastAsia" w:asciiTheme="minorEastAsia" w:hAnsiTheme="minorEastAsia" w:eastAsiaTheme="minorEastAsia" w:cstheme="minorEastAsia"/>
          <w:spacing w:val="-2"/>
        </w:rPr>
        <w:t>企业名称（盖章）：</w:t>
      </w:r>
    </w:p>
    <w:p>
      <w:pPr>
        <w:pStyle w:val="9"/>
        <w:spacing w:before="35" w:line="560" w:lineRule="exact"/>
        <w:ind w:left="4060" w:right="2166"/>
        <w:rPr>
          <w:rFonts w:asciiTheme="minorEastAsia" w:hAnsiTheme="minorEastAsia" w:eastAsiaTheme="minorEastAsia" w:cstheme="minorEastAsia"/>
          <w:spacing w:val="-2"/>
        </w:rPr>
      </w:pPr>
      <w:r>
        <w:rPr>
          <w:rFonts w:hint="eastAsia" w:asciiTheme="minorEastAsia" w:hAnsiTheme="minorEastAsia" w:eastAsiaTheme="minorEastAsia" w:cstheme="minorEastAsia"/>
          <w:spacing w:val="-2"/>
        </w:rPr>
        <w:t>日期：</w:t>
      </w:r>
    </w:p>
    <w:p>
      <w:pPr>
        <w:spacing w:line="560" w:lineRule="exact"/>
        <w:rPr>
          <w:rFonts w:ascii="仿宋_GB2312" w:hAnsi="仿宋_GB2312" w:eastAsia="仿宋_GB2312" w:cs="仿宋_GB2312"/>
          <w:sz w:val="30"/>
          <w:szCs w:val="30"/>
        </w:rPr>
      </w:pPr>
    </w:p>
    <w:p>
      <w:pPr>
        <w:spacing w:line="560" w:lineRule="exact"/>
        <w:rPr>
          <w:rFonts w:asciiTheme="minorEastAsia" w:hAnsiTheme="minorEastAsia" w:eastAsiaTheme="minorEastAsia" w:cstheme="minorEastAsia"/>
          <w:sz w:val="24"/>
        </w:rPr>
        <w:sectPr>
          <w:headerReference r:id="rId9" w:type="default"/>
          <w:footerReference r:id="rId10" w:type="default"/>
          <w:pgSz w:w="11910" w:h="16840"/>
          <w:pgMar w:top="1500" w:right="1380" w:bottom="1780" w:left="1580" w:header="0" w:footer="1595" w:gutter="0"/>
          <w:cols w:space="720" w:num="1"/>
        </w:sectPr>
      </w:pPr>
      <w:r>
        <w:rPr>
          <w:rFonts w:hint="eastAsia" w:asciiTheme="minorEastAsia" w:hAnsiTheme="minorEastAsia" w:eastAsiaTheme="minorEastAsia" w:cstheme="minorEastAsia"/>
          <w:sz w:val="24"/>
        </w:rPr>
        <w:t>注：从业人员、营业收入、资产总额填报上一年度数据，无上一年度数据的新成立企业可不填报。</w:t>
      </w:r>
    </w:p>
    <w:p>
      <w:pPr>
        <w:spacing w:line="560" w:lineRule="exact"/>
        <w:ind w:left="1079" w:leftChars="257" w:hanging="540"/>
        <w:jc w:val="center"/>
        <w:rPr>
          <w:rFonts w:ascii="宋体" w:hAnsi="宋体" w:cs="宋体"/>
          <w:b/>
          <w:kern w:val="0"/>
          <w:sz w:val="24"/>
          <w:szCs w:val="20"/>
        </w:rPr>
      </w:pPr>
      <w:r>
        <w:rPr>
          <w:rFonts w:hint="eastAsia" w:ascii="宋体" w:hAnsi="宋体" w:cs="宋体"/>
          <w:b/>
          <w:kern w:val="0"/>
          <w:sz w:val="24"/>
          <w:szCs w:val="20"/>
        </w:rPr>
        <w:t>　</w:t>
      </w:r>
      <w:bookmarkStart w:id="411" w:name="_Toc515647825"/>
      <w:bookmarkStart w:id="412" w:name="_Toc24603"/>
      <w:bookmarkStart w:id="413" w:name="_Toc19284"/>
      <w:bookmarkStart w:id="414" w:name="_Toc23068"/>
      <w:bookmarkStart w:id="415" w:name="OLE_LINK14"/>
      <w:bookmarkStart w:id="416" w:name="OLE_LINK13"/>
    </w:p>
    <w:p>
      <w:pPr>
        <w:spacing w:line="560" w:lineRule="exact"/>
        <w:jc w:val="center"/>
        <w:rPr>
          <w:rFonts w:ascii="宋体" w:hAnsi="宋体" w:cs="宋体"/>
          <w:b/>
          <w:kern w:val="0"/>
          <w:sz w:val="24"/>
          <w:szCs w:val="20"/>
        </w:rPr>
      </w:pPr>
      <w:r>
        <w:rPr>
          <w:rFonts w:hint="eastAsia" w:ascii="宋体" w:hAnsi="宋体" w:cs="宋体"/>
          <w:b/>
          <w:kern w:val="0"/>
          <w:sz w:val="24"/>
          <w:szCs w:val="20"/>
        </w:rPr>
        <w:t>8.2残疾人福利性单位声明函</w:t>
      </w:r>
      <w:bookmarkEnd w:id="411"/>
      <w:bookmarkEnd w:id="412"/>
      <w:bookmarkEnd w:id="413"/>
      <w:bookmarkEnd w:id="414"/>
    </w:p>
    <w:bookmarkEnd w:id="415"/>
    <w:bookmarkEnd w:id="416"/>
    <w:p>
      <w:pPr>
        <w:spacing w:line="560" w:lineRule="exact"/>
        <w:ind w:left="1079" w:leftChars="257" w:hanging="540"/>
        <w:jc w:val="center"/>
        <w:rPr>
          <w:rFonts w:ascii="宋体" w:hAnsi="宋体" w:cs="宋体"/>
          <w:kern w:val="0"/>
          <w:sz w:val="24"/>
          <w:szCs w:val="20"/>
        </w:rPr>
      </w:pPr>
    </w:p>
    <w:p>
      <w:pPr>
        <w:spacing w:line="560" w:lineRule="exact"/>
        <w:ind w:firstLine="567"/>
        <w:rPr>
          <w:rFonts w:ascii="宋体" w:hAnsi="宋体"/>
          <w:kern w:val="0"/>
          <w:sz w:val="24"/>
          <w:szCs w:val="20"/>
        </w:rPr>
      </w:pPr>
      <w:r>
        <w:rPr>
          <w:rFonts w:hint="eastAsia" w:ascii="宋体" w:hAnsi="宋体"/>
          <w:kern w:val="0"/>
          <w:sz w:val="24"/>
          <w:szCs w:val="20"/>
        </w:rPr>
        <w:t>本单位郑重声明，根据《财政部 民政部 中国残疾人联合会关于促进残疾人就业政府采购政策的通知》（财库〔2017〕141号）的规定，本单位为符合条件的残疾人福利性单位，且本单位参加______单位的______项目采购活动，货物全部由本单位提供。</w:t>
      </w:r>
    </w:p>
    <w:p>
      <w:pPr>
        <w:spacing w:line="560" w:lineRule="exact"/>
        <w:ind w:left="1079" w:leftChars="257" w:hanging="540"/>
        <w:rPr>
          <w:rFonts w:ascii="宋体" w:hAnsi="宋体"/>
          <w:kern w:val="0"/>
          <w:sz w:val="24"/>
          <w:szCs w:val="20"/>
        </w:rPr>
      </w:pPr>
      <w:r>
        <w:rPr>
          <w:rFonts w:hint="eastAsia" w:ascii="宋体" w:hAnsi="宋体"/>
          <w:kern w:val="0"/>
          <w:sz w:val="24"/>
          <w:szCs w:val="20"/>
        </w:rPr>
        <w:t>本单位对上述声明的真实性负责。如有虚假，将依法承担相应责任。</w:t>
      </w:r>
    </w:p>
    <w:p>
      <w:pPr>
        <w:widowControl/>
        <w:spacing w:before="100" w:beforeAutospacing="1" w:after="100" w:afterAutospacing="1" w:line="560" w:lineRule="exact"/>
        <w:ind w:firstLine="480"/>
        <w:jc w:val="left"/>
        <w:rPr>
          <w:rFonts w:ascii="宋体" w:hAnsi="宋体" w:cs="宋体"/>
          <w:kern w:val="0"/>
          <w:sz w:val="24"/>
        </w:rPr>
      </w:pPr>
      <w:r>
        <w:rPr>
          <w:rFonts w:hint="eastAsia" w:ascii="宋体" w:hAnsi="宋体" w:cs="宋体"/>
          <w:kern w:val="0"/>
          <w:sz w:val="24"/>
        </w:rPr>
        <w:t>供应商（公章）：</w:t>
      </w:r>
    </w:p>
    <w:p>
      <w:pPr>
        <w:widowControl/>
        <w:spacing w:before="100" w:beforeAutospacing="1" w:after="100" w:afterAutospacing="1" w:line="560" w:lineRule="exact"/>
        <w:ind w:firstLine="480"/>
        <w:jc w:val="left"/>
        <w:rPr>
          <w:rFonts w:ascii="宋体" w:hAnsi="宋体" w:cs="宋体"/>
          <w:kern w:val="0"/>
          <w:sz w:val="24"/>
        </w:rPr>
      </w:pPr>
      <w:r>
        <w:rPr>
          <w:rFonts w:hint="eastAsia" w:ascii="宋体" w:hAnsi="宋体"/>
          <w:sz w:val="24"/>
        </w:rPr>
        <w:t>法定代表人（</w:t>
      </w:r>
      <w:r>
        <w:rPr>
          <w:rFonts w:hint="eastAsia" w:ascii="宋体" w:hAnsi="宋体" w:cs="宋体"/>
          <w:sz w:val="24"/>
        </w:rPr>
        <w:t>非法人组织的负责人</w:t>
      </w:r>
      <w:r>
        <w:rPr>
          <w:rFonts w:hint="eastAsia" w:ascii="宋体" w:hAnsi="宋体"/>
          <w:sz w:val="24"/>
        </w:rPr>
        <w:t>）或其授权代表（签章）</w:t>
      </w:r>
      <w:r>
        <w:rPr>
          <w:rFonts w:hint="eastAsia" w:ascii="宋体" w:hAnsi="宋体" w:cs="宋体"/>
          <w:kern w:val="0"/>
          <w:sz w:val="24"/>
        </w:rPr>
        <w:t>：</w:t>
      </w:r>
    </w:p>
    <w:p>
      <w:pPr>
        <w:spacing w:line="560" w:lineRule="exact"/>
        <w:ind w:left="1079" w:leftChars="257" w:hanging="540"/>
        <w:rPr>
          <w:rFonts w:ascii="宋体" w:hAnsi="宋体"/>
          <w:kern w:val="0"/>
          <w:sz w:val="24"/>
          <w:szCs w:val="20"/>
        </w:rPr>
      </w:pPr>
      <w:r>
        <w:rPr>
          <w:rFonts w:hint="eastAsia" w:ascii="宋体" w:hAnsi="宋体" w:cs="宋体"/>
          <w:kern w:val="0"/>
          <w:sz w:val="24"/>
        </w:rPr>
        <w:t>日    期：      年   月   日</w:t>
      </w:r>
    </w:p>
    <w:p>
      <w:pPr>
        <w:spacing w:line="560" w:lineRule="exact"/>
        <w:ind w:left="1079" w:leftChars="257" w:hanging="540"/>
        <w:rPr>
          <w:rFonts w:ascii="宋体" w:hAnsi="宋体" w:cs="宋体"/>
          <w:kern w:val="0"/>
          <w:sz w:val="24"/>
          <w:szCs w:val="20"/>
        </w:rPr>
      </w:pPr>
    </w:p>
    <w:p>
      <w:pPr>
        <w:spacing w:line="560" w:lineRule="exact"/>
        <w:jc w:val="center"/>
        <w:rPr>
          <w:rFonts w:ascii="宋体" w:hAnsi="宋体" w:cs="宋体"/>
          <w:b/>
          <w:kern w:val="0"/>
          <w:sz w:val="24"/>
          <w:szCs w:val="20"/>
        </w:rPr>
      </w:pPr>
    </w:p>
    <w:p>
      <w:pPr>
        <w:spacing w:line="560" w:lineRule="exact"/>
        <w:jc w:val="center"/>
        <w:rPr>
          <w:rFonts w:ascii="宋体" w:hAnsi="宋体" w:cs="宋体"/>
          <w:b/>
          <w:kern w:val="0"/>
          <w:sz w:val="24"/>
          <w:szCs w:val="20"/>
        </w:rPr>
      </w:pPr>
    </w:p>
    <w:p>
      <w:pPr>
        <w:spacing w:line="560" w:lineRule="exact"/>
        <w:jc w:val="center"/>
        <w:rPr>
          <w:rFonts w:ascii="宋体" w:hAnsi="宋体" w:cs="宋体"/>
          <w:b/>
          <w:kern w:val="0"/>
          <w:sz w:val="30"/>
          <w:szCs w:val="20"/>
        </w:rPr>
        <w:sectPr>
          <w:footerReference r:id="rId13" w:type="first"/>
          <w:footerReference r:id="rId11" w:type="default"/>
          <w:footerReference r:id="rId12" w:type="even"/>
          <w:pgSz w:w="11906" w:h="16838"/>
          <w:pgMar w:top="1440" w:right="1797" w:bottom="1440" w:left="1797" w:header="851" w:footer="992" w:gutter="0"/>
          <w:cols w:space="720" w:num="1"/>
          <w:docGrid w:type="linesAndChars" w:linePitch="312" w:charSpace="0"/>
        </w:sectPr>
      </w:pPr>
      <w:r>
        <w:rPr>
          <w:rFonts w:hint="eastAsia" w:ascii="宋体" w:hAnsi="宋体" w:cs="宋体"/>
          <w:b/>
          <w:kern w:val="0"/>
          <w:sz w:val="24"/>
          <w:szCs w:val="20"/>
        </w:rPr>
        <w:t>8.3省级以上监狱管理局、戒毒管理局（含新疆生产建设兵团） 出具的属于监狱企业的证明文件扫描件</w:t>
      </w:r>
    </w:p>
    <w:bookmarkEnd w:id="408"/>
    <w:p>
      <w:pPr>
        <w:pStyle w:val="5"/>
        <w:spacing w:line="560" w:lineRule="exact"/>
        <w:rPr>
          <w:rFonts w:hAnsi="宋体"/>
          <w:u w:val="none"/>
        </w:rPr>
      </w:pPr>
      <w:bookmarkStart w:id="417" w:name="_Toc2465"/>
      <w:bookmarkStart w:id="418" w:name="_Toc7444"/>
      <w:bookmarkStart w:id="419" w:name="_Toc20700"/>
      <w:bookmarkStart w:id="420" w:name="_Toc46136867"/>
      <w:bookmarkStart w:id="421" w:name="_Toc46238283"/>
      <w:bookmarkStart w:id="422" w:name="_Toc45562517"/>
      <w:bookmarkStart w:id="423" w:name="_Toc46136866"/>
      <w:r>
        <w:rPr>
          <w:rFonts w:hint="eastAsia" w:hAnsi="宋体"/>
          <w:u w:val="none"/>
        </w:rPr>
        <w:t>8.4小型、微型企业产品明细表</w:t>
      </w:r>
      <w:bookmarkEnd w:id="417"/>
      <w:bookmarkEnd w:id="418"/>
      <w:bookmarkEnd w:id="419"/>
      <w:bookmarkEnd w:id="420"/>
    </w:p>
    <w:p>
      <w:pPr>
        <w:pStyle w:val="8"/>
        <w:spacing w:line="560" w:lineRule="exact"/>
        <w:rPr>
          <w:rFonts w:hAnsi="宋体"/>
        </w:rPr>
      </w:pPr>
    </w:p>
    <w:p>
      <w:pPr>
        <w:autoSpaceDE w:val="0"/>
        <w:autoSpaceDN w:val="0"/>
        <w:adjustRightInd w:val="0"/>
        <w:spacing w:line="560" w:lineRule="exact"/>
        <w:jc w:val="left"/>
        <w:rPr>
          <w:rFonts w:ascii="宋体" w:hAnsi="宋体"/>
          <w:kern w:val="0"/>
          <w:sz w:val="24"/>
          <w:szCs w:val="20"/>
        </w:rPr>
      </w:pPr>
    </w:p>
    <w:p>
      <w:pPr>
        <w:pStyle w:val="5"/>
        <w:spacing w:line="560" w:lineRule="exact"/>
        <w:rPr>
          <w:rFonts w:hAnsi="宋体"/>
          <w:b w:val="0"/>
          <w:u w:val="none"/>
        </w:rPr>
      </w:pPr>
      <w:bookmarkStart w:id="424" w:name="_Toc46136868"/>
      <w:bookmarkStart w:id="425" w:name="_Toc18287"/>
      <w:bookmarkStart w:id="426" w:name="_Toc9942"/>
      <w:bookmarkStart w:id="427" w:name="_Toc10226"/>
      <w:r>
        <w:rPr>
          <w:rFonts w:hint="eastAsia" w:hAnsi="宋体"/>
          <w:u w:val="none"/>
        </w:rPr>
        <w:t>8.5环境标志产品</w:t>
      </w:r>
      <w:bookmarkEnd w:id="424"/>
      <w:r>
        <w:rPr>
          <w:rFonts w:hint="eastAsia" w:hAnsi="宋体"/>
          <w:u w:val="none"/>
        </w:rPr>
        <w:t>明细表</w:t>
      </w:r>
      <w:bookmarkEnd w:id="425"/>
      <w:bookmarkEnd w:id="426"/>
      <w:bookmarkEnd w:id="427"/>
    </w:p>
    <w:p>
      <w:pPr>
        <w:pStyle w:val="21"/>
        <w:spacing w:line="460" w:lineRule="exact"/>
        <w:jc w:val="center"/>
        <w:rPr>
          <w:rFonts w:cs="宋体"/>
          <w:b/>
          <w:kern w:val="44"/>
          <w:szCs w:val="21"/>
        </w:rPr>
      </w:pPr>
      <w:bookmarkStart w:id="428" w:name="_Toc46136869"/>
      <w:bookmarkStart w:id="429" w:name="_Toc12626"/>
      <w:bookmarkStart w:id="430" w:name="_Toc27164"/>
      <w:r>
        <w:rPr>
          <w:rFonts w:hint="eastAsia" w:cs="宋体"/>
          <w:b/>
          <w:kern w:val="44"/>
          <w:szCs w:val="21"/>
        </w:rPr>
        <w:t>环境标志产品报价明细表</w:t>
      </w:r>
    </w:p>
    <w:tbl>
      <w:tblPr>
        <w:tblStyle w:val="23"/>
        <w:tblpPr w:leftFromText="180" w:rightFromText="180" w:vertAnchor="text" w:horzAnchor="page" w:tblpX="1132" w:tblpY="287"/>
        <w:tblOverlap w:val="never"/>
        <w:tblW w:w="98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1365"/>
        <w:gridCol w:w="1118"/>
        <w:gridCol w:w="1358"/>
        <w:gridCol w:w="1305"/>
        <w:gridCol w:w="1485"/>
        <w:gridCol w:w="881"/>
        <w:gridCol w:w="964"/>
        <w:gridCol w:w="7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序号</w:t>
            </w:r>
          </w:p>
        </w:tc>
        <w:tc>
          <w:tcPr>
            <w:tcW w:w="1365"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产品名称</w:t>
            </w:r>
          </w:p>
        </w:tc>
        <w:tc>
          <w:tcPr>
            <w:tcW w:w="1118"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品牌/型号</w:t>
            </w:r>
          </w:p>
        </w:tc>
        <w:tc>
          <w:tcPr>
            <w:tcW w:w="1358"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厂家/产地</w:t>
            </w:r>
          </w:p>
        </w:tc>
        <w:tc>
          <w:tcPr>
            <w:tcW w:w="1305"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rPr>
              <w:t>节能产品品目清单中</w:t>
            </w:r>
            <w:r>
              <w:rPr>
                <w:rFonts w:hint="eastAsia" w:ascii="宋体" w:hAnsi="宋体" w:cs="宋体"/>
                <w:szCs w:val="21"/>
                <w:lang w:val="zh-CN"/>
              </w:rPr>
              <w:t>产品名称</w:t>
            </w:r>
          </w:p>
        </w:tc>
        <w:tc>
          <w:tcPr>
            <w:tcW w:w="1485" w:type="dxa"/>
            <w:vAlign w:val="center"/>
          </w:tcPr>
          <w:p>
            <w:pPr>
              <w:tabs>
                <w:tab w:val="left" w:pos="8280"/>
              </w:tabs>
              <w:autoSpaceDE w:val="0"/>
              <w:autoSpaceDN w:val="0"/>
              <w:adjustRightInd w:val="0"/>
              <w:spacing w:line="360" w:lineRule="auto"/>
              <w:jc w:val="center"/>
              <w:rPr>
                <w:rFonts w:ascii="宋体" w:hAnsi="宋体" w:cs="宋体"/>
                <w:szCs w:val="21"/>
              </w:rPr>
            </w:pPr>
            <w:r>
              <w:rPr>
                <w:rFonts w:hint="eastAsia" w:ascii="宋体" w:hAnsi="宋体" w:cs="宋体"/>
                <w:color w:val="000000"/>
                <w:szCs w:val="21"/>
              </w:rPr>
              <w:t>认证证书编号</w:t>
            </w:r>
          </w:p>
        </w:tc>
        <w:tc>
          <w:tcPr>
            <w:tcW w:w="881"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数量</w:t>
            </w:r>
          </w:p>
        </w:tc>
        <w:tc>
          <w:tcPr>
            <w:tcW w:w="964"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单价（元）</w:t>
            </w:r>
          </w:p>
        </w:tc>
        <w:tc>
          <w:tcPr>
            <w:tcW w:w="765"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小计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36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118"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358"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30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48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881"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964"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76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36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118"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358"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30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48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881"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964"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76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3138" w:type="dxa"/>
            <w:gridSpan w:val="3"/>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环境标志</w:t>
            </w:r>
            <w:r>
              <w:rPr>
                <w:rFonts w:hint="eastAsia" w:ascii="宋体" w:hAnsi="宋体" w:cs="宋体"/>
                <w:szCs w:val="21"/>
              </w:rPr>
              <w:t>产品价格合计（元）</w:t>
            </w:r>
          </w:p>
        </w:tc>
        <w:tc>
          <w:tcPr>
            <w:tcW w:w="6758" w:type="dxa"/>
            <w:gridSpan w:val="6"/>
            <w:vAlign w:val="center"/>
          </w:tcPr>
          <w:p>
            <w:pPr>
              <w:tabs>
                <w:tab w:val="left" w:pos="8280"/>
              </w:tabs>
              <w:autoSpaceDE w:val="0"/>
              <w:autoSpaceDN w:val="0"/>
              <w:adjustRightInd w:val="0"/>
              <w:spacing w:line="360" w:lineRule="auto"/>
              <w:jc w:val="left"/>
              <w:rPr>
                <w:rFonts w:ascii="宋体" w:hAnsi="宋体" w:cs="宋体"/>
                <w:szCs w:val="21"/>
                <w:lang w:val="zh-CN"/>
              </w:rPr>
            </w:pPr>
            <w:r>
              <w:rPr>
                <w:rFonts w:hint="eastAsia" w:ascii="宋体" w:hAnsi="宋体" w:cs="宋体"/>
                <w:szCs w:val="21"/>
              </w:rPr>
              <w:t>大写：</w:t>
            </w:r>
            <w:r>
              <w:rPr>
                <w:rFonts w:hint="eastAsia" w:ascii="宋体" w:hAnsi="宋体" w:cs="宋体"/>
                <w:szCs w:val="21"/>
                <w:u w:val="single"/>
              </w:rPr>
              <w:t xml:space="preserve">                 </w:t>
            </w:r>
            <w:r>
              <w:rPr>
                <w:rFonts w:hint="eastAsia" w:ascii="宋体" w:hAnsi="宋体" w:cs="宋体"/>
                <w:szCs w:val="21"/>
              </w:rPr>
              <w:t xml:space="preserve">  小写：</w:t>
            </w:r>
          </w:p>
        </w:tc>
      </w:tr>
    </w:tbl>
    <w:p>
      <w:pPr>
        <w:spacing w:line="400" w:lineRule="exact"/>
        <w:rPr>
          <w:rFonts w:ascii="宋体" w:hAnsi="宋体" w:cs="宋体"/>
          <w:b/>
          <w:bCs/>
          <w:szCs w:val="21"/>
        </w:rPr>
      </w:pPr>
      <w:r>
        <w:rPr>
          <w:rFonts w:hint="eastAsia" w:ascii="宋体" w:hAnsi="宋体" w:cs="宋体"/>
          <w:b/>
          <w:bCs/>
          <w:szCs w:val="21"/>
        </w:rPr>
        <w:t>注：①供应商所填写的内容必须真实、可靠，如有虚假或隐瞒，一经查实将导致报价被绝。</w:t>
      </w:r>
    </w:p>
    <w:p>
      <w:pPr>
        <w:pStyle w:val="21"/>
        <w:spacing w:line="360" w:lineRule="auto"/>
        <w:rPr>
          <w:rFonts w:cs="宋体"/>
          <w:b/>
          <w:bCs/>
          <w:szCs w:val="21"/>
        </w:rPr>
      </w:pPr>
      <w:r>
        <w:rPr>
          <w:rFonts w:hint="eastAsia" w:cs="宋体"/>
          <w:b/>
          <w:bCs/>
          <w:szCs w:val="21"/>
        </w:rPr>
        <w:t>②此表须供应商加盖单位公章，未单独提供本表的不进行加分。</w:t>
      </w:r>
    </w:p>
    <w:p>
      <w:pPr>
        <w:pStyle w:val="5"/>
        <w:spacing w:line="560" w:lineRule="exact"/>
        <w:rPr>
          <w:rFonts w:hAnsi="宋体"/>
          <w:u w:val="none"/>
        </w:rPr>
      </w:pPr>
    </w:p>
    <w:p>
      <w:pPr>
        <w:rPr>
          <w:rFonts w:hAnsi="宋体"/>
        </w:rPr>
      </w:pPr>
    </w:p>
    <w:p>
      <w:pPr>
        <w:pStyle w:val="2"/>
        <w:rPr>
          <w:rFonts w:hAnsi="宋体"/>
        </w:rPr>
      </w:pPr>
    </w:p>
    <w:p/>
    <w:p>
      <w:pPr>
        <w:pStyle w:val="5"/>
        <w:spacing w:line="560" w:lineRule="exact"/>
        <w:rPr>
          <w:rFonts w:hAnsi="宋体"/>
          <w:u w:val="none"/>
        </w:rPr>
      </w:pPr>
      <w:bookmarkStart w:id="431" w:name="_Toc7382"/>
      <w:r>
        <w:rPr>
          <w:rFonts w:hint="eastAsia" w:hAnsi="宋体"/>
          <w:u w:val="none"/>
        </w:rPr>
        <w:t>8.6节能产品</w:t>
      </w:r>
      <w:bookmarkEnd w:id="428"/>
      <w:r>
        <w:rPr>
          <w:rFonts w:hint="eastAsia" w:hAnsi="宋体"/>
          <w:u w:val="none"/>
        </w:rPr>
        <w:t>明细表</w:t>
      </w:r>
      <w:bookmarkEnd w:id="429"/>
      <w:bookmarkEnd w:id="430"/>
      <w:bookmarkEnd w:id="431"/>
    </w:p>
    <w:p>
      <w:pPr>
        <w:pStyle w:val="21"/>
        <w:spacing w:line="460" w:lineRule="exact"/>
        <w:jc w:val="center"/>
        <w:rPr>
          <w:rFonts w:cs="宋体"/>
          <w:b/>
          <w:kern w:val="44"/>
          <w:szCs w:val="21"/>
        </w:rPr>
      </w:pPr>
      <w:bookmarkStart w:id="432" w:name="_Toc46136870"/>
      <w:r>
        <w:rPr>
          <w:rFonts w:hint="eastAsia" w:cs="宋体"/>
          <w:b/>
          <w:kern w:val="44"/>
          <w:szCs w:val="21"/>
        </w:rPr>
        <w:t>节能产品报价明细表</w:t>
      </w:r>
    </w:p>
    <w:tbl>
      <w:tblPr>
        <w:tblStyle w:val="23"/>
        <w:tblpPr w:leftFromText="180" w:rightFromText="180" w:vertAnchor="text" w:horzAnchor="page" w:tblpX="1132" w:tblpY="287"/>
        <w:tblOverlap w:val="never"/>
        <w:tblW w:w="96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1365"/>
        <w:gridCol w:w="1395"/>
        <w:gridCol w:w="818"/>
        <w:gridCol w:w="1395"/>
        <w:gridCol w:w="1140"/>
        <w:gridCol w:w="915"/>
        <w:gridCol w:w="960"/>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序号</w:t>
            </w:r>
          </w:p>
        </w:tc>
        <w:tc>
          <w:tcPr>
            <w:tcW w:w="1365"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产品名称</w:t>
            </w:r>
          </w:p>
        </w:tc>
        <w:tc>
          <w:tcPr>
            <w:tcW w:w="1395"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品牌/型号</w:t>
            </w:r>
          </w:p>
        </w:tc>
        <w:tc>
          <w:tcPr>
            <w:tcW w:w="818"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厂家/产地</w:t>
            </w:r>
          </w:p>
        </w:tc>
        <w:tc>
          <w:tcPr>
            <w:tcW w:w="1395"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rPr>
              <w:t>节能产品品目清单中</w:t>
            </w:r>
            <w:r>
              <w:rPr>
                <w:rFonts w:hint="eastAsia" w:ascii="宋体" w:hAnsi="宋体" w:cs="宋体"/>
                <w:szCs w:val="21"/>
                <w:lang w:val="zh-CN"/>
              </w:rPr>
              <w:t>产品名称</w:t>
            </w:r>
          </w:p>
        </w:tc>
        <w:tc>
          <w:tcPr>
            <w:tcW w:w="1140" w:type="dxa"/>
            <w:vAlign w:val="center"/>
          </w:tcPr>
          <w:p>
            <w:pPr>
              <w:tabs>
                <w:tab w:val="left" w:pos="8280"/>
              </w:tabs>
              <w:autoSpaceDE w:val="0"/>
              <w:autoSpaceDN w:val="0"/>
              <w:adjustRightInd w:val="0"/>
              <w:spacing w:line="360" w:lineRule="auto"/>
              <w:rPr>
                <w:rFonts w:ascii="宋体" w:hAnsi="宋体" w:cs="宋体"/>
                <w:szCs w:val="21"/>
              </w:rPr>
            </w:pPr>
            <w:r>
              <w:rPr>
                <w:rFonts w:hint="eastAsia" w:ascii="宋体" w:hAnsi="宋体" w:cs="宋体"/>
                <w:color w:val="000000"/>
                <w:szCs w:val="21"/>
              </w:rPr>
              <w:t>认证证书编号</w:t>
            </w:r>
          </w:p>
        </w:tc>
        <w:tc>
          <w:tcPr>
            <w:tcW w:w="915"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数量</w:t>
            </w:r>
          </w:p>
        </w:tc>
        <w:tc>
          <w:tcPr>
            <w:tcW w:w="960"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单价（元）</w:t>
            </w:r>
          </w:p>
        </w:tc>
        <w:tc>
          <w:tcPr>
            <w:tcW w:w="1005"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小计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36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39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818"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39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140" w:type="dxa"/>
            <w:vAlign w:val="center"/>
          </w:tcPr>
          <w:p>
            <w:pPr>
              <w:tabs>
                <w:tab w:val="left" w:pos="3867"/>
                <w:tab w:val="left" w:pos="8280"/>
              </w:tabs>
              <w:autoSpaceDE w:val="0"/>
              <w:autoSpaceDN w:val="0"/>
              <w:adjustRightInd w:val="0"/>
              <w:spacing w:line="360" w:lineRule="auto"/>
              <w:ind w:right="3150" w:rightChars="1500"/>
              <w:jc w:val="left"/>
              <w:rPr>
                <w:rFonts w:ascii="宋体" w:hAnsi="宋体" w:cs="宋体"/>
                <w:szCs w:val="21"/>
                <w:lang w:val="zh-CN"/>
              </w:rPr>
            </w:pPr>
            <w:r>
              <w:rPr>
                <w:rFonts w:hint="eastAsia" w:ascii="宋体" w:hAnsi="宋体" w:cs="宋体"/>
                <w:szCs w:val="21"/>
                <w:lang w:val="zh-CN"/>
              </w:rPr>
              <w:tab/>
            </w:r>
          </w:p>
        </w:tc>
        <w:tc>
          <w:tcPr>
            <w:tcW w:w="91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960"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00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36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39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818"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39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140"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91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960"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00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3415" w:type="dxa"/>
            <w:gridSpan w:val="3"/>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rPr>
              <w:t>节能产品价格合计（元）</w:t>
            </w:r>
          </w:p>
        </w:tc>
        <w:tc>
          <w:tcPr>
            <w:tcW w:w="6233" w:type="dxa"/>
            <w:gridSpan w:val="6"/>
            <w:vAlign w:val="center"/>
          </w:tcPr>
          <w:p>
            <w:pPr>
              <w:tabs>
                <w:tab w:val="left" w:pos="8280"/>
              </w:tabs>
              <w:autoSpaceDE w:val="0"/>
              <w:autoSpaceDN w:val="0"/>
              <w:adjustRightInd w:val="0"/>
              <w:spacing w:line="360" w:lineRule="auto"/>
              <w:jc w:val="left"/>
              <w:rPr>
                <w:rFonts w:ascii="宋体" w:hAnsi="宋体" w:cs="宋体"/>
                <w:szCs w:val="21"/>
                <w:lang w:val="zh-CN"/>
              </w:rPr>
            </w:pPr>
            <w:r>
              <w:rPr>
                <w:rFonts w:hint="eastAsia" w:ascii="宋体" w:hAnsi="宋体" w:cs="宋体"/>
                <w:szCs w:val="21"/>
              </w:rPr>
              <w:t>大写：            小写：</w:t>
            </w:r>
          </w:p>
        </w:tc>
      </w:tr>
    </w:tbl>
    <w:p>
      <w:pPr>
        <w:spacing w:line="400" w:lineRule="exact"/>
        <w:rPr>
          <w:rFonts w:ascii="宋体" w:hAnsi="宋体" w:cs="宋体"/>
          <w:b/>
          <w:bCs/>
          <w:szCs w:val="21"/>
        </w:rPr>
      </w:pPr>
    </w:p>
    <w:p>
      <w:pPr>
        <w:spacing w:line="400" w:lineRule="exact"/>
        <w:rPr>
          <w:rFonts w:ascii="宋体" w:hAnsi="宋体" w:cs="宋体"/>
          <w:b/>
          <w:bCs/>
          <w:szCs w:val="21"/>
        </w:rPr>
      </w:pPr>
      <w:r>
        <w:rPr>
          <w:rFonts w:hint="eastAsia" w:ascii="宋体" w:hAnsi="宋体" w:cs="宋体"/>
          <w:b/>
          <w:bCs/>
          <w:szCs w:val="21"/>
        </w:rPr>
        <w:t>注：①供应商所填写的内容必须真实、可靠，如有虚假或隐瞒，一经查实将导致报价被拒绝。</w:t>
      </w:r>
    </w:p>
    <w:p>
      <w:pPr>
        <w:spacing w:line="400" w:lineRule="exact"/>
        <w:rPr>
          <w:rFonts w:ascii="宋体" w:hAnsi="宋体" w:cs="宋体"/>
          <w:b/>
          <w:bCs/>
          <w:szCs w:val="21"/>
        </w:rPr>
      </w:pPr>
      <w:r>
        <w:rPr>
          <w:rFonts w:hint="eastAsia" w:ascii="宋体" w:hAnsi="宋体" w:cs="宋体"/>
          <w:b/>
          <w:bCs/>
          <w:szCs w:val="21"/>
        </w:rPr>
        <w:t>②此表不含强采节能产品。</w:t>
      </w:r>
    </w:p>
    <w:p>
      <w:pPr>
        <w:spacing w:line="400" w:lineRule="exact"/>
        <w:rPr>
          <w:rFonts w:ascii="宋体" w:hAnsi="宋体" w:cs="宋体"/>
          <w:b/>
          <w:bCs/>
          <w:szCs w:val="21"/>
        </w:rPr>
      </w:pPr>
      <w:r>
        <w:rPr>
          <w:rFonts w:hint="eastAsia" w:ascii="宋体" w:hAnsi="宋体" w:cs="宋体"/>
          <w:b/>
          <w:bCs/>
          <w:szCs w:val="21"/>
        </w:rPr>
        <w:t>③此表须供应商加盖单位公章，未单独提供本表的不进行加分。</w:t>
      </w:r>
    </w:p>
    <w:p>
      <w:pPr>
        <w:pStyle w:val="8"/>
        <w:spacing w:line="560" w:lineRule="exact"/>
        <w:rPr>
          <w:rFonts w:hAnsi="宋体"/>
        </w:rPr>
      </w:pPr>
    </w:p>
    <w:bookmarkEnd w:id="432"/>
    <w:p>
      <w:pPr>
        <w:pStyle w:val="8"/>
        <w:spacing w:line="560" w:lineRule="exact"/>
        <w:rPr>
          <w:rFonts w:hAnsi="宋体"/>
        </w:rPr>
      </w:pPr>
    </w:p>
    <w:p>
      <w:pPr>
        <w:pStyle w:val="8"/>
        <w:spacing w:line="560" w:lineRule="exact"/>
        <w:rPr>
          <w:rFonts w:hAnsi="宋体"/>
        </w:rPr>
      </w:pPr>
    </w:p>
    <w:p>
      <w:pPr>
        <w:pStyle w:val="8"/>
        <w:spacing w:line="560" w:lineRule="exact"/>
        <w:rPr>
          <w:rFonts w:hAnsi="宋体"/>
        </w:rPr>
      </w:pPr>
    </w:p>
    <w:p>
      <w:pPr>
        <w:pStyle w:val="8"/>
        <w:spacing w:line="560" w:lineRule="exact"/>
        <w:rPr>
          <w:rFonts w:hAnsi="宋体"/>
        </w:rPr>
      </w:pPr>
    </w:p>
    <w:p>
      <w:pPr>
        <w:pStyle w:val="8"/>
        <w:spacing w:line="560" w:lineRule="exact"/>
        <w:rPr>
          <w:rFonts w:hAnsi="宋体"/>
        </w:rPr>
      </w:pPr>
    </w:p>
    <w:p>
      <w:pPr>
        <w:pStyle w:val="8"/>
        <w:spacing w:line="560" w:lineRule="exact"/>
        <w:rPr>
          <w:rFonts w:hAnsi="宋体"/>
        </w:rPr>
      </w:pPr>
    </w:p>
    <w:p>
      <w:pPr>
        <w:pStyle w:val="8"/>
        <w:spacing w:line="560" w:lineRule="exact"/>
        <w:rPr>
          <w:rFonts w:hAnsi="宋体"/>
        </w:rPr>
      </w:pPr>
    </w:p>
    <w:p>
      <w:pPr>
        <w:pStyle w:val="8"/>
        <w:spacing w:line="560" w:lineRule="exact"/>
        <w:rPr>
          <w:rFonts w:hAnsi="宋体"/>
        </w:rPr>
      </w:pPr>
    </w:p>
    <w:p>
      <w:pPr>
        <w:pStyle w:val="8"/>
        <w:spacing w:line="560" w:lineRule="exact"/>
        <w:rPr>
          <w:rFonts w:hAnsi="宋体"/>
        </w:rPr>
      </w:pPr>
    </w:p>
    <w:p>
      <w:pPr>
        <w:pStyle w:val="8"/>
        <w:spacing w:line="560" w:lineRule="exact"/>
        <w:rPr>
          <w:rFonts w:hAnsi="宋体"/>
        </w:rPr>
      </w:pPr>
    </w:p>
    <w:p>
      <w:pPr>
        <w:pStyle w:val="5"/>
        <w:spacing w:line="560" w:lineRule="exact"/>
        <w:rPr>
          <w:rFonts w:hAnsi="宋体"/>
          <w:szCs w:val="22"/>
          <w:u w:val="none"/>
        </w:rPr>
      </w:pPr>
      <w:bookmarkStart w:id="433" w:name="_Toc25812"/>
      <w:bookmarkStart w:id="434" w:name="_Toc3072"/>
      <w:bookmarkStart w:id="435" w:name="_Toc21298"/>
      <w:r>
        <w:rPr>
          <w:rFonts w:hint="eastAsia" w:hAnsi="宋体"/>
          <w:u w:val="none"/>
        </w:rPr>
        <w:t>9.</w:t>
      </w:r>
      <w:bookmarkEnd w:id="433"/>
      <w:bookmarkEnd w:id="434"/>
      <w:bookmarkEnd w:id="435"/>
      <w:r>
        <w:rPr>
          <w:rFonts w:hint="eastAsia" w:hAnsi="宋体"/>
          <w:u w:val="none"/>
        </w:rPr>
        <w:t>企业基本情况表</w:t>
      </w:r>
    </w:p>
    <w:p>
      <w:pPr>
        <w:autoSpaceDE w:val="0"/>
        <w:autoSpaceDN w:val="0"/>
        <w:adjustRightInd w:val="0"/>
        <w:spacing w:line="560" w:lineRule="exact"/>
        <w:ind w:firstLine="420"/>
        <w:jc w:val="left"/>
        <w:rPr>
          <w:rFonts w:ascii="宋体" w:hAnsi="宋体"/>
          <w:kern w:val="0"/>
          <w:sz w:val="24"/>
          <w:szCs w:val="20"/>
        </w:rPr>
      </w:pPr>
    </w:p>
    <w:tbl>
      <w:tblPr>
        <w:tblStyle w:val="23"/>
        <w:tblpPr w:leftFromText="180" w:rightFromText="180" w:vertAnchor="text" w:horzAnchor="page" w:tblpX="1421" w:tblpY="-17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1659"/>
        <w:gridCol w:w="1350"/>
        <w:gridCol w:w="1575"/>
        <w:gridCol w:w="1724"/>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trPr>
        <w:tc>
          <w:tcPr>
            <w:tcW w:w="1529" w:type="dxa"/>
            <w:vAlign w:val="center"/>
          </w:tcPr>
          <w:p>
            <w:pPr>
              <w:jc w:val="center"/>
              <w:rPr>
                <w:rFonts w:ascii="宋体" w:hAnsi="宋体" w:cs="宋体"/>
                <w:szCs w:val="21"/>
              </w:rPr>
            </w:pPr>
            <w:r>
              <w:rPr>
                <w:rFonts w:hint="eastAsia" w:ascii="宋体" w:hAnsi="宋体" w:cs="宋体"/>
                <w:szCs w:val="21"/>
              </w:rPr>
              <w:t>单位名称</w:t>
            </w:r>
          </w:p>
        </w:tc>
        <w:tc>
          <w:tcPr>
            <w:tcW w:w="4584" w:type="dxa"/>
            <w:gridSpan w:val="3"/>
            <w:vAlign w:val="center"/>
          </w:tcPr>
          <w:p>
            <w:pPr>
              <w:jc w:val="center"/>
              <w:rPr>
                <w:rFonts w:ascii="宋体" w:hAnsi="宋体" w:cs="宋体"/>
                <w:szCs w:val="21"/>
              </w:rPr>
            </w:pPr>
          </w:p>
        </w:tc>
        <w:tc>
          <w:tcPr>
            <w:tcW w:w="1724" w:type="dxa"/>
            <w:vAlign w:val="center"/>
          </w:tcPr>
          <w:p>
            <w:pPr>
              <w:jc w:val="center"/>
              <w:rPr>
                <w:rFonts w:ascii="宋体" w:hAnsi="宋体" w:cs="宋体"/>
                <w:szCs w:val="21"/>
              </w:rPr>
            </w:pPr>
            <w:r>
              <w:rPr>
                <w:rFonts w:hint="eastAsia" w:ascii="宋体" w:hAnsi="宋体" w:cs="宋体"/>
                <w:szCs w:val="21"/>
              </w:rPr>
              <w:t>邮政编码</w:t>
            </w:r>
          </w:p>
        </w:tc>
        <w:tc>
          <w:tcPr>
            <w:tcW w:w="1418"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trPr>
        <w:tc>
          <w:tcPr>
            <w:tcW w:w="1529" w:type="dxa"/>
            <w:vAlign w:val="center"/>
          </w:tcPr>
          <w:p>
            <w:pPr>
              <w:jc w:val="center"/>
              <w:rPr>
                <w:rFonts w:ascii="宋体" w:hAnsi="宋体" w:cs="宋体"/>
                <w:szCs w:val="21"/>
              </w:rPr>
            </w:pPr>
            <w:r>
              <w:rPr>
                <w:rFonts w:hint="eastAsia" w:ascii="宋体" w:hAnsi="宋体" w:cs="宋体"/>
                <w:szCs w:val="21"/>
              </w:rPr>
              <w:t>地址</w:t>
            </w:r>
          </w:p>
        </w:tc>
        <w:tc>
          <w:tcPr>
            <w:tcW w:w="4584" w:type="dxa"/>
            <w:gridSpan w:val="3"/>
            <w:vAlign w:val="center"/>
          </w:tcPr>
          <w:p>
            <w:pPr>
              <w:jc w:val="center"/>
              <w:rPr>
                <w:rFonts w:ascii="宋体" w:hAnsi="宋体" w:cs="宋体"/>
                <w:szCs w:val="21"/>
              </w:rPr>
            </w:pPr>
          </w:p>
        </w:tc>
        <w:tc>
          <w:tcPr>
            <w:tcW w:w="1724" w:type="dxa"/>
            <w:vAlign w:val="center"/>
          </w:tcPr>
          <w:p>
            <w:pPr>
              <w:jc w:val="center"/>
              <w:rPr>
                <w:rFonts w:ascii="宋体" w:hAnsi="宋体" w:cs="宋体"/>
                <w:szCs w:val="21"/>
              </w:rPr>
            </w:pPr>
            <w:r>
              <w:rPr>
                <w:rFonts w:hint="eastAsia" w:ascii="宋体" w:hAnsi="宋体" w:cs="宋体"/>
                <w:szCs w:val="21"/>
              </w:rPr>
              <w:t>联系电话</w:t>
            </w:r>
          </w:p>
        </w:tc>
        <w:tc>
          <w:tcPr>
            <w:tcW w:w="1418"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1529" w:type="dxa"/>
            <w:vAlign w:val="center"/>
          </w:tcPr>
          <w:p>
            <w:pPr>
              <w:jc w:val="center"/>
              <w:rPr>
                <w:rFonts w:ascii="宋体" w:hAnsi="宋体" w:cs="宋体"/>
                <w:szCs w:val="21"/>
              </w:rPr>
            </w:pPr>
            <w:r>
              <w:rPr>
                <w:rFonts w:hint="eastAsia" w:ascii="宋体" w:hAnsi="宋体" w:cs="宋体"/>
                <w:szCs w:val="21"/>
              </w:rPr>
              <w:t>法人代表</w:t>
            </w:r>
          </w:p>
        </w:tc>
        <w:tc>
          <w:tcPr>
            <w:tcW w:w="1659" w:type="dxa"/>
            <w:vAlign w:val="center"/>
          </w:tcPr>
          <w:p>
            <w:pPr>
              <w:jc w:val="center"/>
              <w:rPr>
                <w:rFonts w:ascii="宋体" w:hAnsi="宋体" w:cs="宋体"/>
                <w:szCs w:val="21"/>
              </w:rPr>
            </w:pPr>
          </w:p>
        </w:tc>
        <w:tc>
          <w:tcPr>
            <w:tcW w:w="1350" w:type="dxa"/>
            <w:vAlign w:val="center"/>
          </w:tcPr>
          <w:p>
            <w:pPr>
              <w:jc w:val="center"/>
              <w:rPr>
                <w:rFonts w:ascii="宋体" w:hAnsi="宋体" w:cs="宋体"/>
                <w:szCs w:val="21"/>
              </w:rPr>
            </w:pPr>
            <w:r>
              <w:rPr>
                <w:rFonts w:hint="eastAsia" w:ascii="宋体" w:hAnsi="宋体" w:cs="宋体"/>
                <w:szCs w:val="21"/>
              </w:rPr>
              <w:t>公司负责人</w:t>
            </w:r>
          </w:p>
        </w:tc>
        <w:tc>
          <w:tcPr>
            <w:tcW w:w="1575" w:type="dxa"/>
            <w:vAlign w:val="center"/>
          </w:tcPr>
          <w:p>
            <w:pPr>
              <w:jc w:val="center"/>
              <w:rPr>
                <w:rFonts w:ascii="宋体" w:hAnsi="宋体" w:cs="宋体"/>
                <w:szCs w:val="21"/>
              </w:rPr>
            </w:pPr>
          </w:p>
        </w:tc>
        <w:tc>
          <w:tcPr>
            <w:tcW w:w="1724" w:type="dxa"/>
            <w:vAlign w:val="center"/>
          </w:tcPr>
          <w:p>
            <w:pPr>
              <w:jc w:val="center"/>
              <w:rPr>
                <w:rFonts w:ascii="宋体" w:hAnsi="宋体" w:cs="宋体"/>
                <w:szCs w:val="21"/>
              </w:rPr>
            </w:pPr>
            <w:r>
              <w:rPr>
                <w:rFonts w:hint="eastAsia" w:ascii="宋体" w:hAnsi="宋体" w:cs="宋体"/>
                <w:szCs w:val="21"/>
              </w:rPr>
              <w:t>营业执照</w:t>
            </w:r>
          </w:p>
          <w:p>
            <w:pPr>
              <w:ind w:firstLine="420" w:firstLineChars="200"/>
              <w:rPr>
                <w:rFonts w:ascii="宋体" w:hAnsi="宋体" w:cs="宋体"/>
                <w:szCs w:val="21"/>
              </w:rPr>
            </w:pPr>
            <w:r>
              <w:rPr>
                <w:rFonts w:hint="eastAsia" w:ascii="宋体" w:hAnsi="宋体" w:cs="宋体"/>
                <w:szCs w:val="21"/>
              </w:rPr>
              <w:t>号码</w:t>
            </w:r>
          </w:p>
        </w:tc>
        <w:tc>
          <w:tcPr>
            <w:tcW w:w="1418"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trPr>
        <w:tc>
          <w:tcPr>
            <w:tcW w:w="1529" w:type="dxa"/>
            <w:vAlign w:val="center"/>
          </w:tcPr>
          <w:p>
            <w:pPr>
              <w:jc w:val="center"/>
              <w:rPr>
                <w:rFonts w:ascii="宋体" w:hAnsi="宋体" w:cs="宋体"/>
                <w:szCs w:val="21"/>
              </w:rPr>
            </w:pPr>
            <w:r>
              <w:rPr>
                <w:rFonts w:hint="eastAsia" w:ascii="宋体" w:hAnsi="宋体" w:cs="宋体"/>
                <w:szCs w:val="21"/>
              </w:rPr>
              <w:t>注册资金</w:t>
            </w:r>
          </w:p>
        </w:tc>
        <w:tc>
          <w:tcPr>
            <w:tcW w:w="1659" w:type="dxa"/>
            <w:vAlign w:val="center"/>
          </w:tcPr>
          <w:p>
            <w:pPr>
              <w:jc w:val="center"/>
              <w:rPr>
                <w:rFonts w:ascii="宋体" w:hAnsi="宋体" w:cs="宋体"/>
                <w:szCs w:val="21"/>
              </w:rPr>
            </w:pPr>
          </w:p>
        </w:tc>
        <w:tc>
          <w:tcPr>
            <w:tcW w:w="1350" w:type="dxa"/>
            <w:vAlign w:val="center"/>
          </w:tcPr>
          <w:p>
            <w:pPr>
              <w:jc w:val="center"/>
              <w:rPr>
                <w:rFonts w:ascii="宋体" w:hAnsi="宋体" w:cs="宋体"/>
                <w:szCs w:val="21"/>
              </w:rPr>
            </w:pPr>
            <w:r>
              <w:rPr>
                <w:rFonts w:hint="eastAsia" w:ascii="宋体" w:hAnsi="宋体" w:cs="宋体"/>
                <w:szCs w:val="21"/>
              </w:rPr>
              <w:t>所有制性质</w:t>
            </w:r>
          </w:p>
        </w:tc>
        <w:tc>
          <w:tcPr>
            <w:tcW w:w="1575" w:type="dxa"/>
            <w:vAlign w:val="center"/>
          </w:tcPr>
          <w:p>
            <w:pPr>
              <w:jc w:val="center"/>
              <w:rPr>
                <w:rFonts w:ascii="宋体" w:hAnsi="宋体" w:cs="宋体"/>
                <w:szCs w:val="21"/>
              </w:rPr>
            </w:pPr>
          </w:p>
        </w:tc>
        <w:tc>
          <w:tcPr>
            <w:tcW w:w="1724" w:type="dxa"/>
            <w:vAlign w:val="center"/>
          </w:tcPr>
          <w:p>
            <w:pPr>
              <w:jc w:val="center"/>
              <w:rPr>
                <w:rFonts w:ascii="宋体" w:hAnsi="宋体" w:cs="宋体"/>
                <w:szCs w:val="21"/>
              </w:rPr>
            </w:pPr>
            <w:r>
              <w:rPr>
                <w:rFonts w:hint="eastAsia" w:ascii="宋体" w:hAnsi="宋体" w:cs="宋体"/>
                <w:szCs w:val="21"/>
              </w:rPr>
              <w:t>资质及等级</w:t>
            </w:r>
          </w:p>
        </w:tc>
        <w:tc>
          <w:tcPr>
            <w:tcW w:w="1418"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trPr>
        <w:tc>
          <w:tcPr>
            <w:tcW w:w="1529" w:type="dxa"/>
            <w:vAlign w:val="center"/>
          </w:tcPr>
          <w:p>
            <w:pPr>
              <w:jc w:val="center"/>
              <w:rPr>
                <w:rFonts w:ascii="宋体" w:hAnsi="宋体" w:cs="宋体"/>
                <w:szCs w:val="21"/>
              </w:rPr>
            </w:pPr>
            <w:r>
              <w:rPr>
                <w:rFonts w:hint="eastAsia" w:ascii="宋体" w:hAnsi="宋体" w:cs="宋体"/>
                <w:szCs w:val="21"/>
              </w:rPr>
              <w:t>注册机关</w:t>
            </w:r>
          </w:p>
        </w:tc>
        <w:tc>
          <w:tcPr>
            <w:tcW w:w="1659" w:type="dxa"/>
            <w:vAlign w:val="center"/>
          </w:tcPr>
          <w:p>
            <w:pPr>
              <w:jc w:val="center"/>
              <w:rPr>
                <w:rFonts w:ascii="宋体" w:hAnsi="宋体" w:cs="宋体"/>
                <w:szCs w:val="21"/>
              </w:rPr>
            </w:pPr>
          </w:p>
        </w:tc>
        <w:tc>
          <w:tcPr>
            <w:tcW w:w="1350" w:type="dxa"/>
            <w:vAlign w:val="center"/>
          </w:tcPr>
          <w:p>
            <w:pPr>
              <w:jc w:val="center"/>
              <w:rPr>
                <w:rFonts w:ascii="宋体" w:hAnsi="宋体" w:cs="宋体"/>
                <w:szCs w:val="21"/>
              </w:rPr>
            </w:pPr>
            <w:r>
              <w:rPr>
                <w:rFonts w:hint="eastAsia" w:ascii="宋体" w:hAnsi="宋体" w:cs="宋体"/>
                <w:szCs w:val="21"/>
              </w:rPr>
              <w:t>注册时间</w:t>
            </w:r>
          </w:p>
        </w:tc>
        <w:tc>
          <w:tcPr>
            <w:tcW w:w="4717" w:type="dxa"/>
            <w:gridSpan w:val="3"/>
            <w:vAlign w:val="center"/>
          </w:tcPr>
          <w:p>
            <w:pPr>
              <w:jc w:val="center"/>
              <w:rPr>
                <w:rFonts w:ascii="宋体" w:hAnsi="宋体" w:cs="宋体"/>
                <w:szCs w:val="21"/>
              </w:rPr>
            </w:pPr>
            <w:r>
              <w:rPr>
                <w:rFonts w:hint="eastAsia" w:ascii="宋体" w:hAnsi="宋体" w:cs="宋体"/>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7" w:hRule="atLeast"/>
        </w:trPr>
        <w:tc>
          <w:tcPr>
            <w:tcW w:w="1529" w:type="dxa"/>
            <w:vAlign w:val="center"/>
          </w:tcPr>
          <w:p>
            <w:pPr>
              <w:jc w:val="center"/>
              <w:rPr>
                <w:rFonts w:ascii="宋体" w:hAnsi="宋体" w:cs="宋体"/>
                <w:szCs w:val="21"/>
              </w:rPr>
            </w:pPr>
            <w:r>
              <w:rPr>
                <w:rFonts w:hint="eastAsia" w:ascii="宋体" w:hAnsi="宋体" w:cs="宋体"/>
                <w:szCs w:val="21"/>
              </w:rPr>
              <w:t>人员</w:t>
            </w:r>
          </w:p>
          <w:p>
            <w:pPr>
              <w:jc w:val="center"/>
              <w:rPr>
                <w:rFonts w:ascii="宋体" w:hAnsi="宋体" w:cs="宋体"/>
                <w:szCs w:val="21"/>
              </w:rPr>
            </w:pPr>
            <w:r>
              <w:rPr>
                <w:rFonts w:hint="eastAsia" w:ascii="宋体" w:hAnsi="宋体" w:cs="宋体"/>
                <w:szCs w:val="21"/>
              </w:rPr>
              <w:t>情况</w:t>
            </w:r>
          </w:p>
        </w:tc>
        <w:tc>
          <w:tcPr>
            <w:tcW w:w="7726" w:type="dxa"/>
            <w:gridSpan w:val="5"/>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2" w:hRule="atLeast"/>
        </w:trPr>
        <w:tc>
          <w:tcPr>
            <w:tcW w:w="1529" w:type="dxa"/>
            <w:vAlign w:val="center"/>
          </w:tcPr>
          <w:p>
            <w:pPr>
              <w:jc w:val="center"/>
              <w:rPr>
                <w:rFonts w:ascii="宋体" w:hAnsi="宋体" w:cs="宋体"/>
                <w:szCs w:val="21"/>
              </w:rPr>
            </w:pPr>
            <w:r>
              <w:rPr>
                <w:rFonts w:hint="eastAsia" w:ascii="宋体" w:hAnsi="宋体" w:cs="宋体"/>
                <w:szCs w:val="21"/>
              </w:rPr>
              <w:t>业务</w:t>
            </w:r>
          </w:p>
          <w:p>
            <w:pPr>
              <w:jc w:val="center"/>
              <w:rPr>
                <w:rFonts w:ascii="宋体" w:hAnsi="宋体" w:cs="宋体"/>
                <w:szCs w:val="21"/>
              </w:rPr>
            </w:pPr>
            <w:r>
              <w:rPr>
                <w:rFonts w:hint="eastAsia" w:ascii="宋体" w:hAnsi="宋体" w:cs="宋体"/>
                <w:szCs w:val="21"/>
              </w:rPr>
              <w:t>开展</w:t>
            </w:r>
          </w:p>
          <w:p>
            <w:pPr>
              <w:jc w:val="center"/>
              <w:rPr>
                <w:rFonts w:ascii="宋体" w:hAnsi="宋体" w:cs="宋体"/>
                <w:szCs w:val="21"/>
              </w:rPr>
            </w:pPr>
            <w:r>
              <w:rPr>
                <w:rFonts w:hint="eastAsia" w:ascii="宋体" w:hAnsi="宋体" w:cs="宋体"/>
                <w:szCs w:val="21"/>
              </w:rPr>
              <w:t>情况</w:t>
            </w:r>
          </w:p>
        </w:tc>
        <w:tc>
          <w:tcPr>
            <w:tcW w:w="7726" w:type="dxa"/>
            <w:gridSpan w:val="5"/>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8" w:hRule="atLeast"/>
        </w:trPr>
        <w:tc>
          <w:tcPr>
            <w:tcW w:w="1529" w:type="dxa"/>
            <w:vAlign w:val="center"/>
          </w:tcPr>
          <w:p>
            <w:pPr>
              <w:jc w:val="center"/>
              <w:rPr>
                <w:rFonts w:ascii="宋体" w:hAnsi="宋体" w:cs="宋体"/>
                <w:szCs w:val="21"/>
              </w:rPr>
            </w:pPr>
            <w:r>
              <w:rPr>
                <w:rFonts w:hint="eastAsia" w:ascii="宋体" w:hAnsi="宋体" w:cs="宋体"/>
                <w:szCs w:val="21"/>
              </w:rPr>
              <w:t>内部</w:t>
            </w:r>
          </w:p>
          <w:p>
            <w:pPr>
              <w:jc w:val="center"/>
              <w:rPr>
                <w:rFonts w:ascii="宋体" w:hAnsi="宋体" w:cs="宋体"/>
                <w:szCs w:val="21"/>
              </w:rPr>
            </w:pPr>
            <w:r>
              <w:rPr>
                <w:rFonts w:hint="eastAsia" w:ascii="宋体" w:hAnsi="宋体" w:cs="宋体"/>
                <w:szCs w:val="21"/>
              </w:rPr>
              <w:t>机构</w:t>
            </w:r>
          </w:p>
          <w:p>
            <w:pPr>
              <w:jc w:val="center"/>
              <w:rPr>
                <w:rFonts w:ascii="宋体" w:hAnsi="宋体" w:cs="宋体"/>
                <w:szCs w:val="21"/>
              </w:rPr>
            </w:pPr>
            <w:r>
              <w:rPr>
                <w:rFonts w:hint="eastAsia" w:ascii="宋体" w:hAnsi="宋体" w:cs="宋体"/>
                <w:szCs w:val="21"/>
              </w:rPr>
              <w:t>设置</w:t>
            </w:r>
          </w:p>
          <w:p>
            <w:pPr>
              <w:jc w:val="center"/>
              <w:rPr>
                <w:rFonts w:ascii="宋体" w:hAnsi="宋体" w:cs="宋体"/>
                <w:szCs w:val="21"/>
              </w:rPr>
            </w:pPr>
            <w:r>
              <w:rPr>
                <w:rFonts w:hint="eastAsia" w:ascii="宋体" w:hAnsi="宋体" w:cs="宋体"/>
                <w:szCs w:val="21"/>
              </w:rPr>
              <w:t>情况</w:t>
            </w:r>
          </w:p>
        </w:tc>
        <w:tc>
          <w:tcPr>
            <w:tcW w:w="7726" w:type="dxa"/>
            <w:gridSpan w:val="5"/>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26" w:hRule="atLeast"/>
        </w:trPr>
        <w:tc>
          <w:tcPr>
            <w:tcW w:w="1529" w:type="dxa"/>
            <w:vAlign w:val="center"/>
          </w:tcPr>
          <w:p>
            <w:pPr>
              <w:jc w:val="center"/>
              <w:rPr>
                <w:rFonts w:ascii="宋体" w:hAnsi="宋体" w:cs="宋体"/>
                <w:szCs w:val="21"/>
              </w:rPr>
            </w:pPr>
            <w:r>
              <w:rPr>
                <w:rFonts w:hint="eastAsia" w:ascii="宋体" w:hAnsi="宋体" w:cs="宋体"/>
                <w:szCs w:val="21"/>
              </w:rPr>
              <w:t>财务</w:t>
            </w:r>
          </w:p>
          <w:p>
            <w:pPr>
              <w:jc w:val="center"/>
              <w:rPr>
                <w:rFonts w:ascii="宋体" w:hAnsi="宋体" w:cs="宋体"/>
                <w:szCs w:val="21"/>
              </w:rPr>
            </w:pPr>
            <w:r>
              <w:rPr>
                <w:rFonts w:hint="eastAsia" w:ascii="宋体" w:hAnsi="宋体" w:cs="宋体"/>
                <w:szCs w:val="21"/>
              </w:rPr>
              <w:t>状况</w:t>
            </w:r>
          </w:p>
          <w:p>
            <w:pPr>
              <w:jc w:val="center"/>
              <w:rPr>
                <w:rFonts w:ascii="宋体" w:hAnsi="宋体" w:cs="宋体"/>
                <w:szCs w:val="21"/>
              </w:rPr>
            </w:pPr>
            <w:r>
              <w:rPr>
                <w:rFonts w:hint="eastAsia" w:ascii="宋体" w:hAnsi="宋体" w:cs="宋体"/>
                <w:szCs w:val="21"/>
              </w:rPr>
              <w:t>说明</w:t>
            </w:r>
          </w:p>
        </w:tc>
        <w:tc>
          <w:tcPr>
            <w:tcW w:w="7726" w:type="dxa"/>
            <w:gridSpan w:val="5"/>
          </w:tcPr>
          <w:p>
            <w:pPr>
              <w:rPr>
                <w:rFonts w:ascii="宋体" w:hAnsi="宋体" w:cs="宋体"/>
                <w:szCs w:val="21"/>
              </w:rPr>
            </w:pPr>
          </w:p>
        </w:tc>
      </w:tr>
    </w:tbl>
    <w:p>
      <w:pPr>
        <w:pStyle w:val="2"/>
      </w:pPr>
    </w:p>
    <w:p>
      <w:pPr>
        <w:pStyle w:val="5"/>
        <w:spacing w:line="560" w:lineRule="exact"/>
        <w:rPr>
          <w:rFonts w:hAnsi="宋体"/>
          <w:szCs w:val="22"/>
          <w:u w:val="none"/>
        </w:rPr>
      </w:pPr>
      <w:bookmarkStart w:id="436" w:name="_Toc12623"/>
      <w:bookmarkStart w:id="437" w:name="_Toc23202"/>
      <w:bookmarkStart w:id="438" w:name="_Toc7134"/>
      <w:bookmarkStart w:id="439" w:name="_Toc46136873"/>
      <w:r>
        <w:rPr>
          <w:rFonts w:hint="eastAsia" w:hAnsi="宋体"/>
          <w:u w:val="none"/>
        </w:rPr>
        <w:t>10.</w:t>
      </w:r>
      <w:bookmarkEnd w:id="436"/>
      <w:bookmarkEnd w:id="437"/>
      <w:bookmarkEnd w:id="438"/>
      <w:bookmarkEnd w:id="439"/>
      <w:r>
        <w:rPr>
          <w:rFonts w:hint="eastAsia" w:hAnsi="宋体"/>
          <w:u w:val="none"/>
        </w:rPr>
        <w:t>技术规格、参数偏离表</w:t>
      </w:r>
    </w:p>
    <w:p>
      <w:pPr>
        <w:tabs>
          <w:tab w:val="center" w:pos="4819"/>
          <w:tab w:val="left" w:pos="6740"/>
        </w:tabs>
        <w:autoSpaceDE w:val="0"/>
        <w:autoSpaceDN w:val="0"/>
        <w:adjustRightInd w:val="0"/>
        <w:spacing w:line="360" w:lineRule="auto"/>
        <w:jc w:val="center"/>
        <w:rPr>
          <w:rFonts w:ascii="宋体" w:hAnsi="宋体" w:cs="宋体"/>
          <w:b/>
          <w:szCs w:val="21"/>
          <w:lang w:val="zh-CN"/>
        </w:rPr>
      </w:pPr>
      <w:bookmarkStart w:id="440" w:name="_Toc16125_WPSOffice_Level1"/>
      <w:bookmarkStart w:id="441" w:name="_Toc23538_WPSOffice_Level1"/>
      <w:bookmarkStart w:id="442" w:name="_Toc7431"/>
      <w:r>
        <w:rPr>
          <w:rFonts w:hint="eastAsia" w:ascii="宋体" w:hAnsi="宋体" w:cs="宋体"/>
          <w:b/>
          <w:szCs w:val="21"/>
          <w:lang w:val="zh-CN"/>
        </w:rPr>
        <w:t>技术规格、参数偏离表</w:t>
      </w:r>
      <w:bookmarkEnd w:id="440"/>
      <w:bookmarkEnd w:id="441"/>
      <w:bookmarkEnd w:id="442"/>
    </w:p>
    <w:p>
      <w:pPr>
        <w:autoSpaceDE w:val="0"/>
        <w:autoSpaceDN w:val="0"/>
        <w:adjustRightInd w:val="0"/>
        <w:spacing w:line="360" w:lineRule="auto"/>
        <w:ind w:firstLine="240"/>
        <w:rPr>
          <w:rFonts w:ascii="宋体" w:hAnsi="宋体" w:cs="宋体"/>
          <w:szCs w:val="21"/>
          <w:lang w:val="zh-CN"/>
        </w:rPr>
      </w:pPr>
      <w:r>
        <w:rPr>
          <w:rFonts w:hint="eastAsia" w:ascii="宋体" w:hAnsi="宋体" w:cs="宋体"/>
          <w:szCs w:val="21"/>
          <w:lang w:val="zh-CN"/>
        </w:rPr>
        <w:t>供应商名称：</w:t>
      </w:r>
    </w:p>
    <w:tbl>
      <w:tblPr>
        <w:tblStyle w:val="23"/>
        <w:tblW w:w="9370" w:type="dxa"/>
        <w:jc w:val="center"/>
        <w:tblLayout w:type="fixed"/>
        <w:tblCellMar>
          <w:top w:w="0" w:type="dxa"/>
          <w:left w:w="108" w:type="dxa"/>
          <w:bottom w:w="0" w:type="dxa"/>
          <w:right w:w="108" w:type="dxa"/>
        </w:tblCellMar>
      </w:tblPr>
      <w:tblGrid>
        <w:gridCol w:w="798"/>
        <w:gridCol w:w="1172"/>
        <w:gridCol w:w="2405"/>
        <w:gridCol w:w="1110"/>
        <w:gridCol w:w="1965"/>
        <w:gridCol w:w="1312"/>
        <w:gridCol w:w="608"/>
      </w:tblGrid>
      <w:tr>
        <w:tblPrEx>
          <w:tblCellMar>
            <w:top w:w="0" w:type="dxa"/>
            <w:left w:w="108" w:type="dxa"/>
            <w:bottom w:w="0" w:type="dxa"/>
            <w:right w:w="108" w:type="dxa"/>
          </w:tblCellMar>
        </w:tblPrEx>
        <w:trPr>
          <w:trHeight w:val="550" w:hRule="atLeast"/>
          <w:jc w:val="center"/>
        </w:trPr>
        <w:tc>
          <w:tcPr>
            <w:tcW w:w="798" w:type="dxa"/>
            <w:vMerge w:val="restart"/>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序号</w:t>
            </w:r>
          </w:p>
        </w:tc>
        <w:tc>
          <w:tcPr>
            <w:tcW w:w="3577"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谈判文件条款</w:t>
            </w:r>
          </w:p>
        </w:tc>
        <w:tc>
          <w:tcPr>
            <w:tcW w:w="3075"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报价文件条款</w:t>
            </w:r>
          </w:p>
        </w:tc>
        <w:tc>
          <w:tcPr>
            <w:tcW w:w="1312"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Cs w:val="21"/>
              </w:rPr>
            </w:pPr>
            <w:r>
              <w:rPr>
                <w:rFonts w:hint="eastAsia" w:ascii="宋体" w:hAnsi="宋体" w:cs="宋体"/>
                <w:szCs w:val="21"/>
              </w:rPr>
              <w:t>偏离情况（正偏离/负偏离/无偏离）</w:t>
            </w:r>
          </w:p>
        </w:tc>
        <w:tc>
          <w:tcPr>
            <w:tcW w:w="60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Cs w:val="21"/>
              </w:rPr>
            </w:pPr>
            <w:r>
              <w:rPr>
                <w:rFonts w:hint="eastAsia" w:ascii="宋体" w:hAnsi="宋体" w:cs="宋体"/>
                <w:szCs w:val="21"/>
              </w:rPr>
              <w:t>备注</w:t>
            </w:r>
          </w:p>
        </w:tc>
      </w:tr>
      <w:tr>
        <w:tblPrEx>
          <w:tblCellMar>
            <w:top w:w="0" w:type="dxa"/>
            <w:left w:w="108" w:type="dxa"/>
            <w:bottom w:w="0" w:type="dxa"/>
            <w:right w:w="108" w:type="dxa"/>
          </w:tblCellMar>
        </w:tblPrEx>
        <w:trPr>
          <w:trHeight w:val="566" w:hRule="atLeast"/>
          <w:jc w:val="center"/>
        </w:trPr>
        <w:tc>
          <w:tcPr>
            <w:tcW w:w="798" w:type="dxa"/>
            <w:vMerge w:val="continue"/>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lang w:val="zh-CN"/>
              </w:rPr>
            </w:pPr>
          </w:p>
        </w:tc>
        <w:tc>
          <w:tcPr>
            <w:tcW w:w="1172" w:type="dxa"/>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条款号</w:t>
            </w:r>
          </w:p>
        </w:tc>
        <w:tc>
          <w:tcPr>
            <w:tcW w:w="2405" w:type="dxa"/>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条款内容</w:t>
            </w:r>
          </w:p>
        </w:tc>
        <w:tc>
          <w:tcPr>
            <w:tcW w:w="1110" w:type="dxa"/>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条款号</w:t>
            </w:r>
          </w:p>
        </w:tc>
        <w:tc>
          <w:tcPr>
            <w:tcW w:w="1965" w:type="dxa"/>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条款内容</w:t>
            </w:r>
          </w:p>
        </w:tc>
        <w:tc>
          <w:tcPr>
            <w:tcW w:w="1312" w:type="dxa"/>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lang w:val="zh-CN"/>
              </w:rPr>
            </w:pPr>
          </w:p>
        </w:tc>
        <w:tc>
          <w:tcPr>
            <w:tcW w:w="608" w:type="dxa"/>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lang w:val="zh-CN"/>
              </w:rPr>
            </w:pPr>
          </w:p>
        </w:tc>
      </w:tr>
      <w:tr>
        <w:tblPrEx>
          <w:tblCellMar>
            <w:top w:w="0" w:type="dxa"/>
            <w:left w:w="108" w:type="dxa"/>
            <w:bottom w:w="0" w:type="dxa"/>
            <w:right w:w="108" w:type="dxa"/>
          </w:tblCellMar>
        </w:tblPrEx>
        <w:trPr>
          <w:trHeight w:val="524" w:hRule="atLeast"/>
          <w:jc w:val="center"/>
        </w:trPr>
        <w:tc>
          <w:tcPr>
            <w:tcW w:w="79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1172"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240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111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196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1312"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60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r>
      <w:tr>
        <w:tblPrEx>
          <w:tblCellMar>
            <w:top w:w="0" w:type="dxa"/>
            <w:left w:w="108" w:type="dxa"/>
            <w:bottom w:w="0" w:type="dxa"/>
            <w:right w:w="108" w:type="dxa"/>
          </w:tblCellMar>
        </w:tblPrEx>
        <w:trPr>
          <w:trHeight w:val="524" w:hRule="atLeast"/>
          <w:jc w:val="center"/>
        </w:trPr>
        <w:tc>
          <w:tcPr>
            <w:tcW w:w="79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1172"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240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111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196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1312"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60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r>
      <w:tr>
        <w:tblPrEx>
          <w:tblCellMar>
            <w:top w:w="0" w:type="dxa"/>
            <w:left w:w="108" w:type="dxa"/>
            <w:bottom w:w="0" w:type="dxa"/>
            <w:right w:w="108" w:type="dxa"/>
          </w:tblCellMar>
        </w:tblPrEx>
        <w:trPr>
          <w:trHeight w:val="524" w:hRule="atLeast"/>
          <w:jc w:val="center"/>
        </w:trPr>
        <w:tc>
          <w:tcPr>
            <w:tcW w:w="79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1172"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240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111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196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1312"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60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r>
    </w:tbl>
    <w:p>
      <w:pPr>
        <w:pStyle w:val="21"/>
        <w:jc w:val="center"/>
        <w:rPr>
          <w:rFonts w:cs="宋体"/>
          <w:szCs w:val="21"/>
          <w:lang w:val="zh-CN"/>
        </w:rPr>
      </w:pPr>
      <w:r>
        <w:rPr>
          <w:rFonts w:hint="eastAsia" w:cs="宋体"/>
          <w:szCs w:val="21"/>
        </w:rPr>
        <w:t xml:space="preserve">                               供应商全称（公章）：</w:t>
      </w:r>
    </w:p>
    <w:p>
      <w:pPr>
        <w:autoSpaceDE w:val="0"/>
        <w:autoSpaceDN w:val="0"/>
        <w:adjustRightInd w:val="0"/>
        <w:spacing w:line="360" w:lineRule="auto"/>
        <w:rPr>
          <w:rFonts w:ascii="宋体" w:hAnsi="宋体" w:cs="宋体"/>
          <w:szCs w:val="21"/>
          <w:lang w:val="zh-CN"/>
        </w:rPr>
      </w:pPr>
      <w:r>
        <w:rPr>
          <w:rFonts w:hint="eastAsia" w:ascii="宋体" w:hAnsi="宋体" w:cs="宋体"/>
          <w:szCs w:val="21"/>
          <w:lang w:val="zh-CN"/>
        </w:rPr>
        <w:t xml:space="preserve">                                             日期 :    年  月  日</w:t>
      </w:r>
    </w:p>
    <w:p>
      <w:pPr>
        <w:pStyle w:val="36"/>
        <w:rPr>
          <w:rFonts w:ascii="宋体" w:hAnsi="宋体" w:cs="宋体"/>
          <w:sz w:val="21"/>
          <w:szCs w:val="21"/>
          <w:lang w:val="zh-CN"/>
        </w:rPr>
      </w:pPr>
    </w:p>
    <w:p>
      <w:pPr>
        <w:autoSpaceDE w:val="0"/>
        <w:autoSpaceDN w:val="0"/>
        <w:adjustRightInd w:val="0"/>
        <w:spacing w:line="360" w:lineRule="auto"/>
        <w:jc w:val="center"/>
        <w:rPr>
          <w:rFonts w:ascii="宋体" w:hAnsi="宋体" w:cs="宋体"/>
          <w:b/>
          <w:szCs w:val="21"/>
          <w:lang w:val="zh-CN"/>
        </w:rPr>
      </w:pPr>
      <w:bookmarkStart w:id="443" w:name="_Toc14954_WPSOffice_Level1"/>
      <w:bookmarkStart w:id="444" w:name="_Toc4251"/>
      <w:bookmarkStart w:id="445" w:name="_Toc19309_WPSOffice_Level1"/>
      <w:r>
        <w:rPr>
          <w:rFonts w:hint="eastAsia" w:ascii="宋体" w:hAnsi="宋体" w:cs="宋体"/>
          <w:b/>
          <w:szCs w:val="21"/>
          <w:lang w:val="zh-CN"/>
        </w:rPr>
        <w:t>商务条款偏离表</w:t>
      </w:r>
      <w:bookmarkEnd w:id="443"/>
      <w:bookmarkEnd w:id="444"/>
      <w:bookmarkEnd w:id="445"/>
    </w:p>
    <w:tbl>
      <w:tblPr>
        <w:tblStyle w:val="23"/>
        <w:tblW w:w="9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065"/>
        <w:gridCol w:w="2595"/>
        <w:gridCol w:w="1476"/>
        <w:gridCol w:w="1764"/>
        <w:gridCol w:w="1415"/>
        <w:gridCol w:w="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20" w:type="dxa"/>
            <w:vMerge w:val="restart"/>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序号</w:t>
            </w:r>
          </w:p>
        </w:tc>
        <w:tc>
          <w:tcPr>
            <w:tcW w:w="3660" w:type="dxa"/>
            <w:gridSpan w:val="2"/>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谈判文件条款</w:t>
            </w:r>
          </w:p>
        </w:tc>
        <w:tc>
          <w:tcPr>
            <w:tcW w:w="3240" w:type="dxa"/>
            <w:gridSpan w:val="2"/>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报价文件条款</w:t>
            </w:r>
          </w:p>
        </w:tc>
        <w:tc>
          <w:tcPr>
            <w:tcW w:w="1415" w:type="dxa"/>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rPr>
              <w:t>偏离情况（正偏离/负偏离/无偏离）</w:t>
            </w:r>
          </w:p>
        </w:tc>
        <w:tc>
          <w:tcPr>
            <w:tcW w:w="718" w:type="dxa"/>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20" w:type="dxa"/>
            <w:vMerge w:val="continue"/>
            <w:vAlign w:val="center"/>
          </w:tcPr>
          <w:p>
            <w:pPr>
              <w:autoSpaceDE w:val="0"/>
              <w:autoSpaceDN w:val="0"/>
              <w:adjustRightInd w:val="0"/>
              <w:spacing w:line="240" w:lineRule="atLeast"/>
              <w:jc w:val="center"/>
              <w:rPr>
                <w:rFonts w:ascii="宋体" w:hAnsi="宋体" w:cs="宋体"/>
                <w:szCs w:val="21"/>
                <w:lang w:val="zh-CN"/>
              </w:rPr>
            </w:pPr>
          </w:p>
        </w:tc>
        <w:tc>
          <w:tcPr>
            <w:tcW w:w="1065" w:type="dxa"/>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条款号</w:t>
            </w:r>
          </w:p>
        </w:tc>
        <w:tc>
          <w:tcPr>
            <w:tcW w:w="2595" w:type="dxa"/>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条款内容</w:t>
            </w:r>
          </w:p>
        </w:tc>
        <w:tc>
          <w:tcPr>
            <w:tcW w:w="1476" w:type="dxa"/>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条款号</w:t>
            </w:r>
          </w:p>
        </w:tc>
        <w:tc>
          <w:tcPr>
            <w:tcW w:w="1764" w:type="dxa"/>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条款内容</w:t>
            </w:r>
          </w:p>
        </w:tc>
        <w:tc>
          <w:tcPr>
            <w:tcW w:w="1415" w:type="dxa"/>
            <w:vAlign w:val="center"/>
          </w:tcPr>
          <w:p>
            <w:pPr>
              <w:autoSpaceDE w:val="0"/>
              <w:autoSpaceDN w:val="0"/>
              <w:adjustRightInd w:val="0"/>
              <w:spacing w:line="240" w:lineRule="atLeast"/>
              <w:jc w:val="center"/>
              <w:rPr>
                <w:rFonts w:ascii="宋体" w:hAnsi="宋体" w:cs="宋体"/>
                <w:szCs w:val="21"/>
                <w:lang w:val="zh-CN"/>
              </w:rPr>
            </w:pPr>
          </w:p>
        </w:tc>
        <w:tc>
          <w:tcPr>
            <w:tcW w:w="718" w:type="dxa"/>
            <w:vAlign w:val="center"/>
          </w:tcPr>
          <w:p>
            <w:pPr>
              <w:autoSpaceDE w:val="0"/>
              <w:autoSpaceDN w:val="0"/>
              <w:adjustRightInd w:val="0"/>
              <w:spacing w:line="240" w:lineRule="atLeast"/>
              <w:jc w:val="center"/>
              <w:rPr>
                <w:rFonts w:ascii="宋体" w:hAnsi="宋体" w:cs="宋体"/>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20" w:type="dxa"/>
          </w:tcPr>
          <w:p>
            <w:pPr>
              <w:autoSpaceDE w:val="0"/>
              <w:autoSpaceDN w:val="0"/>
              <w:adjustRightInd w:val="0"/>
              <w:spacing w:line="360" w:lineRule="auto"/>
              <w:rPr>
                <w:rFonts w:ascii="宋体" w:hAnsi="宋体" w:cs="宋体"/>
                <w:szCs w:val="21"/>
                <w:lang w:val="zh-CN"/>
              </w:rPr>
            </w:pPr>
          </w:p>
        </w:tc>
        <w:tc>
          <w:tcPr>
            <w:tcW w:w="1065" w:type="dxa"/>
          </w:tcPr>
          <w:p>
            <w:pPr>
              <w:autoSpaceDE w:val="0"/>
              <w:autoSpaceDN w:val="0"/>
              <w:adjustRightInd w:val="0"/>
              <w:spacing w:line="360" w:lineRule="auto"/>
              <w:rPr>
                <w:rFonts w:ascii="宋体" w:hAnsi="宋体" w:cs="宋体"/>
                <w:szCs w:val="21"/>
                <w:lang w:val="zh-CN"/>
              </w:rPr>
            </w:pPr>
          </w:p>
        </w:tc>
        <w:tc>
          <w:tcPr>
            <w:tcW w:w="2595" w:type="dxa"/>
          </w:tcPr>
          <w:p>
            <w:pPr>
              <w:autoSpaceDE w:val="0"/>
              <w:autoSpaceDN w:val="0"/>
              <w:adjustRightInd w:val="0"/>
              <w:spacing w:line="360" w:lineRule="auto"/>
              <w:rPr>
                <w:rFonts w:ascii="宋体" w:hAnsi="宋体" w:cs="宋体"/>
                <w:szCs w:val="21"/>
                <w:lang w:val="zh-CN"/>
              </w:rPr>
            </w:pPr>
          </w:p>
        </w:tc>
        <w:tc>
          <w:tcPr>
            <w:tcW w:w="1476" w:type="dxa"/>
          </w:tcPr>
          <w:p>
            <w:pPr>
              <w:autoSpaceDE w:val="0"/>
              <w:autoSpaceDN w:val="0"/>
              <w:adjustRightInd w:val="0"/>
              <w:spacing w:line="360" w:lineRule="auto"/>
              <w:rPr>
                <w:rFonts w:ascii="宋体" w:hAnsi="宋体" w:cs="宋体"/>
                <w:szCs w:val="21"/>
                <w:lang w:val="zh-CN"/>
              </w:rPr>
            </w:pPr>
          </w:p>
        </w:tc>
        <w:tc>
          <w:tcPr>
            <w:tcW w:w="1764" w:type="dxa"/>
          </w:tcPr>
          <w:p>
            <w:pPr>
              <w:autoSpaceDE w:val="0"/>
              <w:autoSpaceDN w:val="0"/>
              <w:adjustRightInd w:val="0"/>
              <w:spacing w:line="360" w:lineRule="auto"/>
              <w:rPr>
                <w:rFonts w:ascii="宋体" w:hAnsi="宋体" w:cs="宋体"/>
                <w:szCs w:val="21"/>
                <w:lang w:val="zh-CN"/>
              </w:rPr>
            </w:pPr>
          </w:p>
        </w:tc>
        <w:tc>
          <w:tcPr>
            <w:tcW w:w="1415" w:type="dxa"/>
          </w:tcPr>
          <w:p>
            <w:pPr>
              <w:autoSpaceDE w:val="0"/>
              <w:autoSpaceDN w:val="0"/>
              <w:adjustRightInd w:val="0"/>
              <w:spacing w:line="360" w:lineRule="auto"/>
              <w:rPr>
                <w:rFonts w:ascii="宋体" w:hAnsi="宋体" w:cs="宋体"/>
                <w:szCs w:val="21"/>
                <w:lang w:val="zh-CN"/>
              </w:rPr>
            </w:pPr>
          </w:p>
        </w:tc>
        <w:tc>
          <w:tcPr>
            <w:tcW w:w="718" w:type="dxa"/>
          </w:tcPr>
          <w:p>
            <w:pPr>
              <w:autoSpaceDE w:val="0"/>
              <w:autoSpaceDN w:val="0"/>
              <w:adjustRightInd w:val="0"/>
              <w:spacing w:line="360" w:lineRule="auto"/>
              <w:rPr>
                <w:rFonts w:ascii="宋体" w:hAnsi="宋体" w:cs="宋体"/>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20" w:type="dxa"/>
          </w:tcPr>
          <w:p>
            <w:pPr>
              <w:autoSpaceDE w:val="0"/>
              <w:autoSpaceDN w:val="0"/>
              <w:adjustRightInd w:val="0"/>
              <w:spacing w:line="360" w:lineRule="auto"/>
              <w:rPr>
                <w:rFonts w:ascii="宋体" w:hAnsi="宋体" w:cs="宋体"/>
                <w:szCs w:val="21"/>
                <w:lang w:val="zh-CN"/>
              </w:rPr>
            </w:pPr>
          </w:p>
        </w:tc>
        <w:tc>
          <w:tcPr>
            <w:tcW w:w="1065" w:type="dxa"/>
          </w:tcPr>
          <w:p>
            <w:pPr>
              <w:autoSpaceDE w:val="0"/>
              <w:autoSpaceDN w:val="0"/>
              <w:adjustRightInd w:val="0"/>
              <w:spacing w:line="360" w:lineRule="auto"/>
              <w:rPr>
                <w:rFonts w:ascii="宋体" w:hAnsi="宋体" w:cs="宋体"/>
                <w:szCs w:val="21"/>
                <w:lang w:val="zh-CN"/>
              </w:rPr>
            </w:pPr>
          </w:p>
        </w:tc>
        <w:tc>
          <w:tcPr>
            <w:tcW w:w="2595" w:type="dxa"/>
          </w:tcPr>
          <w:p>
            <w:pPr>
              <w:autoSpaceDE w:val="0"/>
              <w:autoSpaceDN w:val="0"/>
              <w:adjustRightInd w:val="0"/>
              <w:spacing w:line="360" w:lineRule="auto"/>
              <w:rPr>
                <w:rFonts w:ascii="宋体" w:hAnsi="宋体" w:cs="宋体"/>
                <w:szCs w:val="21"/>
                <w:lang w:val="zh-CN"/>
              </w:rPr>
            </w:pPr>
          </w:p>
        </w:tc>
        <w:tc>
          <w:tcPr>
            <w:tcW w:w="1476" w:type="dxa"/>
          </w:tcPr>
          <w:p>
            <w:pPr>
              <w:autoSpaceDE w:val="0"/>
              <w:autoSpaceDN w:val="0"/>
              <w:adjustRightInd w:val="0"/>
              <w:spacing w:line="360" w:lineRule="auto"/>
              <w:rPr>
                <w:rFonts w:ascii="宋体" w:hAnsi="宋体" w:cs="宋体"/>
                <w:szCs w:val="21"/>
                <w:lang w:val="zh-CN"/>
              </w:rPr>
            </w:pPr>
          </w:p>
        </w:tc>
        <w:tc>
          <w:tcPr>
            <w:tcW w:w="1764" w:type="dxa"/>
          </w:tcPr>
          <w:p>
            <w:pPr>
              <w:autoSpaceDE w:val="0"/>
              <w:autoSpaceDN w:val="0"/>
              <w:adjustRightInd w:val="0"/>
              <w:spacing w:line="360" w:lineRule="auto"/>
              <w:rPr>
                <w:rFonts w:ascii="宋体" w:hAnsi="宋体" w:cs="宋体"/>
                <w:szCs w:val="21"/>
                <w:lang w:val="zh-CN"/>
              </w:rPr>
            </w:pPr>
          </w:p>
        </w:tc>
        <w:tc>
          <w:tcPr>
            <w:tcW w:w="1415" w:type="dxa"/>
          </w:tcPr>
          <w:p>
            <w:pPr>
              <w:autoSpaceDE w:val="0"/>
              <w:autoSpaceDN w:val="0"/>
              <w:adjustRightInd w:val="0"/>
              <w:spacing w:line="360" w:lineRule="auto"/>
              <w:rPr>
                <w:rFonts w:ascii="宋体" w:hAnsi="宋体" w:cs="宋体"/>
                <w:szCs w:val="21"/>
                <w:lang w:val="zh-CN"/>
              </w:rPr>
            </w:pPr>
          </w:p>
        </w:tc>
        <w:tc>
          <w:tcPr>
            <w:tcW w:w="718" w:type="dxa"/>
          </w:tcPr>
          <w:p>
            <w:pPr>
              <w:autoSpaceDE w:val="0"/>
              <w:autoSpaceDN w:val="0"/>
              <w:adjustRightInd w:val="0"/>
              <w:spacing w:line="360" w:lineRule="auto"/>
              <w:rPr>
                <w:rFonts w:ascii="宋体" w:hAnsi="宋体" w:cs="宋体"/>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20" w:type="dxa"/>
          </w:tcPr>
          <w:p>
            <w:pPr>
              <w:autoSpaceDE w:val="0"/>
              <w:autoSpaceDN w:val="0"/>
              <w:adjustRightInd w:val="0"/>
              <w:spacing w:line="360" w:lineRule="auto"/>
              <w:rPr>
                <w:rFonts w:ascii="宋体" w:hAnsi="宋体" w:cs="宋体"/>
                <w:szCs w:val="21"/>
                <w:lang w:val="zh-CN"/>
              </w:rPr>
            </w:pPr>
          </w:p>
        </w:tc>
        <w:tc>
          <w:tcPr>
            <w:tcW w:w="1065" w:type="dxa"/>
          </w:tcPr>
          <w:p>
            <w:pPr>
              <w:autoSpaceDE w:val="0"/>
              <w:autoSpaceDN w:val="0"/>
              <w:adjustRightInd w:val="0"/>
              <w:spacing w:line="360" w:lineRule="auto"/>
              <w:rPr>
                <w:rFonts w:ascii="宋体" w:hAnsi="宋体" w:cs="宋体"/>
                <w:szCs w:val="21"/>
                <w:lang w:val="zh-CN"/>
              </w:rPr>
            </w:pPr>
          </w:p>
        </w:tc>
        <w:tc>
          <w:tcPr>
            <w:tcW w:w="2595" w:type="dxa"/>
          </w:tcPr>
          <w:p>
            <w:pPr>
              <w:autoSpaceDE w:val="0"/>
              <w:autoSpaceDN w:val="0"/>
              <w:adjustRightInd w:val="0"/>
              <w:spacing w:line="360" w:lineRule="auto"/>
              <w:rPr>
                <w:rFonts w:ascii="宋体" w:hAnsi="宋体" w:cs="宋体"/>
                <w:szCs w:val="21"/>
                <w:lang w:val="zh-CN"/>
              </w:rPr>
            </w:pPr>
          </w:p>
        </w:tc>
        <w:tc>
          <w:tcPr>
            <w:tcW w:w="1476" w:type="dxa"/>
          </w:tcPr>
          <w:p>
            <w:pPr>
              <w:autoSpaceDE w:val="0"/>
              <w:autoSpaceDN w:val="0"/>
              <w:adjustRightInd w:val="0"/>
              <w:spacing w:line="360" w:lineRule="auto"/>
              <w:rPr>
                <w:rFonts w:ascii="宋体" w:hAnsi="宋体" w:cs="宋体"/>
                <w:szCs w:val="21"/>
                <w:lang w:val="zh-CN"/>
              </w:rPr>
            </w:pPr>
          </w:p>
        </w:tc>
        <w:tc>
          <w:tcPr>
            <w:tcW w:w="1764" w:type="dxa"/>
          </w:tcPr>
          <w:p>
            <w:pPr>
              <w:autoSpaceDE w:val="0"/>
              <w:autoSpaceDN w:val="0"/>
              <w:adjustRightInd w:val="0"/>
              <w:spacing w:line="360" w:lineRule="auto"/>
              <w:rPr>
                <w:rFonts w:ascii="宋体" w:hAnsi="宋体" w:cs="宋体"/>
                <w:szCs w:val="21"/>
                <w:lang w:val="zh-CN"/>
              </w:rPr>
            </w:pPr>
          </w:p>
        </w:tc>
        <w:tc>
          <w:tcPr>
            <w:tcW w:w="1415" w:type="dxa"/>
          </w:tcPr>
          <w:p>
            <w:pPr>
              <w:autoSpaceDE w:val="0"/>
              <w:autoSpaceDN w:val="0"/>
              <w:adjustRightInd w:val="0"/>
              <w:spacing w:line="360" w:lineRule="auto"/>
              <w:rPr>
                <w:rFonts w:ascii="宋体" w:hAnsi="宋体" w:cs="宋体"/>
                <w:szCs w:val="21"/>
                <w:lang w:val="zh-CN"/>
              </w:rPr>
            </w:pPr>
          </w:p>
        </w:tc>
        <w:tc>
          <w:tcPr>
            <w:tcW w:w="718" w:type="dxa"/>
          </w:tcPr>
          <w:p>
            <w:pPr>
              <w:autoSpaceDE w:val="0"/>
              <w:autoSpaceDN w:val="0"/>
              <w:adjustRightInd w:val="0"/>
              <w:spacing w:line="360" w:lineRule="auto"/>
              <w:rPr>
                <w:rFonts w:ascii="宋体" w:hAnsi="宋体" w:cs="宋体"/>
                <w:szCs w:val="21"/>
                <w:lang w:val="zh-CN"/>
              </w:rPr>
            </w:pPr>
          </w:p>
        </w:tc>
      </w:tr>
    </w:tbl>
    <w:p>
      <w:pPr>
        <w:pStyle w:val="21"/>
        <w:ind w:firstLine="5250" w:firstLineChars="2500"/>
        <w:rPr>
          <w:rFonts w:cs="宋体"/>
          <w:szCs w:val="21"/>
          <w:lang w:val="zh-CN"/>
        </w:rPr>
      </w:pPr>
      <w:r>
        <w:rPr>
          <w:rFonts w:hint="eastAsia" w:cs="宋体"/>
          <w:szCs w:val="21"/>
        </w:rPr>
        <w:t>供应商全称（公章）：</w:t>
      </w:r>
    </w:p>
    <w:p>
      <w:pPr>
        <w:autoSpaceDE w:val="0"/>
        <w:autoSpaceDN w:val="0"/>
        <w:adjustRightInd w:val="0"/>
        <w:spacing w:line="360" w:lineRule="auto"/>
        <w:rPr>
          <w:rFonts w:ascii="宋体" w:hAnsi="宋体" w:cs="宋体"/>
          <w:szCs w:val="21"/>
          <w:lang w:val="zh-CN"/>
        </w:rPr>
      </w:pPr>
      <w:r>
        <w:rPr>
          <w:rFonts w:hint="eastAsia" w:ascii="宋体" w:hAnsi="宋体" w:cs="宋体"/>
          <w:szCs w:val="21"/>
          <w:lang w:val="zh-CN"/>
        </w:rPr>
        <w:t xml:space="preserve">                                                  日期 :   年  月  日</w:t>
      </w:r>
    </w:p>
    <w:p>
      <w:pPr>
        <w:pStyle w:val="36"/>
        <w:rPr>
          <w:rFonts w:ascii="宋体" w:hAnsi="宋体" w:cs="宋体"/>
          <w:sz w:val="21"/>
          <w:szCs w:val="21"/>
          <w:lang w:val="zh-CN"/>
        </w:rPr>
      </w:pPr>
    </w:p>
    <w:p>
      <w:pPr>
        <w:autoSpaceDE w:val="0"/>
        <w:autoSpaceDN w:val="0"/>
        <w:adjustRightInd w:val="0"/>
        <w:spacing w:line="560" w:lineRule="exact"/>
        <w:rPr>
          <w:rFonts w:ascii="宋体" w:hAnsi="宋体" w:cs="宋体"/>
          <w:b/>
          <w:szCs w:val="21"/>
          <w:lang w:val="zh-CN"/>
        </w:rPr>
      </w:pPr>
      <w:r>
        <w:rPr>
          <w:rFonts w:hint="eastAsia" w:ascii="宋体" w:hAnsi="宋体" w:cs="宋体"/>
          <w:b/>
          <w:szCs w:val="21"/>
          <w:lang w:val="zh-CN"/>
        </w:rPr>
        <w:t>注：（1）</w:t>
      </w:r>
      <w:r>
        <w:rPr>
          <w:rFonts w:hint="eastAsia" w:ascii="宋体" w:hAnsi="宋体" w:cs="宋体"/>
          <w:b/>
          <w:szCs w:val="21"/>
        </w:rPr>
        <w:t>供应商提交的报价文件实际服务技术规范、要求应逐条例在逐项应答偏离表中，</w:t>
      </w:r>
      <w:r>
        <w:rPr>
          <w:rFonts w:hint="eastAsia" w:ascii="宋体" w:hAnsi="宋体" w:cs="宋体"/>
          <w:b/>
          <w:szCs w:val="21"/>
          <w:lang w:val="zh-CN"/>
        </w:rPr>
        <w:t>如有偏离请说明理由，如无偏离请注明“无</w:t>
      </w:r>
      <w:r>
        <w:rPr>
          <w:rFonts w:hint="eastAsia" w:ascii="宋体" w:hAnsi="宋体" w:cs="宋体"/>
          <w:b/>
          <w:szCs w:val="21"/>
        </w:rPr>
        <w:t>偏离</w:t>
      </w:r>
      <w:r>
        <w:rPr>
          <w:rFonts w:hint="eastAsia" w:ascii="宋体" w:hAnsi="宋体" w:cs="宋体"/>
          <w:b/>
          <w:szCs w:val="21"/>
          <w:lang w:val="zh-CN"/>
        </w:rPr>
        <w:t>”。</w:t>
      </w:r>
    </w:p>
    <w:p>
      <w:pPr>
        <w:autoSpaceDE w:val="0"/>
        <w:autoSpaceDN w:val="0"/>
        <w:adjustRightInd w:val="0"/>
        <w:spacing w:line="560" w:lineRule="exact"/>
        <w:rPr>
          <w:rFonts w:ascii="宋体" w:hAnsi="宋体" w:cs="宋体"/>
          <w:b/>
          <w:szCs w:val="21"/>
          <w:lang w:val="zh-CN"/>
        </w:rPr>
      </w:pPr>
      <w:r>
        <w:rPr>
          <w:rFonts w:hint="eastAsia" w:ascii="宋体" w:hAnsi="宋体" w:cs="宋体"/>
          <w:b/>
          <w:szCs w:val="21"/>
          <w:lang w:val="zh-CN"/>
        </w:rPr>
        <w:t>（</w:t>
      </w:r>
      <w:r>
        <w:rPr>
          <w:rFonts w:hint="eastAsia" w:ascii="宋体" w:hAnsi="宋体" w:cs="宋体"/>
          <w:b/>
          <w:szCs w:val="21"/>
        </w:rPr>
        <w:t>2</w:t>
      </w:r>
      <w:r>
        <w:rPr>
          <w:rFonts w:hint="eastAsia" w:ascii="宋体" w:hAnsi="宋体" w:cs="宋体"/>
          <w:b/>
          <w:szCs w:val="21"/>
          <w:lang w:val="zh-CN"/>
        </w:rPr>
        <w:t>）商务偏离中供货期、付款方式、质保期条款的负偏离视为不响应谈判文件的实质性要求。</w:t>
      </w:r>
    </w:p>
    <w:p>
      <w:pPr>
        <w:pStyle w:val="5"/>
        <w:spacing w:line="560" w:lineRule="exact"/>
        <w:rPr>
          <w:u w:val="none"/>
        </w:rPr>
      </w:pPr>
    </w:p>
    <w:p>
      <w:pPr>
        <w:pStyle w:val="5"/>
        <w:spacing w:line="560" w:lineRule="exact"/>
        <w:rPr>
          <w:rFonts w:hAnsi="宋体"/>
          <w:szCs w:val="21"/>
          <w:u w:val="none"/>
        </w:rPr>
      </w:pPr>
      <w:bookmarkStart w:id="446" w:name="_Toc7560"/>
      <w:bookmarkStart w:id="447" w:name="_Toc31520"/>
      <w:bookmarkStart w:id="448" w:name="_Toc4012"/>
      <w:r>
        <w:rPr>
          <w:rFonts w:hint="eastAsia" w:hAnsi="宋体"/>
          <w:u w:val="none"/>
        </w:rPr>
        <w:t>11.业绩一览表</w:t>
      </w:r>
      <w:bookmarkEnd w:id="446"/>
      <w:bookmarkEnd w:id="447"/>
      <w:bookmarkEnd w:id="448"/>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934"/>
        <w:gridCol w:w="1437"/>
        <w:gridCol w:w="1437"/>
        <w:gridCol w:w="1437"/>
        <w:gridCol w:w="1265"/>
        <w:gridCol w:w="14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pPr>
              <w:spacing w:line="360" w:lineRule="auto"/>
              <w:jc w:val="center"/>
              <w:rPr>
                <w:rFonts w:ascii="宋体" w:hAnsi="宋体" w:cs="宋体"/>
                <w:b/>
                <w:bCs/>
                <w:szCs w:val="21"/>
              </w:rPr>
            </w:pPr>
            <w:r>
              <w:rPr>
                <w:rFonts w:hint="eastAsia" w:ascii="宋体" w:hAnsi="宋体" w:cs="宋体"/>
                <w:b/>
                <w:bCs/>
                <w:szCs w:val="21"/>
              </w:rPr>
              <w:t>序号</w:t>
            </w:r>
          </w:p>
        </w:tc>
        <w:tc>
          <w:tcPr>
            <w:tcW w:w="1934" w:type="dxa"/>
            <w:vAlign w:val="center"/>
          </w:tcPr>
          <w:p>
            <w:pPr>
              <w:spacing w:line="360" w:lineRule="auto"/>
              <w:jc w:val="center"/>
              <w:rPr>
                <w:rFonts w:ascii="宋体" w:hAnsi="宋体" w:cs="宋体"/>
                <w:b/>
                <w:bCs/>
                <w:szCs w:val="21"/>
              </w:rPr>
            </w:pPr>
            <w:r>
              <w:rPr>
                <w:rFonts w:hint="eastAsia" w:ascii="宋体" w:hAnsi="宋体" w:cs="宋体"/>
                <w:b/>
                <w:bCs/>
                <w:szCs w:val="21"/>
              </w:rPr>
              <w:t>项目名称</w:t>
            </w:r>
          </w:p>
        </w:tc>
        <w:tc>
          <w:tcPr>
            <w:tcW w:w="1437" w:type="dxa"/>
            <w:vAlign w:val="center"/>
          </w:tcPr>
          <w:p>
            <w:pPr>
              <w:spacing w:line="360" w:lineRule="auto"/>
              <w:jc w:val="center"/>
              <w:rPr>
                <w:rFonts w:ascii="宋体" w:hAnsi="宋体" w:cs="宋体"/>
                <w:b/>
                <w:bCs/>
                <w:szCs w:val="21"/>
              </w:rPr>
            </w:pPr>
            <w:r>
              <w:rPr>
                <w:rFonts w:hint="eastAsia" w:ascii="宋体" w:hAnsi="宋体" w:cs="宋体"/>
                <w:b/>
                <w:bCs/>
                <w:szCs w:val="21"/>
              </w:rPr>
              <w:t>合同金额</w:t>
            </w:r>
          </w:p>
        </w:tc>
        <w:tc>
          <w:tcPr>
            <w:tcW w:w="1437" w:type="dxa"/>
            <w:vAlign w:val="center"/>
          </w:tcPr>
          <w:p>
            <w:pPr>
              <w:spacing w:line="360" w:lineRule="auto"/>
              <w:jc w:val="center"/>
              <w:rPr>
                <w:rFonts w:ascii="宋体" w:hAnsi="宋体" w:cs="宋体"/>
                <w:b/>
                <w:bCs/>
                <w:szCs w:val="21"/>
              </w:rPr>
            </w:pPr>
            <w:r>
              <w:rPr>
                <w:rFonts w:hint="eastAsia" w:ascii="宋体" w:hAnsi="宋体" w:cs="宋体"/>
                <w:b/>
                <w:bCs/>
                <w:szCs w:val="21"/>
              </w:rPr>
              <w:t>签约单位</w:t>
            </w:r>
          </w:p>
        </w:tc>
        <w:tc>
          <w:tcPr>
            <w:tcW w:w="1437" w:type="dxa"/>
            <w:vAlign w:val="center"/>
          </w:tcPr>
          <w:p>
            <w:pPr>
              <w:spacing w:line="360" w:lineRule="auto"/>
              <w:jc w:val="center"/>
              <w:rPr>
                <w:rFonts w:ascii="宋体" w:hAnsi="宋体" w:cs="宋体"/>
                <w:b/>
                <w:bCs/>
                <w:szCs w:val="21"/>
              </w:rPr>
            </w:pPr>
            <w:r>
              <w:rPr>
                <w:rFonts w:hint="eastAsia" w:ascii="宋体" w:hAnsi="宋体" w:cs="宋体"/>
                <w:b/>
                <w:bCs/>
                <w:szCs w:val="21"/>
              </w:rPr>
              <w:t>时间（合同签订起止）</w:t>
            </w:r>
          </w:p>
        </w:tc>
        <w:tc>
          <w:tcPr>
            <w:tcW w:w="1265" w:type="dxa"/>
            <w:vAlign w:val="center"/>
          </w:tcPr>
          <w:p>
            <w:pPr>
              <w:spacing w:line="360" w:lineRule="auto"/>
              <w:jc w:val="center"/>
              <w:rPr>
                <w:rFonts w:ascii="宋体" w:hAnsi="宋体" w:cs="宋体"/>
                <w:b/>
                <w:bCs/>
                <w:szCs w:val="21"/>
              </w:rPr>
            </w:pPr>
            <w:r>
              <w:rPr>
                <w:rFonts w:hint="eastAsia" w:ascii="宋体" w:hAnsi="宋体" w:cs="宋体"/>
                <w:b/>
                <w:bCs/>
                <w:szCs w:val="21"/>
              </w:rPr>
              <w:t>签约单位联系人</w:t>
            </w:r>
          </w:p>
        </w:tc>
        <w:tc>
          <w:tcPr>
            <w:tcW w:w="1479" w:type="dxa"/>
            <w:vAlign w:val="center"/>
          </w:tcPr>
          <w:p>
            <w:pPr>
              <w:spacing w:line="360" w:lineRule="auto"/>
              <w:jc w:val="center"/>
              <w:rPr>
                <w:rFonts w:ascii="宋体" w:hAnsi="宋体" w:cs="宋体"/>
                <w:b/>
                <w:bCs/>
                <w:szCs w:val="21"/>
              </w:rPr>
            </w:pPr>
            <w:r>
              <w:rPr>
                <w:rFonts w:hint="eastAsia" w:ascii="宋体" w:hAnsi="宋体" w:cs="宋体"/>
                <w:b/>
                <w:bCs/>
                <w:szCs w:val="21"/>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szCs w:val="21"/>
              </w:rPr>
            </w:pPr>
          </w:p>
        </w:tc>
        <w:tc>
          <w:tcPr>
            <w:tcW w:w="1934" w:type="dxa"/>
          </w:tcPr>
          <w:p>
            <w:pPr>
              <w:spacing w:line="360" w:lineRule="auto"/>
              <w:rPr>
                <w:rFonts w:ascii="宋体" w:hAnsi="宋体" w:cs="宋体"/>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szCs w:val="21"/>
              </w:rPr>
            </w:pPr>
          </w:p>
        </w:tc>
        <w:tc>
          <w:tcPr>
            <w:tcW w:w="1934" w:type="dxa"/>
          </w:tcPr>
          <w:p>
            <w:pPr>
              <w:spacing w:line="360" w:lineRule="auto"/>
              <w:rPr>
                <w:rFonts w:ascii="宋体" w:hAnsi="宋体" w:cs="宋体"/>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0" w:type="dxa"/>
          </w:tcPr>
          <w:p>
            <w:pPr>
              <w:spacing w:line="360" w:lineRule="auto"/>
              <w:rPr>
                <w:rFonts w:ascii="宋体" w:hAnsi="宋体" w:cs="宋体"/>
                <w:szCs w:val="21"/>
              </w:rPr>
            </w:pPr>
          </w:p>
        </w:tc>
        <w:tc>
          <w:tcPr>
            <w:tcW w:w="1934" w:type="dxa"/>
          </w:tcPr>
          <w:p>
            <w:pPr>
              <w:spacing w:line="360" w:lineRule="auto"/>
              <w:rPr>
                <w:rFonts w:ascii="宋体" w:hAnsi="宋体" w:cs="宋体"/>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szCs w:val="21"/>
              </w:rPr>
            </w:pPr>
          </w:p>
        </w:tc>
        <w:tc>
          <w:tcPr>
            <w:tcW w:w="1934" w:type="dxa"/>
          </w:tcPr>
          <w:p>
            <w:pPr>
              <w:spacing w:line="360" w:lineRule="auto"/>
              <w:rPr>
                <w:rFonts w:ascii="宋体" w:hAnsi="宋体" w:cs="宋体"/>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szCs w:val="21"/>
              </w:rPr>
            </w:pPr>
          </w:p>
        </w:tc>
        <w:tc>
          <w:tcPr>
            <w:tcW w:w="1934" w:type="dxa"/>
          </w:tcPr>
          <w:p>
            <w:pPr>
              <w:spacing w:line="360" w:lineRule="auto"/>
              <w:rPr>
                <w:rFonts w:ascii="宋体" w:hAnsi="宋体" w:cs="宋体"/>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szCs w:val="21"/>
              </w:rPr>
            </w:pPr>
          </w:p>
        </w:tc>
        <w:tc>
          <w:tcPr>
            <w:tcW w:w="1934" w:type="dxa"/>
          </w:tcPr>
          <w:p>
            <w:pPr>
              <w:spacing w:line="360" w:lineRule="auto"/>
              <w:rPr>
                <w:rFonts w:ascii="宋体" w:hAnsi="宋体" w:cs="宋体"/>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0" w:type="dxa"/>
          </w:tcPr>
          <w:p>
            <w:pPr>
              <w:spacing w:line="360" w:lineRule="auto"/>
              <w:rPr>
                <w:rFonts w:ascii="宋体" w:hAnsi="宋体" w:cs="宋体"/>
                <w:b/>
                <w:bCs/>
                <w:szCs w:val="21"/>
              </w:rPr>
            </w:pPr>
          </w:p>
        </w:tc>
        <w:tc>
          <w:tcPr>
            <w:tcW w:w="1934"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Cs w:val="21"/>
              </w:rPr>
            </w:pPr>
          </w:p>
        </w:tc>
        <w:tc>
          <w:tcPr>
            <w:tcW w:w="1934"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Cs w:val="21"/>
              </w:rPr>
            </w:pPr>
          </w:p>
        </w:tc>
        <w:tc>
          <w:tcPr>
            <w:tcW w:w="1934"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Cs w:val="21"/>
              </w:rPr>
            </w:pPr>
          </w:p>
        </w:tc>
        <w:tc>
          <w:tcPr>
            <w:tcW w:w="1934"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0" w:type="dxa"/>
          </w:tcPr>
          <w:p>
            <w:pPr>
              <w:spacing w:line="360" w:lineRule="auto"/>
              <w:rPr>
                <w:rFonts w:ascii="宋体" w:hAnsi="宋体" w:cs="宋体"/>
                <w:b/>
                <w:bCs/>
                <w:szCs w:val="21"/>
              </w:rPr>
            </w:pPr>
          </w:p>
        </w:tc>
        <w:tc>
          <w:tcPr>
            <w:tcW w:w="1934"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Cs w:val="21"/>
              </w:rPr>
            </w:pPr>
          </w:p>
        </w:tc>
        <w:tc>
          <w:tcPr>
            <w:tcW w:w="1934"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Cs w:val="21"/>
              </w:rPr>
            </w:pPr>
          </w:p>
        </w:tc>
        <w:tc>
          <w:tcPr>
            <w:tcW w:w="1934"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Cs w:val="21"/>
              </w:rPr>
            </w:pPr>
          </w:p>
        </w:tc>
        <w:tc>
          <w:tcPr>
            <w:tcW w:w="1934"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0" w:type="dxa"/>
          </w:tcPr>
          <w:p>
            <w:pPr>
              <w:spacing w:line="360" w:lineRule="auto"/>
              <w:rPr>
                <w:rFonts w:ascii="宋体" w:hAnsi="宋体" w:cs="宋体"/>
                <w:b/>
                <w:bCs/>
                <w:szCs w:val="21"/>
              </w:rPr>
            </w:pPr>
          </w:p>
        </w:tc>
        <w:tc>
          <w:tcPr>
            <w:tcW w:w="1934"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bl>
    <w:p>
      <w:pPr>
        <w:spacing w:line="480" w:lineRule="auto"/>
        <w:ind w:right="-20"/>
        <w:jc w:val="left"/>
        <w:rPr>
          <w:rFonts w:ascii="宋体" w:hAnsi="宋体" w:cs="宋体"/>
          <w:b/>
          <w:bCs/>
          <w:szCs w:val="21"/>
        </w:rPr>
      </w:pPr>
      <w:r>
        <w:rPr>
          <w:rFonts w:hint="eastAsia" w:ascii="宋体" w:hAnsi="宋体" w:cs="宋体"/>
          <w:b/>
          <w:bCs/>
          <w:szCs w:val="21"/>
        </w:rPr>
        <w:t>注</w:t>
      </w:r>
      <w:r>
        <w:rPr>
          <w:rFonts w:hint="eastAsia" w:ascii="宋体" w:hAnsi="宋体" w:cs="宋体"/>
          <w:b/>
          <w:bCs/>
          <w:spacing w:val="2"/>
          <w:szCs w:val="21"/>
        </w:rPr>
        <w:t>：</w:t>
      </w:r>
      <w:r>
        <w:rPr>
          <w:rFonts w:hint="eastAsia" w:ascii="宋体" w:hAnsi="宋体" w:cs="宋体"/>
          <w:b/>
          <w:bCs/>
          <w:szCs w:val="21"/>
        </w:rPr>
        <w:t>须</w:t>
      </w:r>
      <w:r>
        <w:rPr>
          <w:rFonts w:hint="eastAsia" w:ascii="宋体" w:hAnsi="宋体" w:cs="宋体"/>
          <w:b/>
          <w:bCs/>
          <w:spacing w:val="2"/>
          <w:szCs w:val="21"/>
        </w:rPr>
        <w:t>附</w:t>
      </w:r>
      <w:r>
        <w:rPr>
          <w:rFonts w:hint="eastAsia" w:ascii="宋体" w:hAnsi="宋体" w:cs="宋体"/>
          <w:b/>
          <w:bCs/>
          <w:szCs w:val="21"/>
        </w:rPr>
        <w:t>相关</w:t>
      </w:r>
      <w:r>
        <w:rPr>
          <w:rFonts w:hint="eastAsia" w:ascii="宋体" w:hAnsi="宋体" w:cs="宋体"/>
          <w:b/>
          <w:bCs/>
          <w:spacing w:val="2"/>
          <w:szCs w:val="21"/>
        </w:rPr>
        <w:t>中</w:t>
      </w:r>
      <w:r>
        <w:rPr>
          <w:rFonts w:hint="eastAsia" w:ascii="宋体" w:hAnsi="宋体" w:cs="宋体"/>
          <w:b/>
          <w:bCs/>
          <w:szCs w:val="21"/>
        </w:rPr>
        <w:t>标</w:t>
      </w:r>
      <w:r>
        <w:rPr>
          <w:rFonts w:hint="eastAsia" w:ascii="宋体" w:hAnsi="宋体" w:cs="宋体"/>
          <w:b/>
          <w:bCs/>
          <w:spacing w:val="2"/>
          <w:szCs w:val="21"/>
        </w:rPr>
        <w:t>合</w:t>
      </w:r>
      <w:r>
        <w:rPr>
          <w:rFonts w:hint="eastAsia" w:ascii="宋体" w:hAnsi="宋体" w:cs="宋体"/>
          <w:b/>
          <w:bCs/>
          <w:szCs w:val="21"/>
        </w:rPr>
        <w:t>同或</w:t>
      </w:r>
      <w:r>
        <w:rPr>
          <w:rFonts w:hint="eastAsia" w:ascii="宋体" w:hAnsi="宋体" w:cs="宋体"/>
          <w:b/>
          <w:bCs/>
          <w:spacing w:val="2"/>
          <w:szCs w:val="21"/>
        </w:rPr>
        <w:t>协</w:t>
      </w:r>
      <w:r>
        <w:rPr>
          <w:rFonts w:hint="eastAsia" w:ascii="宋体" w:hAnsi="宋体" w:cs="宋体"/>
          <w:b/>
          <w:bCs/>
          <w:szCs w:val="21"/>
        </w:rPr>
        <w:t>议书</w:t>
      </w:r>
      <w:r>
        <w:rPr>
          <w:rFonts w:hint="eastAsia" w:ascii="宋体" w:hAnsi="宋体" w:cs="宋体"/>
          <w:b/>
          <w:bCs/>
          <w:spacing w:val="2"/>
          <w:szCs w:val="21"/>
        </w:rPr>
        <w:t>原件扫描</w:t>
      </w:r>
      <w:r>
        <w:rPr>
          <w:rFonts w:hint="eastAsia" w:ascii="宋体" w:hAnsi="宋体" w:cs="宋体"/>
          <w:b/>
          <w:bCs/>
          <w:szCs w:val="21"/>
        </w:rPr>
        <w:t>件；</w:t>
      </w:r>
    </w:p>
    <w:p>
      <w:pPr>
        <w:adjustRightInd w:val="0"/>
        <w:snapToGrid w:val="0"/>
        <w:spacing w:line="500" w:lineRule="exact"/>
        <w:ind w:firstLine="211" w:firstLineChars="100"/>
        <w:jc w:val="left"/>
        <w:rPr>
          <w:rFonts w:ascii="宋体" w:hAnsi="宋体" w:cs="宋体"/>
          <w:b/>
          <w:szCs w:val="21"/>
        </w:rPr>
      </w:pPr>
      <w:r>
        <w:rPr>
          <w:rFonts w:hint="eastAsia" w:ascii="宋体" w:hAnsi="宋体" w:cs="宋体"/>
          <w:b/>
          <w:szCs w:val="21"/>
        </w:rPr>
        <w:t>①须附</w:t>
      </w:r>
      <w:r>
        <w:rPr>
          <w:rFonts w:hint="eastAsia" w:ascii="宋体" w:hAnsi="宋体" w:cs="宋体"/>
          <w:b/>
          <w:szCs w:val="21"/>
          <w:lang w:val="zh-CN"/>
        </w:rPr>
        <w:t>合同原件扫描件</w:t>
      </w:r>
      <w:r>
        <w:rPr>
          <w:rFonts w:hint="eastAsia" w:ascii="宋体" w:hAnsi="宋体" w:cs="宋体"/>
          <w:b/>
          <w:szCs w:val="21"/>
        </w:rPr>
        <w:t>。</w:t>
      </w:r>
    </w:p>
    <w:p>
      <w:pPr>
        <w:adjustRightInd w:val="0"/>
        <w:snapToGrid w:val="0"/>
        <w:spacing w:line="500" w:lineRule="exact"/>
        <w:ind w:firstLine="211" w:firstLineChars="100"/>
        <w:jc w:val="left"/>
        <w:rPr>
          <w:rFonts w:ascii="宋体" w:hAnsi="宋体" w:cs="宋体"/>
          <w:b/>
          <w:szCs w:val="21"/>
        </w:rPr>
      </w:pPr>
      <w:r>
        <w:rPr>
          <w:rFonts w:hint="eastAsia" w:ascii="宋体" w:hAnsi="宋体" w:cs="宋体"/>
          <w:b/>
          <w:szCs w:val="21"/>
        </w:rPr>
        <w:t xml:space="preserve">②报价文件业绩一览表中需提供真实的合同甲方联系人及电话。严禁弄虚作假，一经发现，按无效报价处理。 </w:t>
      </w:r>
    </w:p>
    <w:p>
      <w:pPr>
        <w:adjustRightInd w:val="0"/>
        <w:snapToGrid w:val="0"/>
        <w:spacing w:line="500" w:lineRule="exact"/>
        <w:ind w:firstLine="211" w:firstLineChars="100"/>
        <w:jc w:val="left"/>
        <w:rPr>
          <w:rFonts w:ascii="宋体" w:hAnsi="宋体" w:cs="宋体"/>
          <w:b/>
          <w:szCs w:val="21"/>
        </w:rPr>
      </w:pPr>
      <w:r>
        <w:rPr>
          <w:rFonts w:hint="eastAsia" w:ascii="宋体" w:hAnsi="宋体" w:cs="宋体"/>
          <w:b/>
          <w:szCs w:val="21"/>
        </w:rPr>
        <w:t>③类似业绩是指供应商已经完成的与本次采购要求相同或者类同的货物，并且签订合同一方必须是供应商。</w:t>
      </w:r>
    </w:p>
    <w:p>
      <w:pPr>
        <w:adjustRightInd w:val="0"/>
        <w:snapToGrid w:val="0"/>
        <w:spacing w:line="500" w:lineRule="exact"/>
        <w:ind w:firstLine="211" w:firstLineChars="100"/>
        <w:jc w:val="left"/>
        <w:rPr>
          <w:rFonts w:ascii="宋体" w:hAnsi="宋体" w:cs="宋体"/>
          <w:b/>
          <w:szCs w:val="21"/>
        </w:rPr>
      </w:pPr>
      <w:r>
        <w:rPr>
          <w:rFonts w:hint="eastAsia" w:ascii="宋体" w:hAnsi="宋体" w:cs="宋体"/>
          <w:b/>
          <w:szCs w:val="21"/>
        </w:rPr>
        <w:t>④此表列数不够，可续表。</w:t>
      </w:r>
    </w:p>
    <w:p>
      <w:pPr>
        <w:adjustRightInd w:val="0"/>
        <w:snapToGrid w:val="0"/>
        <w:spacing w:line="500" w:lineRule="exact"/>
        <w:jc w:val="left"/>
        <w:rPr>
          <w:rFonts w:ascii="宋体" w:hAnsi="宋体" w:cs="宋体"/>
          <w:b/>
          <w:szCs w:val="21"/>
        </w:rPr>
      </w:pPr>
      <w:r>
        <w:rPr>
          <w:rFonts w:hint="eastAsia" w:ascii="宋体" w:hAnsi="宋体" w:cs="宋体"/>
          <w:b/>
          <w:szCs w:val="21"/>
        </w:rPr>
        <w:t xml:space="preserve">  注：</w:t>
      </w:r>
      <w:r>
        <w:rPr>
          <w:rFonts w:hint="eastAsia" w:ascii="宋体" w:hAnsi="宋体" w:cs="宋体"/>
          <w:b/>
          <w:szCs w:val="21"/>
          <w:lang w:val="zh-CN"/>
        </w:rPr>
        <w:t>须附相应</w:t>
      </w:r>
      <w:r>
        <w:rPr>
          <w:rFonts w:hint="eastAsia" w:ascii="宋体" w:hAnsi="宋体" w:cs="宋体"/>
          <w:b/>
          <w:szCs w:val="21"/>
        </w:rPr>
        <w:t>证书</w:t>
      </w:r>
      <w:r>
        <w:rPr>
          <w:rFonts w:hint="eastAsia" w:ascii="宋体" w:hAnsi="宋体" w:cs="宋体"/>
          <w:b/>
          <w:szCs w:val="21"/>
          <w:lang w:val="zh-CN"/>
        </w:rPr>
        <w:t>的原件扫描件。</w:t>
      </w:r>
    </w:p>
    <w:p>
      <w:pPr>
        <w:pStyle w:val="8"/>
        <w:spacing w:line="560" w:lineRule="exact"/>
        <w:rPr>
          <w:rFonts w:hAnsi="宋体"/>
        </w:rPr>
      </w:pPr>
    </w:p>
    <w:p>
      <w:pPr>
        <w:pStyle w:val="8"/>
        <w:spacing w:line="560" w:lineRule="exact"/>
        <w:rPr>
          <w:rFonts w:hAnsi="宋体"/>
        </w:rPr>
      </w:pPr>
    </w:p>
    <w:p>
      <w:pPr>
        <w:pStyle w:val="5"/>
        <w:spacing w:line="560" w:lineRule="exact"/>
        <w:rPr>
          <w:rFonts w:hAnsi="宋体"/>
          <w:u w:val="none"/>
        </w:rPr>
      </w:pPr>
      <w:bookmarkStart w:id="449" w:name="_Toc18788"/>
      <w:bookmarkStart w:id="450" w:name="_Toc32612"/>
      <w:bookmarkStart w:id="451" w:name="_Toc24489"/>
      <w:r>
        <w:rPr>
          <w:rFonts w:hint="eastAsia" w:hAnsi="宋体"/>
          <w:u w:val="none"/>
        </w:rPr>
        <w:t>12.</w:t>
      </w:r>
      <w:bookmarkEnd w:id="449"/>
      <w:bookmarkEnd w:id="450"/>
      <w:bookmarkEnd w:id="451"/>
      <w:r>
        <w:rPr>
          <w:rFonts w:hint="eastAsia" w:hAnsi="宋体"/>
          <w:u w:val="none"/>
        </w:rPr>
        <w:t>相关检测报告及认证证书</w:t>
      </w:r>
    </w:p>
    <w:p>
      <w:pPr>
        <w:autoSpaceDE w:val="0"/>
        <w:autoSpaceDN w:val="0"/>
        <w:adjustRightInd w:val="0"/>
        <w:spacing w:line="560" w:lineRule="exact"/>
        <w:ind w:firstLine="480" w:firstLineChars="200"/>
        <w:jc w:val="left"/>
        <w:rPr>
          <w:rFonts w:ascii="宋体" w:hAnsi="宋体"/>
          <w:kern w:val="0"/>
          <w:sz w:val="24"/>
          <w:szCs w:val="20"/>
        </w:rPr>
      </w:pPr>
    </w:p>
    <w:p>
      <w:pPr>
        <w:pStyle w:val="5"/>
        <w:spacing w:line="560" w:lineRule="exact"/>
        <w:rPr>
          <w:rFonts w:hAnsi="宋体"/>
          <w:u w:val="none"/>
        </w:rPr>
      </w:pPr>
      <w:bookmarkStart w:id="452" w:name="_Toc45562528"/>
      <w:bookmarkStart w:id="453" w:name="_Toc16106"/>
      <w:bookmarkStart w:id="454" w:name="_Toc46136876"/>
      <w:bookmarkStart w:id="455" w:name="_Toc28388"/>
      <w:bookmarkStart w:id="456" w:name="_Toc9559"/>
      <w:r>
        <w:rPr>
          <w:rFonts w:hint="eastAsia" w:hAnsi="宋体"/>
          <w:u w:val="none"/>
        </w:rPr>
        <w:t>13.</w:t>
      </w:r>
      <w:bookmarkEnd w:id="452"/>
      <w:bookmarkEnd w:id="453"/>
      <w:bookmarkEnd w:id="454"/>
      <w:bookmarkEnd w:id="455"/>
      <w:bookmarkEnd w:id="456"/>
      <w:r>
        <w:rPr>
          <w:rFonts w:hint="eastAsia" w:hAnsi="宋体"/>
          <w:u w:val="none"/>
        </w:rPr>
        <w:t>质量保证措施、质保期限及售后服务承诺</w:t>
      </w:r>
    </w:p>
    <w:p>
      <w:pPr>
        <w:spacing w:line="560" w:lineRule="exact"/>
        <w:rPr>
          <w:rFonts w:ascii="宋体" w:hAnsi="宋体"/>
          <w:b/>
          <w:kern w:val="0"/>
          <w:sz w:val="24"/>
          <w:szCs w:val="20"/>
        </w:rPr>
      </w:pPr>
      <w:r>
        <w:rPr>
          <w:rFonts w:hint="eastAsia" w:ascii="宋体" w:hAnsi="宋体"/>
          <w:b/>
          <w:kern w:val="0"/>
          <w:sz w:val="24"/>
          <w:szCs w:val="20"/>
        </w:rPr>
        <w:t>14.质保及维修人员配备及明细表</w:t>
      </w:r>
    </w:p>
    <w:p>
      <w:pPr>
        <w:spacing w:line="560" w:lineRule="exact"/>
        <w:rPr>
          <w:rFonts w:ascii="宋体" w:hAnsi="宋体"/>
          <w:b/>
          <w:kern w:val="0"/>
          <w:sz w:val="24"/>
          <w:szCs w:val="20"/>
        </w:rPr>
      </w:pPr>
    </w:p>
    <w:p>
      <w:pPr>
        <w:numPr>
          <w:ilvl w:val="0"/>
          <w:numId w:val="4"/>
        </w:numPr>
        <w:spacing w:line="560" w:lineRule="exact"/>
        <w:rPr>
          <w:rFonts w:ascii="宋体" w:hAnsi="宋体"/>
          <w:b/>
          <w:kern w:val="0"/>
          <w:sz w:val="24"/>
          <w:szCs w:val="20"/>
        </w:rPr>
      </w:pPr>
      <w:r>
        <w:rPr>
          <w:rFonts w:hint="eastAsia" w:ascii="宋体" w:hAnsi="宋体"/>
          <w:b/>
          <w:kern w:val="0"/>
          <w:sz w:val="24"/>
          <w:szCs w:val="20"/>
        </w:rPr>
        <w:t>技术评审文件</w:t>
      </w:r>
    </w:p>
    <w:p>
      <w:pPr>
        <w:spacing w:line="560" w:lineRule="exact"/>
        <w:ind w:firstLine="480" w:firstLineChars="200"/>
        <w:jc w:val="left"/>
        <w:rPr>
          <w:rFonts w:ascii="宋体" w:hAnsi="宋体" w:cs="宋体"/>
          <w:sz w:val="24"/>
        </w:rPr>
      </w:pPr>
      <w:r>
        <w:rPr>
          <w:rFonts w:hint="eastAsia" w:ascii="宋体" w:hAnsi="宋体" w:cs="宋体"/>
          <w:sz w:val="24"/>
        </w:rPr>
        <w:t>（1）详细技术资料（包括品牌型号、外观质量、使用年限、制造工艺、结构、技术参数、技术指标、性能指标、优势特点、质量水平、制造标准、说明书等的详细描述）；</w:t>
      </w:r>
    </w:p>
    <w:p>
      <w:pPr>
        <w:spacing w:line="560" w:lineRule="exact"/>
        <w:ind w:firstLine="480" w:firstLineChars="200"/>
        <w:jc w:val="left"/>
        <w:rPr>
          <w:rFonts w:ascii="宋体" w:hAnsi="宋体" w:cs="宋体"/>
          <w:sz w:val="24"/>
        </w:rPr>
      </w:pPr>
      <w:r>
        <w:rPr>
          <w:rFonts w:hint="eastAsia" w:ascii="宋体" w:hAnsi="宋体" w:cs="宋体"/>
          <w:sz w:val="24"/>
        </w:rPr>
        <w:t xml:space="preserve">（2）供货加工、安装方案； </w:t>
      </w:r>
    </w:p>
    <w:p>
      <w:pPr>
        <w:spacing w:line="560" w:lineRule="exact"/>
        <w:ind w:firstLine="480" w:firstLineChars="200"/>
        <w:jc w:val="left"/>
        <w:rPr>
          <w:rFonts w:ascii="宋体" w:hAnsi="宋体" w:cs="宋体"/>
          <w:sz w:val="24"/>
        </w:rPr>
      </w:pPr>
      <w:r>
        <w:rPr>
          <w:rFonts w:hint="eastAsia" w:ascii="宋体" w:hAnsi="宋体" w:cs="宋体"/>
          <w:sz w:val="24"/>
        </w:rPr>
        <w:t xml:space="preserve">（3）人员配置、质量保障、产品运输、调试、验收等主要技术保障措施； </w:t>
      </w:r>
    </w:p>
    <w:p>
      <w:pPr>
        <w:spacing w:line="560" w:lineRule="exact"/>
        <w:ind w:firstLine="480" w:firstLineChars="200"/>
        <w:jc w:val="left"/>
        <w:rPr>
          <w:rFonts w:ascii="宋体" w:hAnsi="宋体" w:cs="宋体"/>
          <w:sz w:val="24"/>
        </w:rPr>
      </w:pPr>
      <w:r>
        <w:rPr>
          <w:rFonts w:hint="eastAsia" w:ascii="宋体" w:hAnsi="宋体" w:cs="宋体"/>
          <w:sz w:val="24"/>
        </w:rPr>
        <w:t xml:space="preserve">（4）质量保证措施； </w:t>
      </w:r>
    </w:p>
    <w:p>
      <w:pPr>
        <w:spacing w:line="560" w:lineRule="exact"/>
        <w:ind w:firstLine="480" w:firstLineChars="200"/>
        <w:jc w:val="left"/>
        <w:rPr>
          <w:rFonts w:ascii="宋体" w:hAnsi="宋体" w:cs="宋体"/>
          <w:sz w:val="24"/>
        </w:rPr>
      </w:pPr>
      <w:r>
        <w:rPr>
          <w:rFonts w:hint="eastAsia" w:ascii="宋体" w:hAnsi="宋体" w:cs="宋体"/>
          <w:sz w:val="24"/>
        </w:rPr>
        <w:t xml:space="preserve">（5）备品备件供应、耗材情况； </w:t>
      </w:r>
    </w:p>
    <w:p>
      <w:pPr>
        <w:spacing w:line="560" w:lineRule="exact"/>
        <w:ind w:firstLine="480" w:firstLineChars="200"/>
        <w:jc w:val="left"/>
        <w:rPr>
          <w:rFonts w:ascii="宋体" w:hAnsi="宋体" w:cs="宋体"/>
          <w:sz w:val="24"/>
        </w:rPr>
      </w:pPr>
      <w:r>
        <w:rPr>
          <w:rFonts w:hint="eastAsia" w:ascii="宋体" w:hAnsi="宋体" w:cs="宋体"/>
          <w:sz w:val="24"/>
        </w:rPr>
        <w:t xml:space="preserve">（6）产品的技术服务和售后服务承诺内容及措施(包括：质保期、上门服务响应时间、故障排除时限、维护力量安排、人员培训、完工时间、设备维修维护方式、维修承诺等)； </w:t>
      </w:r>
    </w:p>
    <w:p>
      <w:pPr>
        <w:spacing w:line="560" w:lineRule="exact"/>
        <w:ind w:firstLine="480" w:firstLineChars="200"/>
        <w:jc w:val="left"/>
        <w:rPr>
          <w:rFonts w:ascii="宋体" w:hAnsi="宋体" w:cs="宋体"/>
          <w:sz w:val="24"/>
        </w:rPr>
      </w:pPr>
      <w:r>
        <w:rPr>
          <w:rFonts w:hint="eastAsia" w:ascii="宋体" w:hAnsi="宋体" w:cs="宋体"/>
          <w:sz w:val="24"/>
        </w:rPr>
        <w:t>(7)供应商认为应该提交的其他资料。</w:t>
      </w:r>
    </w:p>
    <w:p>
      <w:pPr>
        <w:pStyle w:val="2"/>
        <w:ind w:firstLine="480"/>
        <w:rPr>
          <w:rFonts w:ascii="宋体" w:hAnsi="宋体" w:cs="宋体"/>
          <w:sz w:val="24"/>
        </w:rPr>
      </w:pPr>
    </w:p>
    <w:p>
      <w:pPr>
        <w:rPr>
          <w:rFonts w:ascii="宋体" w:hAnsi="宋体" w:cs="宋体"/>
          <w:sz w:val="24"/>
        </w:rPr>
      </w:pPr>
    </w:p>
    <w:p>
      <w:pPr>
        <w:pStyle w:val="2"/>
        <w:ind w:firstLine="480"/>
        <w:rPr>
          <w:rFonts w:ascii="宋体" w:hAnsi="宋体" w:cs="宋体"/>
          <w:sz w:val="24"/>
        </w:rPr>
      </w:pPr>
    </w:p>
    <w:p>
      <w:pPr>
        <w:rPr>
          <w:rFonts w:ascii="宋体" w:hAnsi="宋体" w:cs="宋体"/>
          <w:sz w:val="24"/>
        </w:rPr>
      </w:pPr>
    </w:p>
    <w:p>
      <w:pPr>
        <w:pStyle w:val="2"/>
        <w:ind w:firstLine="480"/>
        <w:rPr>
          <w:rFonts w:ascii="宋体" w:hAnsi="宋体" w:cs="宋体"/>
          <w:sz w:val="24"/>
        </w:rPr>
      </w:pPr>
    </w:p>
    <w:p>
      <w:pPr>
        <w:rPr>
          <w:rFonts w:ascii="宋体" w:hAnsi="宋体" w:cs="宋体"/>
          <w:sz w:val="24"/>
        </w:rPr>
      </w:pPr>
    </w:p>
    <w:p>
      <w:pPr>
        <w:pStyle w:val="2"/>
        <w:ind w:firstLine="480"/>
        <w:rPr>
          <w:rFonts w:ascii="宋体" w:hAnsi="宋体" w:cs="宋体"/>
          <w:sz w:val="24"/>
        </w:rPr>
      </w:pPr>
    </w:p>
    <w:p>
      <w:pPr>
        <w:rPr>
          <w:rFonts w:ascii="宋体" w:hAnsi="宋体" w:cs="宋体"/>
          <w:sz w:val="24"/>
        </w:rPr>
      </w:pPr>
    </w:p>
    <w:p>
      <w:pPr>
        <w:pStyle w:val="2"/>
        <w:ind w:firstLine="480"/>
        <w:rPr>
          <w:rFonts w:ascii="宋体" w:hAnsi="宋体" w:cs="宋体"/>
          <w:sz w:val="24"/>
        </w:rPr>
      </w:pPr>
    </w:p>
    <w:p/>
    <w:bookmarkEnd w:id="421"/>
    <w:bookmarkEnd w:id="422"/>
    <w:bookmarkEnd w:id="423"/>
    <w:p>
      <w:pPr>
        <w:pStyle w:val="3"/>
        <w:tabs>
          <w:tab w:val="left" w:pos="0"/>
        </w:tabs>
        <w:spacing w:before="0" w:after="0" w:line="560" w:lineRule="exact"/>
        <w:rPr>
          <w:rFonts w:hAnsi="宋体"/>
        </w:rPr>
      </w:pPr>
      <w:bookmarkStart w:id="457" w:name="_Toc17426"/>
      <w:bookmarkStart w:id="458" w:name="_Toc31576"/>
      <w:bookmarkStart w:id="459" w:name="_Toc16979"/>
      <w:r>
        <w:rPr>
          <w:rFonts w:hint="eastAsia" w:hAnsi="宋体"/>
        </w:rPr>
        <w:t>第六章 政府采购合同</w:t>
      </w:r>
      <w:bookmarkEnd w:id="457"/>
      <w:r>
        <w:rPr>
          <w:rFonts w:hint="eastAsia" w:hAnsi="宋体"/>
        </w:rPr>
        <w:t>格式</w:t>
      </w:r>
      <w:bookmarkEnd w:id="458"/>
      <w:bookmarkEnd w:id="459"/>
    </w:p>
    <w:p>
      <w:pPr>
        <w:pStyle w:val="21"/>
        <w:spacing w:line="480" w:lineRule="exact"/>
        <w:ind w:firstLine="420" w:firstLineChars="200"/>
        <w:rPr>
          <w:bCs/>
          <w:szCs w:val="21"/>
          <w:highlight w:val="none"/>
        </w:rPr>
      </w:pPr>
      <w:bookmarkStart w:id="460" w:name="_Toc355615310"/>
      <w:r>
        <w:rPr>
          <w:rFonts w:hint="eastAsia"/>
          <w:szCs w:val="21"/>
          <w:highlight w:val="none"/>
        </w:rPr>
        <w:t>根据《中华人民共和国政府采购法》、《中华人民共和国民法典》、《中华人民共和国政府采购法实施条例》等法律、法规的规定，为明确甲乙双方责任、权利和义务，经甲、乙双方充分协商，特订立本合同，以资共同遵守。</w:t>
      </w:r>
    </w:p>
    <w:p>
      <w:pPr>
        <w:pStyle w:val="21"/>
        <w:spacing w:line="480" w:lineRule="exact"/>
        <w:ind w:firstLine="422" w:firstLineChars="200"/>
        <w:rPr>
          <w:b/>
          <w:bCs/>
          <w:szCs w:val="21"/>
          <w:highlight w:val="none"/>
        </w:rPr>
      </w:pPr>
      <w:r>
        <w:rPr>
          <w:rFonts w:hint="eastAsia"/>
          <w:b/>
          <w:bCs/>
          <w:szCs w:val="21"/>
          <w:highlight w:val="none"/>
        </w:rPr>
        <w:t>1、本合同由合同文本和下列文件组成：</w:t>
      </w:r>
    </w:p>
    <w:p>
      <w:pPr>
        <w:pStyle w:val="21"/>
        <w:spacing w:line="480" w:lineRule="exact"/>
        <w:ind w:firstLine="420" w:firstLineChars="200"/>
        <w:rPr>
          <w:szCs w:val="21"/>
          <w:highlight w:val="none"/>
        </w:rPr>
      </w:pPr>
      <w:r>
        <w:rPr>
          <w:rFonts w:hint="eastAsia"/>
          <w:szCs w:val="21"/>
          <w:highlight w:val="none"/>
        </w:rPr>
        <w:t>A．成交通知书</w:t>
      </w:r>
    </w:p>
    <w:p>
      <w:pPr>
        <w:pStyle w:val="21"/>
        <w:spacing w:line="480" w:lineRule="exact"/>
        <w:ind w:firstLine="420" w:firstLineChars="200"/>
        <w:rPr>
          <w:szCs w:val="21"/>
          <w:highlight w:val="none"/>
        </w:rPr>
      </w:pPr>
      <w:r>
        <w:rPr>
          <w:rFonts w:hint="eastAsia"/>
          <w:szCs w:val="21"/>
          <w:highlight w:val="none"/>
        </w:rPr>
        <w:t>B．报价文件                   （见报价文件）</w:t>
      </w:r>
    </w:p>
    <w:p>
      <w:pPr>
        <w:pStyle w:val="21"/>
        <w:spacing w:line="480" w:lineRule="exact"/>
        <w:ind w:firstLine="420" w:firstLineChars="200"/>
        <w:rPr>
          <w:szCs w:val="21"/>
          <w:highlight w:val="none"/>
        </w:rPr>
      </w:pPr>
      <w:r>
        <w:rPr>
          <w:rFonts w:hint="eastAsia"/>
          <w:szCs w:val="21"/>
          <w:highlight w:val="none"/>
        </w:rPr>
        <w:t>C．报价价格表                 （见报价文件）</w:t>
      </w:r>
    </w:p>
    <w:p>
      <w:pPr>
        <w:pStyle w:val="21"/>
        <w:spacing w:line="480" w:lineRule="exact"/>
        <w:ind w:firstLine="420" w:firstLineChars="200"/>
        <w:rPr>
          <w:szCs w:val="21"/>
          <w:highlight w:val="none"/>
        </w:rPr>
      </w:pPr>
      <w:r>
        <w:rPr>
          <w:rFonts w:hint="eastAsia"/>
          <w:szCs w:val="21"/>
          <w:highlight w:val="none"/>
        </w:rPr>
        <w:t>D．项目内容及要求         （见谈判文件第三部分）</w:t>
      </w:r>
    </w:p>
    <w:p>
      <w:pPr>
        <w:pStyle w:val="21"/>
        <w:spacing w:line="480" w:lineRule="exact"/>
        <w:ind w:firstLine="420" w:firstLineChars="200"/>
        <w:rPr>
          <w:szCs w:val="21"/>
          <w:highlight w:val="none"/>
        </w:rPr>
      </w:pPr>
      <w:r>
        <w:rPr>
          <w:rFonts w:hint="eastAsia"/>
          <w:szCs w:val="21"/>
          <w:highlight w:val="none"/>
        </w:rPr>
        <w:t>E.</w:t>
      </w:r>
      <w:r>
        <w:rPr>
          <w:szCs w:val="21"/>
          <w:highlight w:val="none"/>
        </w:rPr>
        <w:t xml:space="preserve"> </w:t>
      </w:r>
      <w:r>
        <w:rPr>
          <w:rFonts w:hint="eastAsia"/>
          <w:szCs w:val="21"/>
          <w:highlight w:val="none"/>
        </w:rPr>
        <w:t>合同执行期间经监督部门审核同意的双方达成的书面补充协议</w:t>
      </w:r>
    </w:p>
    <w:p>
      <w:pPr>
        <w:pStyle w:val="21"/>
        <w:spacing w:line="480" w:lineRule="exact"/>
        <w:ind w:firstLine="422" w:firstLineChars="200"/>
        <w:rPr>
          <w:b/>
          <w:bCs/>
          <w:szCs w:val="21"/>
          <w:highlight w:val="none"/>
        </w:rPr>
      </w:pPr>
      <w:r>
        <w:rPr>
          <w:rFonts w:hint="eastAsia"/>
          <w:b/>
          <w:bCs/>
          <w:szCs w:val="21"/>
          <w:highlight w:val="none"/>
        </w:rPr>
        <w:t>2、合同范围</w:t>
      </w:r>
    </w:p>
    <w:p>
      <w:pPr>
        <w:pStyle w:val="21"/>
        <w:spacing w:line="480" w:lineRule="exact"/>
        <w:ind w:firstLine="420" w:firstLineChars="200"/>
        <w:rPr>
          <w:szCs w:val="21"/>
          <w:highlight w:val="none"/>
        </w:rPr>
      </w:pPr>
      <w:r>
        <w:rPr>
          <w:rFonts w:hint="eastAsia"/>
          <w:szCs w:val="21"/>
          <w:highlight w:val="none"/>
        </w:rPr>
        <w:t>本合同的范围和条件与上述合同文件中规定内容一致。</w:t>
      </w:r>
    </w:p>
    <w:bookmarkEnd w:id="460"/>
    <w:p>
      <w:pPr>
        <w:pStyle w:val="21"/>
        <w:spacing w:line="460" w:lineRule="exact"/>
        <w:ind w:firstLine="422" w:firstLineChars="200"/>
        <w:rPr>
          <w:b/>
          <w:szCs w:val="21"/>
          <w:highlight w:val="none"/>
        </w:rPr>
      </w:pPr>
      <w:r>
        <w:rPr>
          <w:rFonts w:hint="eastAsia"/>
          <w:b/>
          <w:szCs w:val="21"/>
          <w:highlight w:val="none"/>
        </w:rPr>
        <w:t>3</w:t>
      </w:r>
      <w:r>
        <w:rPr>
          <w:b/>
          <w:szCs w:val="21"/>
          <w:highlight w:val="none"/>
        </w:rPr>
        <w:t>、</w:t>
      </w:r>
      <w:r>
        <w:rPr>
          <w:rFonts w:hint="eastAsia"/>
          <w:b/>
          <w:szCs w:val="21"/>
          <w:highlight w:val="none"/>
        </w:rPr>
        <w:t>技术</w:t>
      </w:r>
      <w:r>
        <w:rPr>
          <w:b/>
          <w:szCs w:val="21"/>
          <w:highlight w:val="none"/>
        </w:rPr>
        <w:t>服务质量承诺</w:t>
      </w:r>
    </w:p>
    <w:p>
      <w:pPr>
        <w:pStyle w:val="21"/>
        <w:spacing w:line="460" w:lineRule="exact"/>
        <w:ind w:firstLine="420" w:firstLineChars="200"/>
        <w:rPr>
          <w:rFonts w:cs="宋体"/>
          <w:szCs w:val="21"/>
          <w:highlight w:val="none"/>
        </w:rPr>
      </w:pPr>
      <w:r>
        <w:rPr>
          <w:rFonts w:hint="eastAsia" w:cs="宋体"/>
          <w:szCs w:val="21"/>
          <w:highlight w:val="none"/>
        </w:rPr>
        <w:t>3.1本合同要求提供的质量见谈判文件技术要求及乙方报价文件中所做的质量保证等。</w:t>
      </w:r>
    </w:p>
    <w:p>
      <w:pPr>
        <w:pStyle w:val="21"/>
        <w:spacing w:line="460" w:lineRule="exact"/>
        <w:ind w:firstLine="420" w:firstLineChars="200"/>
        <w:rPr>
          <w:bCs/>
          <w:szCs w:val="21"/>
          <w:highlight w:val="none"/>
        </w:rPr>
      </w:pPr>
      <w:r>
        <w:rPr>
          <w:rFonts w:hint="eastAsia" w:cs="宋体"/>
          <w:szCs w:val="21"/>
          <w:highlight w:val="none"/>
        </w:rPr>
        <w:t>3.2采购内容及承诺详见谈判文件相关要求及乙方报价文件中提供的服务内容和承诺。</w:t>
      </w:r>
    </w:p>
    <w:p>
      <w:pPr>
        <w:pStyle w:val="21"/>
        <w:spacing w:line="460" w:lineRule="exact"/>
        <w:ind w:firstLine="413" w:firstLineChars="196"/>
        <w:rPr>
          <w:b/>
          <w:bCs/>
          <w:szCs w:val="21"/>
          <w:highlight w:val="none"/>
        </w:rPr>
      </w:pPr>
      <w:r>
        <w:rPr>
          <w:rFonts w:hint="eastAsia"/>
          <w:b/>
          <w:bCs/>
          <w:szCs w:val="21"/>
          <w:highlight w:val="none"/>
        </w:rPr>
        <w:t>4</w:t>
      </w:r>
      <w:r>
        <w:rPr>
          <w:b/>
          <w:bCs/>
          <w:szCs w:val="21"/>
          <w:highlight w:val="none"/>
        </w:rPr>
        <w:t>、合同价款</w:t>
      </w:r>
    </w:p>
    <w:p>
      <w:pPr>
        <w:pStyle w:val="22"/>
        <w:adjustRightInd w:val="0"/>
        <w:snapToGrid w:val="0"/>
        <w:spacing w:before="0" w:beforeAutospacing="0" w:after="0" w:afterAutospacing="0" w:line="460" w:lineRule="exact"/>
        <w:ind w:firstLine="420" w:firstLineChars="200"/>
        <w:jc w:val="both"/>
        <w:rPr>
          <w:sz w:val="21"/>
          <w:szCs w:val="21"/>
          <w:highlight w:val="none"/>
        </w:rPr>
      </w:pPr>
      <w:r>
        <w:rPr>
          <w:kern w:val="2"/>
          <w:sz w:val="21"/>
          <w:szCs w:val="21"/>
          <w:highlight w:val="none"/>
        </w:rPr>
        <w:t>本合同总价为人民</w:t>
      </w:r>
      <w:r>
        <w:rPr>
          <w:sz w:val="21"/>
          <w:szCs w:val="21"/>
          <w:highlight w:val="none"/>
        </w:rPr>
        <w:t>币大写：           元 ；小写(￥)：         元。</w:t>
      </w:r>
    </w:p>
    <w:p>
      <w:pPr>
        <w:pStyle w:val="21"/>
        <w:spacing w:line="460" w:lineRule="exact"/>
        <w:ind w:firstLine="422" w:firstLineChars="200"/>
        <w:rPr>
          <w:rFonts w:cs="宋体"/>
          <w:b/>
          <w:szCs w:val="21"/>
          <w:highlight w:val="none"/>
        </w:rPr>
      </w:pPr>
      <w:r>
        <w:rPr>
          <w:rFonts w:hint="eastAsia" w:cs="宋体"/>
          <w:b/>
          <w:szCs w:val="21"/>
          <w:highlight w:val="none"/>
        </w:rPr>
        <w:t>5、验收</w:t>
      </w:r>
    </w:p>
    <w:p>
      <w:pPr>
        <w:pStyle w:val="21"/>
        <w:spacing w:line="460" w:lineRule="exact"/>
        <w:ind w:firstLine="420" w:firstLineChars="200"/>
        <w:rPr>
          <w:rFonts w:cs="宋体"/>
          <w:szCs w:val="21"/>
          <w:highlight w:val="none"/>
        </w:rPr>
      </w:pPr>
      <w:r>
        <w:rPr>
          <w:rFonts w:hint="eastAsia" w:cs="宋体"/>
          <w:szCs w:val="21"/>
          <w:highlight w:val="none"/>
        </w:rPr>
        <w:t>验收符合国家相关验收规范要求。</w:t>
      </w:r>
    </w:p>
    <w:p>
      <w:pPr>
        <w:pStyle w:val="21"/>
        <w:spacing w:line="460" w:lineRule="exact"/>
        <w:ind w:firstLine="420" w:firstLineChars="200"/>
        <w:rPr>
          <w:rFonts w:cs="宋体"/>
          <w:szCs w:val="21"/>
          <w:highlight w:val="none"/>
        </w:rPr>
      </w:pPr>
      <w:r>
        <w:rPr>
          <w:rFonts w:hint="eastAsia" w:cs="宋体"/>
          <w:szCs w:val="21"/>
          <w:highlight w:val="none"/>
        </w:rPr>
        <w:t>乙方交货7日内，甲方必须组织对其完成情况进行验收，并签署验收意见；如发现质量不符合要求，甲方有权拒收。</w:t>
      </w:r>
    </w:p>
    <w:p>
      <w:pPr>
        <w:pStyle w:val="21"/>
        <w:spacing w:line="460" w:lineRule="exact"/>
        <w:ind w:firstLine="422" w:firstLineChars="200"/>
        <w:rPr>
          <w:rFonts w:cs="宋体"/>
          <w:b/>
          <w:bCs/>
          <w:szCs w:val="21"/>
          <w:highlight w:val="none"/>
        </w:rPr>
      </w:pPr>
      <w:r>
        <w:rPr>
          <w:rFonts w:hint="eastAsia" w:cs="宋体"/>
          <w:b/>
          <w:bCs/>
          <w:szCs w:val="21"/>
          <w:highlight w:val="none"/>
        </w:rPr>
        <w:t>6、付款方式</w:t>
      </w:r>
    </w:p>
    <w:p>
      <w:pPr>
        <w:spacing w:line="560" w:lineRule="exact"/>
        <w:ind w:firstLine="422" w:firstLineChars="200"/>
        <w:rPr>
          <w:rFonts w:ascii="宋体" w:hAnsi="宋体"/>
          <w:b/>
          <w:szCs w:val="21"/>
          <w:highlight w:val="none"/>
        </w:rPr>
      </w:pPr>
      <w:r>
        <w:rPr>
          <w:rFonts w:hint="eastAsia" w:ascii="宋体" w:hAnsi="宋体"/>
          <w:b/>
          <w:szCs w:val="21"/>
          <w:highlight w:val="none"/>
        </w:rPr>
        <w:t>付款方式：合同签订并供货完毕，支付不超过合同金额30%的货款；经验收合格后，付至结算金额的30％一70%，剩余资金按财政资金计划支付。资金支付自2023年起执行。</w:t>
      </w:r>
    </w:p>
    <w:p>
      <w:pPr>
        <w:spacing w:line="480" w:lineRule="exact"/>
        <w:ind w:left="105" w:leftChars="50" w:right="105" w:rightChars="50" w:firstLine="420" w:firstLineChars="200"/>
        <w:rPr>
          <w:rFonts w:ascii="宋体" w:hAnsi="宋体" w:cs="仿宋"/>
          <w:b/>
          <w:szCs w:val="21"/>
          <w:highlight w:val="none"/>
          <w:lang w:val="zh-CN"/>
        </w:rPr>
      </w:pPr>
      <w:r>
        <w:rPr>
          <w:rFonts w:hint="eastAsia" w:ascii="宋体" w:hAnsi="宋体" w:cs="宋体"/>
          <w:szCs w:val="21"/>
          <w:highlight w:val="none"/>
        </w:rPr>
        <w:t>本合同为固定单价合同，根据实际供货、安装的产品数量据实结算。</w:t>
      </w:r>
    </w:p>
    <w:p>
      <w:pPr>
        <w:pStyle w:val="21"/>
        <w:spacing w:line="460" w:lineRule="exact"/>
        <w:ind w:firstLine="422" w:firstLineChars="200"/>
        <w:rPr>
          <w:rFonts w:cs="宋体"/>
          <w:b/>
          <w:bCs/>
          <w:szCs w:val="21"/>
          <w:highlight w:val="none"/>
        </w:rPr>
      </w:pPr>
      <w:r>
        <w:rPr>
          <w:rFonts w:hint="eastAsia" w:cs="宋体"/>
          <w:b/>
          <w:bCs/>
          <w:szCs w:val="21"/>
          <w:highlight w:val="none"/>
        </w:rPr>
        <w:t>7、项目地点、服务期限</w:t>
      </w:r>
    </w:p>
    <w:p>
      <w:pPr>
        <w:pStyle w:val="21"/>
        <w:spacing w:line="460" w:lineRule="exact"/>
        <w:ind w:firstLine="420" w:firstLineChars="200"/>
        <w:rPr>
          <w:rFonts w:cs="宋体"/>
          <w:szCs w:val="21"/>
          <w:highlight w:val="none"/>
        </w:rPr>
      </w:pPr>
      <w:r>
        <w:rPr>
          <w:rFonts w:hint="eastAsia" w:cs="宋体"/>
          <w:szCs w:val="21"/>
          <w:highlight w:val="none"/>
        </w:rPr>
        <w:t>地点：甲方指定地点。</w:t>
      </w:r>
    </w:p>
    <w:p>
      <w:pPr>
        <w:spacing w:line="460" w:lineRule="exact"/>
        <w:ind w:firstLine="420" w:firstLineChars="200"/>
        <w:rPr>
          <w:rFonts w:ascii="宋体" w:hAnsi="宋体" w:cs="宋体"/>
          <w:szCs w:val="21"/>
          <w:highlight w:val="none"/>
        </w:rPr>
      </w:pPr>
      <w:r>
        <w:rPr>
          <w:rFonts w:ascii="宋体" w:hAnsi="宋体" w:cs="宋体"/>
          <w:szCs w:val="21"/>
          <w:highlight w:val="none"/>
        </w:rPr>
        <w:t>供货期限：</w:t>
      </w:r>
      <w:r>
        <w:rPr>
          <w:rFonts w:hint="eastAsia" w:ascii="宋体" w:hAnsi="宋体"/>
          <w:szCs w:val="21"/>
          <w:highlight w:val="none"/>
          <w:u w:val="single"/>
        </w:rPr>
        <w:t xml:space="preserve">               </w:t>
      </w:r>
      <w:r>
        <w:rPr>
          <w:rFonts w:hint="eastAsia" w:ascii="宋体" w:hAnsi="宋体"/>
          <w:szCs w:val="21"/>
          <w:highlight w:val="none"/>
        </w:rPr>
        <w:t xml:space="preserve">  </w:t>
      </w:r>
    </w:p>
    <w:p>
      <w:pPr>
        <w:pStyle w:val="21"/>
        <w:spacing w:line="460" w:lineRule="exact"/>
        <w:ind w:firstLine="422" w:firstLineChars="200"/>
        <w:rPr>
          <w:rFonts w:cs="宋体"/>
          <w:b/>
          <w:szCs w:val="21"/>
          <w:highlight w:val="none"/>
        </w:rPr>
      </w:pPr>
      <w:r>
        <w:rPr>
          <w:rFonts w:hint="eastAsia" w:cs="宋体"/>
          <w:b/>
          <w:szCs w:val="21"/>
          <w:highlight w:val="none"/>
        </w:rPr>
        <w:t>8、违约责任</w:t>
      </w:r>
    </w:p>
    <w:p>
      <w:pPr>
        <w:pStyle w:val="21"/>
        <w:spacing w:line="460" w:lineRule="exact"/>
        <w:ind w:firstLine="420" w:firstLineChars="200"/>
        <w:rPr>
          <w:rFonts w:cs="宋体"/>
          <w:bCs/>
          <w:szCs w:val="21"/>
          <w:highlight w:val="none"/>
        </w:rPr>
      </w:pPr>
      <w:r>
        <w:rPr>
          <w:rFonts w:hint="eastAsia" w:cs="宋体"/>
          <w:bCs/>
          <w:szCs w:val="21"/>
          <w:highlight w:val="none"/>
        </w:rPr>
        <w:t xml:space="preserve"> 合同生效后，如甲方违约，则甲方按合同价款的日万分之五向乙方支付违约金；如乙方违约（包括不履行本合同义务或者履行义务不符合约定等），甲方有权终止合同或要求乙方继续履行，甲方终止合同的，剩余合同款不再支付，并由乙方赔偿甲方本次和再次采购所发生的所有费用及由此给甲方造成一切损失；甲方要求乙方继续履行合同的，甲方有权要求乙方返工，直至达到合同要求为止，因此发生的所有费用由乙方承担，造成成果交付时间延误的，每迟延一日，乙方应按合同价款的日万分之五向甲方支付违约金。</w:t>
      </w:r>
    </w:p>
    <w:p>
      <w:pPr>
        <w:pStyle w:val="21"/>
        <w:widowControl/>
        <w:numPr>
          <w:ilvl w:val="0"/>
          <w:numId w:val="5"/>
        </w:numPr>
        <w:spacing w:line="460" w:lineRule="exact"/>
        <w:ind w:firstLine="422" w:firstLineChars="200"/>
        <w:jc w:val="left"/>
        <w:rPr>
          <w:rFonts w:cs="宋体"/>
          <w:b/>
          <w:szCs w:val="21"/>
          <w:highlight w:val="none"/>
        </w:rPr>
      </w:pPr>
      <w:r>
        <w:rPr>
          <w:rFonts w:hint="eastAsia" w:cs="宋体"/>
          <w:b/>
          <w:szCs w:val="21"/>
          <w:highlight w:val="none"/>
        </w:rPr>
        <w:t>合同的变更、终止出现下列情形，可变更、终止本合同的履行</w:t>
      </w:r>
    </w:p>
    <w:p>
      <w:pPr>
        <w:pStyle w:val="21"/>
        <w:spacing w:line="480" w:lineRule="exact"/>
        <w:ind w:firstLine="420" w:firstLineChars="200"/>
        <w:rPr>
          <w:szCs w:val="21"/>
          <w:highlight w:val="none"/>
        </w:rPr>
      </w:pPr>
      <w:r>
        <w:rPr>
          <w:rFonts w:hint="eastAsia"/>
          <w:szCs w:val="21"/>
          <w:highlight w:val="none"/>
        </w:rPr>
        <w:t>9.1本合同期限届满，另行招投标事宜。</w:t>
      </w:r>
    </w:p>
    <w:p>
      <w:pPr>
        <w:pStyle w:val="21"/>
        <w:spacing w:line="480" w:lineRule="exact"/>
        <w:ind w:firstLine="420" w:firstLineChars="200"/>
        <w:rPr>
          <w:szCs w:val="21"/>
          <w:highlight w:val="none"/>
        </w:rPr>
      </w:pPr>
      <w:r>
        <w:rPr>
          <w:rFonts w:hint="eastAsia"/>
          <w:szCs w:val="21"/>
          <w:highlight w:val="none"/>
        </w:rPr>
        <w:t>9.2经甲、乙双方协商一致另行签订补充协议。</w:t>
      </w:r>
    </w:p>
    <w:p>
      <w:pPr>
        <w:pStyle w:val="21"/>
        <w:spacing w:line="480" w:lineRule="exact"/>
        <w:ind w:firstLine="420" w:firstLineChars="200"/>
        <w:rPr>
          <w:szCs w:val="21"/>
          <w:highlight w:val="none"/>
        </w:rPr>
      </w:pPr>
      <w:r>
        <w:rPr>
          <w:rFonts w:hint="eastAsia"/>
          <w:szCs w:val="21"/>
          <w:highlight w:val="none"/>
        </w:rPr>
        <w:t>9.3因乙方提供服务不符合合同约定或者因乙方原因导致本合同内容实际无法履行，甲方可变更、终止本合同的履行。</w:t>
      </w:r>
    </w:p>
    <w:p>
      <w:pPr>
        <w:pStyle w:val="21"/>
        <w:spacing w:line="480" w:lineRule="exact"/>
        <w:ind w:firstLine="420" w:firstLineChars="200"/>
        <w:rPr>
          <w:szCs w:val="21"/>
          <w:highlight w:val="none"/>
        </w:rPr>
      </w:pPr>
      <w:r>
        <w:rPr>
          <w:rFonts w:hint="eastAsia"/>
          <w:szCs w:val="21"/>
          <w:highlight w:val="none"/>
        </w:rPr>
        <w:t>9.4因法律、法规、规章、政策的重大调整或者由于维护社会公共利益的需要，甲方有权变更、终止本合同的履行，由此造成对乙方合法权益损害的，甲方予以相应补偿。甲方基于上述事项变更、终止合同的不构成违约，不承担违约责任。</w:t>
      </w:r>
    </w:p>
    <w:p>
      <w:pPr>
        <w:pStyle w:val="21"/>
        <w:spacing w:line="460" w:lineRule="exact"/>
        <w:ind w:firstLine="422" w:firstLineChars="200"/>
        <w:rPr>
          <w:rFonts w:cs="宋体"/>
          <w:b/>
          <w:szCs w:val="21"/>
          <w:highlight w:val="none"/>
        </w:rPr>
      </w:pPr>
      <w:r>
        <w:rPr>
          <w:rFonts w:hint="eastAsia" w:cs="宋体"/>
          <w:b/>
          <w:szCs w:val="21"/>
          <w:highlight w:val="none"/>
        </w:rPr>
        <w:t>10、争议解决</w:t>
      </w:r>
    </w:p>
    <w:p>
      <w:pPr>
        <w:pStyle w:val="21"/>
        <w:spacing w:line="480" w:lineRule="exact"/>
        <w:ind w:firstLine="420" w:firstLineChars="200"/>
        <w:rPr>
          <w:szCs w:val="21"/>
          <w:highlight w:val="none"/>
        </w:rPr>
      </w:pPr>
      <w:r>
        <w:rPr>
          <w:rFonts w:hint="eastAsia"/>
          <w:szCs w:val="21"/>
          <w:highlight w:val="none"/>
        </w:rPr>
        <w:t>10.1本合同在履行过程中发生争议，甲乙双方协商解决，双方均可向项目所在地的人民法院提起诉讼。</w:t>
      </w:r>
    </w:p>
    <w:p>
      <w:pPr>
        <w:pStyle w:val="21"/>
        <w:spacing w:line="480" w:lineRule="exact"/>
        <w:ind w:firstLine="420" w:firstLineChars="200"/>
        <w:rPr>
          <w:szCs w:val="21"/>
          <w:highlight w:val="none"/>
        </w:rPr>
      </w:pPr>
      <w:r>
        <w:rPr>
          <w:rFonts w:hint="eastAsia"/>
          <w:szCs w:val="21"/>
          <w:highlight w:val="none"/>
        </w:rPr>
        <w:t>10.2除有争议部分外，本合同其他部分仍应按合同条款继续履行。</w:t>
      </w:r>
    </w:p>
    <w:p>
      <w:pPr>
        <w:pStyle w:val="21"/>
        <w:spacing w:line="460" w:lineRule="exact"/>
        <w:ind w:firstLine="422" w:firstLineChars="200"/>
        <w:rPr>
          <w:rFonts w:cs="宋体"/>
          <w:b/>
          <w:bCs/>
          <w:szCs w:val="21"/>
          <w:highlight w:val="none"/>
        </w:rPr>
      </w:pPr>
      <w:r>
        <w:rPr>
          <w:rFonts w:hint="eastAsia" w:cs="宋体"/>
          <w:b/>
          <w:bCs/>
          <w:szCs w:val="21"/>
          <w:highlight w:val="none"/>
        </w:rPr>
        <w:t>11、保密责任</w:t>
      </w:r>
    </w:p>
    <w:p>
      <w:pPr>
        <w:pStyle w:val="21"/>
        <w:spacing w:line="480" w:lineRule="exact"/>
        <w:ind w:firstLine="420" w:firstLineChars="200"/>
        <w:rPr>
          <w:szCs w:val="21"/>
          <w:highlight w:val="none"/>
        </w:rPr>
      </w:pPr>
      <w:r>
        <w:rPr>
          <w:szCs w:val="21"/>
          <w:highlight w:val="none"/>
        </w:rPr>
        <w:t>双方均应保护对方的知识产权，未经对方同意，任何一方均不得对对方的资料及文件擅自修改、复制或向第三人转让或用于本合同项目外的项目，对于乙方参与项目实施的人员必须签订甲方同意的信息保密协议。如发生以上情况，泄密方承担一切由此引起的后果并承担赔偿责任。</w:t>
      </w:r>
    </w:p>
    <w:p>
      <w:pPr>
        <w:pStyle w:val="21"/>
        <w:spacing w:line="460" w:lineRule="exact"/>
        <w:ind w:firstLine="422" w:firstLineChars="200"/>
        <w:rPr>
          <w:rFonts w:cs="宋体"/>
          <w:b/>
          <w:bCs/>
          <w:szCs w:val="21"/>
          <w:highlight w:val="none"/>
        </w:rPr>
      </w:pPr>
      <w:r>
        <w:rPr>
          <w:rFonts w:hint="eastAsia" w:cs="宋体"/>
          <w:b/>
          <w:bCs/>
          <w:szCs w:val="21"/>
          <w:highlight w:val="none"/>
        </w:rPr>
        <w:t xml:space="preserve">12、禁止转、分包 </w:t>
      </w:r>
    </w:p>
    <w:p>
      <w:pPr>
        <w:pStyle w:val="21"/>
        <w:spacing w:line="480" w:lineRule="exact"/>
        <w:ind w:firstLine="420" w:firstLineChars="200"/>
        <w:rPr>
          <w:szCs w:val="21"/>
          <w:highlight w:val="none"/>
        </w:rPr>
      </w:pPr>
      <w:r>
        <w:rPr>
          <w:szCs w:val="21"/>
          <w:highlight w:val="none"/>
        </w:rPr>
        <w:t>乙方不得擅自将本合同项下内容进行转包、分包，如乙方擅自进行转包、分包，甲方有权解除合同，由乙方承担甲方因此而遭受的一切损失。</w:t>
      </w:r>
    </w:p>
    <w:p>
      <w:pPr>
        <w:pStyle w:val="21"/>
        <w:spacing w:line="460" w:lineRule="exact"/>
        <w:ind w:firstLine="422" w:firstLineChars="200"/>
        <w:rPr>
          <w:rFonts w:cs="宋体"/>
          <w:b/>
          <w:bCs/>
          <w:szCs w:val="21"/>
          <w:highlight w:val="none"/>
        </w:rPr>
      </w:pPr>
      <w:r>
        <w:rPr>
          <w:rFonts w:hint="eastAsia" w:cs="宋体"/>
          <w:b/>
          <w:bCs/>
          <w:szCs w:val="21"/>
          <w:highlight w:val="none"/>
        </w:rPr>
        <w:t>13、合同的生效</w:t>
      </w:r>
    </w:p>
    <w:p>
      <w:pPr>
        <w:pStyle w:val="21"/>
        <w:spacing w:line="480" w:lineRule="exact"/>
        <w:ind w:firstLine="420" w:firstLineChars="200"/>
        <w:rPr>
          <w:szCs w:val="21"/>
          <w:highlight w:val="none"/>
        </w:rPr>
      </w:pPr>
      <w:r>
        <w:rPr>
          <w:szCs w:val="21"/>
          <w:highlight w:val="none"/>
        </w:rPr>
        <w:t>本合同经双方代表签字盖章后生效，合同执行期内，甲乙双方均不得随意变更或解除合同。</w:t>
      </w:r>
    </w:p>
    <w:p>
      <w:pPr>
        <w:pStyle w:val="21"/>
        <w:spacing w:line="480" w:lineRule="exact"/>
        <w:ind w:firstLine="420" w:firstLineChars="200"/>
        <w:rPr>
          <w:szCs w:val="21"/>
          <w:highlight w:val="none"/>
        </w:rPr>
      </w:pPr>
      <w:r>
        <w:rPr>
          <w:szCs w:val="21"/>
          <w:highlight w:val="none"/>
        </w:rPr>
        <w:t>本合同双方签字盖章即生效，一式六份，甲方执三份，乙方执一份，采购代理机构执一份，政府采购办公室备案一份。</w:t>
      </w:r>
    </w:p>
    <w:p>
      <w:pPr>
        <w:spacing w:line="460" w:lineRule="exact"/>
        <w:ind w:firstLine="420" w:firstLineChars="200"/>
        <w:rPr>
          <w:rFonts w:ascii="宋体" w:hAnsi="宋体" w:cs="宋体"/>
          <w:szCs w:val="21"/>
          <w:highlight w:val="none"/>
        </w:rPr>
      </w:pPr>
    </w:p>
    <w:p>
      <w:pPr>
        <w:spacing w:line="460" w:lineRule="exact"/>
        <w:ind w:firstLine="420" w:firstLineChars="200"/>
        <w:rPr>
          <w:rFonts w:ascii="宋体" w:hAnsi="宋体" w:cs="宋体"/>
          <w:szCs w:val="21"/>
          <w:highlight w:val="none"/>
        </w:rPr>
      </w:pPr>
      <w:r>
        <w:rPr>
          <w:rFonts w:ascii="宋体" w:hAnsi="宋体" w:cs="宋体"/>
          <w:szCs w:val="21"/>
          <w:highlight w:val="none"/>
        </w:rPr>
        <w:t xml:space="preserve">甲      方：（盖章）                乙      方：（盖章）                 </w:t>
      </w:r>
    </w:p>
    <w:p>
      <w:pPr>
        <w:spacing w:line="460" w:lineRule="exact"/>
        <w:ind w:firstLine="420" w:firstLineChars="200"/>
        <w:rPr>
          <w:rFonts w:ascii="宋体" w:hAnsi="宋体" w:cs="宋体"/>
          <w:szCs w:val="21"/>
          <w:highlight w:val="none"/>
        </w:rPr>
      </w:pPr>
      <w:r>
        <w:rPr>
          <w:rFonts w:ascii="宋体" w:hAnsi="宋体" w:cs="宋体"/>
          <w:szCs w:val="21"/>
          <w:highlight w:val="none"/>
        </w:rPr>
        <w:t>法定代表人或                        法定代表人或</w:t>
      </w:r>
    </w:p>
    <w:p>
      <w:pPr>
        <w:spacing w:line="460" w:lineRule="exact"/>
        <w:ind w:firstLine="420" w:firstLineChars="200"/>
        <w:rPr>
          <w:rFonts w:ascii="宋体" w:hAnsi="宋体" w:cs="宋体"/>
          <w:szCs w:val="21"/>
          <w:highlight w:val="none"/>
        </w:rPr>
      </w:pPr>
      <w:r>
        <w:rPr>
          <w:rFonts w:ascii="宋体" w:hAnsi="宋体" w:cs="宋体"/>
          <w:szCs w:val="21"/>
          <w:highlight w:val="none"/>
        </w:rPr>
        <w:t>授权代表人：（签章）                授权代表人：（签章）</w:t>
      </w:r>
    </w:p>
    <w:p>
      <w:pPr>
        <w:spacing w:line="460" w:lineRule="exact"/>
        <w:ind w:firstLine="420" w:firstLineChars="200"/>
        <w:rPr>
          <w:rFonts w:ascii="宋体" w:hAnsi="宋体" w:cs="宋体"/>
          <w:szCs w:val="21"/>
          <w:highlight w:val="none"/>
        </w:rPr>
      </w:pPr>
      <w:r>
        <w:rPr>
          <w:rFonts w:ascii="宋体" w:hAnsi="宋体" w:cs="宋体"/>
          <w:szCs w:val="21"/>
          <w:highlight w:val="none"/>
        </w:rPr>
        <w:t>项目负责人：（签字）</w:t>
      </w:r>
    </w:p>
    <w:p>
      <w:pPr>
        <w:spacing w:line="460" w:lineRule="exact"/>
        <w:ind w:firstLine="420" w:firstLineChars="200"/>
        <w:rPr>
          <w:rFonts w:ascii="宋体" w:hAnsi="宋体" w:cs="宋体"/>
          <w:szCs w:val="21"/>
          <w:highlight w:val="none"/>
        </w:rPr>
      </w:pPr>
      <w:r>
        <w:rPr>
          <w:rFonts w:ascii="宋体" w:hAnsi="宋体" w:cs="宋体"/>
          <w:szCs w:val="21"/>
          <w:highlight w:val="none"/>
        </w:rPr>
        <w:t>地      址：                        地      址：</w:t>
      </w:r>
    </w:p>
    <w:p>
      <w:pPr>
        <w:spacing w:line="460" w:lineRule="exact"/>
        <w:ind w:firstLine="420" w:firstLineChars="200"/>
        <w:rPr>
          <w:highlight w:val="none"/>
        </w:rPr>
      </w:pPr>
      <w:r>
        <w:rPr>
          <w:rFonts w:ascii="宋体" w:hAnsi="宋体" w:cs="宋体"/>
          <w:szCs w:val="21"/>
          <w:highlight w:val="none"/>
        </w:rPr>
        <w:t>电      话：                        电      话</w:t>
      </w:r>
      <w:r>
        <w:rPr>
          <w:rFonts w:hint="eastAsia" w:ascii="宋体" w:hAnsi="宋体" w:cs="宋体"/>
          <w:szCs w:val="21"/>
          <w:highlight w:val="none"/>
        </w:rPr>
        <w:t>：</w:t>
      </w:r>
    </w:p>
    <w:p>
      <w:pPr>
        <w:spacing w:line="560" w:lineRule="exact"/>
        <w:rPr>
          <w:rFonts w:ascii="宋体" w:hAnsi="宋体" w:cs="宋体"/>
          <w:i/>
          <w:iCs/>
        </w:rPr>
      </w:pPr>
    </w:p>
    <w:sectPr>
      <w:headerReference r:id="rId14" w:type="default"/>
      <w:footerReference r:id="rId15" w:type="default"/>
      <w:pgSz w:w="11906" w:h="16838"/>
      <w:pgMar w:top="1440" w:right="1797"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宋体-简">
    <w:altName w:val="宋体"/>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ngLiU_HKSCS">
    <w:panose1 w:val="02020500000000000000"/>
    <w:charset w:val="88"/>
    <w:family w:val="roman"/>
    <w:pitch w:val="default"/>
    <w:sig w:usb0="A00002FF" w:usb1="3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rPr>
        <w:rFonts w:hint="eastAsia"/>
      </w:rPr>
      <w:t xml:space="preserve">  </w:t>
    </w:r>
  </w:p>
  <w:p>
    <w:pPr>
      <w:pStyle w:val="14"/>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1"/>
      <w:rPr>
        <w:rStyle w:val="26"/>
      </w:rPr>
    </w:pPr>
    <w:r>
      <w:fldChar w:fldCharType="begin"/>
    </w:r>
    <w:r>
      <w:rPr>
        <w:rStyle w:val="26"/>
      </w:rPr>
      <w:instrText xml:space="preserve">PAGE  </w:instrText>
    </w:r>
    <w:r>
      <w:fldChar w:fldCharType="end"/>
    </w:r>
  </w:p>
  <w:p>
    <w:pPr>
      <w:pStyle w:val="1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pict>
        <v:shape id="_x0000_s2053" o:spid="_x0000_s2053"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path/>
          <v:fill on="f" focussize="0,0"/>
          <v:stroke on="f" weight="0.5pt" joinstyle="miter"/>
          <v:imagedata o:title=""/>
          <o:lock v:ext="edit"/>
          <v:textbox inset="0mm,0mm,0mm,0mm" style="mso-fit-shape-to-text:t;">
            <w:txbxContent>
              <w:p>
                <w:pPr>
                  <w:pStyle w:val="14"/>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rPr>
        <w:sz w:val="20"/>
      </w:rPr>
    </w:pPr>
    <w:r>
      <w:pict>
        <v:shape id="_x0000_s2052" o:spid="_x0000_s2052"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path/>
          <v:fill on="f" focussize="0,0"/>
          <v:stroke on="f" weight="0.5pt" joinstyle="miter"/>
          <v:imagedata o:title=""/>
          <o:lock v:ext="edit"/>
          <v:textbox inset="0mm,0mm,0mm,0mm" style="mso-fit-shape-to-text:t;">
            <w:txbxContent>
              <w:p>
                <w:pPr>
                  <w:pStyle w:val="14"/>
                </w:pPr>
                <w:r>
                  <w:rPr>
                    <w:rFonts w:hint="eastAsia"/>
                  </w:rPr>
                  <w:fldChar w:fldCharType="begin"/>
                </w:r>
                <w:r>
                  <w:rPr>
                    <w:rFonts w:hint="eastAsia"/>
                  </w:rPr>
                  <w:instrText xml:space="preserve"> PAGE  \* MERGEFORMAT </w:instrText>
                </w:r>
                <w:r>
                  <w:rPr>
                    <w:rFonts w:hint="eastAsia"/>
                  </w:rPr>
                  <w:fldChar w:fldCharType="separate"/>
                </w:r>
                <w:r>
                  <w:t>49</w:t>
                </w:r>
                <w:r>
                  <w:rPr>
                    <w:rFonts w:hint="eastAsia"/>
                  </w:rPr>
                  <w:fldChar w:fldCharType="end"/>
                </w:r>
              </w:p>
            </w:txbxContent>
          </v:textbox>
        </v:shape>
      </w:pict>
    </w:r>
    <w:r>
      <w:pict>
        <v:line id="_x0000_s2051" o:spid="_x0000_s2051" o:spt="20" style="position:absolute;left:0pt;margin-left:90pt;margin-top:752.15pt;height:0pt;width:144pt;mso-position-horizontal-relative:page;mso-position-vertical-relative:page;z-index:-251636736;mso-width-relative:page;mso-height-relative:page;" coordsize="21600,21600" o:gfxdata="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oAYuO1gAA&#10;AA0BAAAPAAAAAAAAAAEAIAAAACIAAABkcnMvZG93bnJldi54bWxQSwECFAAUAAAACACHTuJAp0TA&#10;+ucBAADXAwAADgAAAAAAAAABACAAAAAlAQAAZHJzL2Uyb0RvYy54bWxQSwUGAAAAAAYABgBZAQAA&#10;fgUAAAAA&#10;">
          <v:path arrowok="t"/>
          <v:fill focussize="0,0"/>
          <v:stroke weight="0pt"/>
          <v:imagedata o:title=""/>
          <o:lock v:ext="edit"/>
        </v:lin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right="360" w:firstLine="360"/>
      <w:jc w:val="right"/>
    </w:pPr>
    <w:r>
      <w:pict>
        <v:shape id="_x0000_s2050" o:spid="_x0000_s2050"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path/>
          <v:fill on="f" focussize="0,0"/>
          <v:stroke on="f" weight="0.5pt" joinstyle="miter"/>
          <v:imagedata o:title=""/>
          <o:lock v:ext="edit"/>
          <v:textbox inset="0mm,0mm,0mm,0mm" style="mso-fit-shape-to-text:t;">
            <w:txbxContent>
              <w:p>
                <w:pPr>
                  <w:pStyle w:val="14"/>
                </w:pPr>
                <w:r>
                  <w:rPr>
                    <w:rFonts w:hint="eastAsia"/>
                  </w:rPr>
                  <w:fldChar w:fldCharType="begin"/>
                </w:r>
                <w:r>
                  <w:rPr>
                    <w:rFonts w:hint="eastAsia"/>
                  </w:rPr>
                  <w:instrText xml:space="preserve"> PAGE  \* MERGEFORMAT </w:instrText>
                </w:r>
                <w:r>
                  <w:rPr>
                    <w:rFonts w:hint="eastAsia"/>
                  </w:rPr>
                  <w:fldChar w:fldCharType="separate"/>
                </w:r>
                <w:r>
                  <w:t>62</w:t>
                </w:r>
                <w:r>
                  <w:rPr>
                    <w:rFonts w:hint="eastAsia"/>
                  </w:rP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1"/>
      <w:rPr>
        <w:rStyle w:val="26"/>
      </w:rPr>
    </w:pPr>
    <w:r>
      <w:fldChar w:fldCharType="begin"/>
    </w:r>
    <w:r>
      <w:rPr>
        <w:rStyle w:val="26"/>
      </w:rPr>
      <w:instrText xml:space="preserve">PAGE  </w:instrText>
    </w:r>
    <w:r>
      <w:fldChar w:fldCharType="end"/>
    </w:r>
  </w:p>
  <w:p>
    <w:pPr>
      <w:pStyle w:val="14"/>
      <w:ind w:right="360"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right" w:y="1"/>
      <w:rPr>
        <w:rStyle w:val="26"/>
      </w:rPr>
    </w:pPr>
  </w:p>
  <w:p>
    <w:pPr>
      <w:pStyle w:val="14"/>
      <w:ind w:right="360"/>
      <w:jc w:val="right"/>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pict>
        <v:shape id="_x0000_s2049" o:spid="_x0000_s2049"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path/>
          <v:fill on="f" focussize="0,0"/>
          <v:stroke on="f" weight="0.5pt" joinstyle="miter"/>
          <v:imagedata o:title=""/>
          <o:lock v:ext="edit"/>
          <v:textbox inset="0mm,0mm,0mm,0mm" style="mso-fit-shape-to-text:t;">
            <w:txbxContent>
              <w:p>
                <w:pPr>
                  <w:pStyle w:val="14"/>
                </w:pPr>
                <w:r>
                  <w:rPr>
                    <w:rFonts w:hint="eastAsia"/>
                  </w:rPr>
                  <w:fldChar w:fldCharType="begin"/>
                </w:r>
                <w:r>
                  <w:rPr>
                    <w:rFonts w:hint="eastAsia"/>
                  </w:rPr>
                  <w:instrText xml:space="preserve"> PAGE  \* MERGEFORMAT </w:instrText>
                </w:r>
                <w:r>
                  <w:rPr>
                    <w:rFonts w:hint="eastAsia"/>
                  </w:rPr>
                  <w:fldChar w:fldCharType="separate"/>
                </w:r>
                <w:r>
                  <w:t>69</w:t>
                </w:r>
                <w:r>
                  <w:rPr>
                    <w:rFonts w:hint="eastAsia"/>
                  </w:rPr>
                  <w:fldChar w:fldCharType="end"/>
                </w:r>
              </w:p>
            </w:txbxContent>
          </v:textbox>
        </v:shape>
      </w:pict>
    </w:r>
  </w:p>
  <w:p>
    <w:pPr>
      <w:pStyle w:val="14"/>
      <w:ind w:right="360"/>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F5F5E8"/>
    <w:multiLevelType w:val="singleLevel"/>
    <w:tmpl w:val="D7F5F5E8"/>
    <w:lvl w:ilvl="0" w:tentative="0">
      <w:start w:val="2"/>
      <w:numFmt w:val="decimal"/>
      <w:lvlText w:val="%1."/>
      <w:lvlJc w:val="left"/>
      <w:pPr>
        <w:tabs>
          <w:tab w:val="left" w:pos="312"/>
        </w:tabs>
      </w:pPr>
    </w:lvl>
  </w:abstractNum>
  <w:abstractNum w:abstractNumId="1">
    <w:nsid w:val="0053208E"/>
    <w:multiLevelType w:val="multilevel"/>
    <w:tmpl w:val="0053208E"/>
    <w:lvl w:ilvl="0" w:tentative="0">
      <w:start w:val="1"/>
      <w:numFmt w:val="decimal"/>
      <w:lvlText w:val="%1."/>
      <w:lvlJc w:val="left"/>
      <w:pPr>
        <w:ind w:left="205" w:hanging="322"/>
        <w:jc w:val="left"/>
      </w:pPr>
      <w:rPr>
        <w:rFonts w:hint="default" w:ascii="仿宋" w:hAnsi="仿宋" w:eastAsia="仿宋" w:cs="仿宋"/>
        <w:spacing w:val="-46"/>
        <w:w w:val="99"/>
        <w:sz w:val="30"/>
        <w:szCs w:val="30"/>
        <w:lang w:val="zh-CN" w:eastAsia="zh-CN" w:bidi="zh-CN"/>
      </w:rPr>
    </w:lvl>
    <w:lvl w:ilvl="1" w:tentative="0">
      <w:start w:val="0"/>
      <w:numFmt w:val="bullet"/>
      <w:lvlText w:val="•"/>
      <w:lvlJc w:val="left"/>
      <w:pPr>
        <w:ind w:left="1074" w:hanging="322"/>
      </w:pPr>
      <w:rPr>
        <w:rFonts w:hint="default"/>
        <w:lang w:val="zh-CN" w:eastAsia="zh-CN" w:bidi="zh-CN"/>
      </w:rPr>
    </w:lvl>
    <w:lvl w:ilvl="2" w:tentative="0">
      <w:start w:val="0"/>
      <w:numFmt w:val="bullet"/>
      <w:lvlText w:val="•"/>
      <w:lvlJc w:val="left"/>
      <w:pPr>
        <w:ind w:left="1949" w:hanging="322"/>
      </w:pPr>
      <w:rPr>
        <w:rFonts w:hint="default"/>
        <w:lang w:val="zh-CN" w:eastAsia="zh-CN" w:bidi="zh-CN"/>
      </w:rPr>
    </w:lvl>
    <w:lvl w:ilvl="3" w:tentative="0">
      <w:start w:val="0"/>
      <w:numFmt w:val="bullet"/>
      <w:lvlText w:val="•"/>
      <w:lvlJc w:val="left"/>
      <w:pPr>
        <w:ind w:left="2823" w:hanging="322"/>
      </w:pPr>
      <w:rPr>
        <w:rFonts w:hint="default"/>
        <w:lang w:val="zh-CN" w:eastAsia="zh-CN" w:bidi="zh-CN"/>
      </w:rPr>
    </w:lvl>
    <w:lvl w:ilvl="4" w:tentative="0">
      <w:start w:val="0"/>
      <w:numFmt w:val="bullet"/>
      <w:lvlText w:val="•"/>
      <w:lvlJc w:val="left"/>
      <w:pPr>
        <w:ind w:left="3698" w:hanging="322"/>
      </w:pPr>
      <w:rPr>
        <w:rFonts w:hint="default"/>
        <w:lang w:val="zh-CN" w:eastAsia="zh-CN" w:bidi="zh-CN"/>
      </w:rPr>
    </w:lvl>
    <w:lvl w:ilvl="5" w:tentative="0">
      <w:start w:val="0"/>
      <w:numFmt w:val="bullet"/>
      <w:lvlText w:val="•"/>
      <w:lvlJc w:val="left"/>
      <w:pPr>
        <w:ind w:left="4573" w:hanging="322"/>
      </w:pPr>
      <w:rPr>
        <w:rFonts w:hint="default"/>
        <w:lang w:val="zh-CN" w:eastAsia="zh-CN" w:bidi="zh-CN"/>
      </w:rPr>
    </w:lvl>
    <w:lvl w:ilvl="6" w:tentative="0">
      <w:start w:val="0"/>
      <w:numFmt w:val="bullet"/>
      <w:lvlText w:val="•"/>
      <w:lvlJc w:val="left"/>
      <w:pPr>
        <w:ind w:left="5447" w:hanging="322"/>
      </w:pPr>
      <w:rPr>
        <w:rFonts w:hint="default"/>
        <w:lang w:val="zh-CN" w:eastAsia="zh-CN" w:bidi="zh-CN"/>
      </w:rPr>
    </w:lvl>
    <w:lvl w:ilvl="7" w:tentative="0">
      <w:start w:val="0"/>
      <w:numFmt w:val="bullet"/>
      <w:lvlText w:val="•"/>
      <w:lvlJc w:val="left"/>
      <w:pPr>
        <w:ind w:left="6322" w:hanging="322"/>
      </w:pPr>
      <w:rPr>
        <w:rFonts w:hint="default"/>
        <w:lang w:val="zh-CN" w:eastAsia="zh-CN" w:bidi="zh-CN"/>
      </w:rPr>
    </w:lvl>
    <w:lvl w:ilvl="8" w:tentative="0">
      <w:start w:val="0"/>
      <w:numFmt w:val="bullet"/>
      <w:lvlText w:val="•"/>
      <w:lvlJc w:val="left"/>
      <w:pPr>
        <w:ind w:left="7196" w:hanging="322"/>
      </w:pPr>
      <w:rPr>
        <w:rFonts w:hint="default"/>
        <w:lang w:val="zh-CN" w:eastAsia="zh-CN" w:bidi="zh-CN"/>
      </w:rPr>
    </w:lvl>
  </w:abstractNum>
  <w:abstractNum w:abstractNumId="2">
    <w:nsid w:val="235C547A"/>
    <w:multiLevelType w:val="singleLevel"/>
    <w:tmpl w:val="235C547A"/>
    <w:lvl w:ilvl="0" w:tentative="0">
      <w:start w:val="1"/>
      <w:numFmt w:val="decimal"/>
      <w:suff w:val="nothing"/>
      <w:lvlText w:val="%1、"/>
      <w:lvlJc w:val="left"/>
    </w:lvl>
  </w:abstractNum>
  <w:abstractNum w:abstractNumId="3">
    <w:nsid w:val="47403DB2"/>
    <w:multiLevelType w:val="singleLevel"/>
    <w:tmpl w:val="47403DB2"/>
    <w:lvl w:ilvl="0" w:tentative="0">
      <w:start w:val="15"/>
      <w:numFmt w:val="decimal"/>
      <w:lvlText w:val="%1."/>
      <w:lvlJc w:val="left"/>
      <w:pPr>
        <w:tabs>
          <w:tab w:val="left" w:pos="312"/>
        </w:tabs>
      </w:pPr>
    </w:lvl>
  </w:abstractNum>
  <w:abstractNum w:abstractNumId="4">
    <w:nsid w:val="59926D61"/>
    <w:multiLevelType w:val="singleLevel"/>
    <w:tmpl w:val="59926D61"/>
    <w:lvl w:ilvl="0" w:tentative="0">
      <w:start w:val="9"/>
      <w:numFmt w:val="decimal"/>
      <w:suff w:val="nothing"/>
      <w:lvlText w:val="%1、"/>
      <w:lvlJc w:val="left"/>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WU0OThhNGYyOTJmOWExYzE2MmUzMGY1NjRmMTA4YmUifQ=="/>
  </w:docVars>
  <w:rsids>
    <w:rsidRoot w:val="00172A27"/>
    <w:rsid w:val="00000DD4"/>
    <w:rsid w:val="0003301B"/>
    <w:rsid w:val="00043674"/>
    <w:rsid w:val="00053F0E"/>
    <w:rsid w:val="000851EA"/>
    <w:rsid w:val="000C1CEF"/>
    <w:rsid w:val="000D740E"/>
    <w:rsid w:val="00111765"/>
    <w:rsid w:val="00117F32"/>
    <w:rsid w:val="0014392C"/>
    <w:rsid w:val="0014668B"/>
    <w:rsid w:val="001619AD"/>
    <w:rsid w:val="00162275"/>
    <w:rsid w:val="00167A04"/>
    <w:rsid w:val="00172A27"/>
    <w:rsid w:val="00185D8C"/>
    <w:rsid w:val="001E07D1"/>
    <w:rsid w:val="001E084D"/>
    <w:rsid w:val="001E18CE"/>
    <w:rsid w:val="001F5BC2"/>
    <w:rsid w:val="00205F1A"/>
    <w:rsid w:val="0021263A"/>
    <w:rsid w:val="00221223"/>
    <w:rsid w:val="00226229"/>
    <w:rsid w:val="00240C3E"/>
    <w:rsid w:val="002472C3"/>
    <w:rsid w:val="0025513E"/>
    <w:rsid w:val="00286F9E"/>
    <w:rsid w:val="00292666"/>
    <w:rsid w:val="002B6586"/>
    <w:rsid w:val="002C384F"/>
    <w:rsid w:val="002D3BED"/>
    <w:rsid w:val="00303F60"/>
    <w:rsid w:val="00311145"/>
    <w:rsid w:val="00324A71"/>
    <w:rsid w:val="00335D89"/>
    <w:rsid w:val="00352481"/>
    <w:rsid w:val="00357293"/>
    <w:rsid w:val="00365F7F"/>
    <w:rsid w:val="00366F37"/>
    <w:rsid w:val="003728DF"/>
    <w:rsid w:val="003D30D8"/>
    <w:rsid w:val="003D6030"/>
    <w:rsid w:val="003E1425"/>
    <w:rsid w:val="004063C7"/>
    <w:rsid w:val="00414AB8"/>
    <w:rsid w:val="00422CEF"/>
    <w:rsid w:val="004600E4"/>
    <w:rsid w:val="004B2135"/>
    <w:rsid w:val="004B2876"/>
    <w:rsid w:val="004E1F07"/>
    <w:rsid w:val="00510960"/>
    <w:rsid w:val="00531699"/>
    <w:rsid w:val="0054158B"/>
    <w:rsid w:val="00570A48"/>
    <w:rsid w:val="0059218B"/>
    <w:rsid w:val="005A5335"/>
    <w:rsid w:val="005B1A5D"/>
    <w:rsid w:val="005B386E"/>
    <w:rsid w:val="005B47AB"/>
    <w:rsid w:val="005C0E6E"/>
    <w:rsid w:val="005C12CB"/>
    <w:rsid w:val="005C2A22"/>
    <w:rsid w:val="005F755B"/>
    <w:rsid w:val="006064E5"/>
    <w:rsid w:val="00610312"/>
    <w:rsid w:val="00613F37"/>
    <w:rsid w:val="006230D8"/>
    <w:rsid w:val="00631A02"/>
    <w:rsid w:val="00641454"/>
    <w:rsid w:val="00662F6E"/>
    <w:rsid w:val="0067153F"/>
    <w:rsid w:val="00684979"/>
    <w:rsid w:val="00686E63"/>
    <w:rsid w:val="006977AB"/>
    <w:rsid w:val="006A153D"/>
    <w:rsid w:val="006B5B80"/>
    <w:rsid w:val="006D0611"/>
    <w:rsid w:val="006F4968"/>
    <w:rsid w:val="0070239C"/>
    <w:rsid w:val="00723FDE"/>
    <w:rsid w:val="007555F7"/>
    <w:rsid w:val="00764B9B"/>
    <w:rsid w:val="00782E59"/>
    <w:rsid w:val="007939F3"/>
    <w:rsid w:val="007B219A"/>
    <w:rsid w:val="007C7429"/>
    <w:rsid w:val="007F4D4F"/>
    <w:rsid w:val="00812159"/>
    <w:rsid w:val="00832BC5"/>
    <w:rsid w:val="00835177"/>
    <w:rsid w:val="00844E37"/>
    <w:rsid w:val="008462DB"/>
    <w:rsid w:val="00871354"/>
    <w:rsid w:val="00880E1B"/>
    <w:rsid w:val="00895679"/>
    <w:rsid w:val="008A6052"/>
    <w:rsid w:val="008D6D9C"/>
    <w:rsid w:val="008E56F7"/>
    <w:rsid w:val="00906279"/>
    <w:rsid w:val="009538EC"/>
    <w:rsid w:val="009905C6"/>
    <w:rsid w:val="0099301F"/>
    <w:rsid w:val="00A02305"/>
    <w:rsid w:val="00A05162"/>
    <w:rsid w:val="00A056C0"/>
    <w:rsid w:val="00A2736A"/>
    <w:rsid w:val="00A37925"/>
    <w:rsid w:val="00A47BF0"/>
    <w:rsid w:val="00A63025"/>
    <w:rsid w:val="00A63285"/>
    <w:rsid w:val="00A734D3"/>
    <w:rsid w:val="00A8691E"/>
    <w:rsid w:val="00AA40A2"/>
    <w:rsid w:val="00AB06C6"/>
    <w:rsid w:val="00AB4642"/>
    <w:rsid w:val="00AD22F6"/>
    <w:rsid w:val="00B10134"/>
    <w:rsid w:val="00B41E32"/>
    <w:rsid w:val="00B51360"/>
    <w:rsid w:val="00B5197E"/>
    <w:rsid w:val="00BA4DC0"/>
    <w:rsid w:val="00BA5F85"/>
    <w:rsid w:val="00BE14E4"/>
    <w:rsid w:val="00BF5E51"/>
    <w:rsid w:val="00C019E7"/>
    <w:rsid w:val="00C45960"/>
    <w:rsid w:val="00C62F79"/>
    <w:rsid w:val="00C67335"/>
    <w:rsid w:val="00C843D0"/>
    <w:rsid w:val="00C90347"/>
    <w:rsid w:val="00C9528F"/>
    <w:rsid w:val="00C96B70"/>
    <w:rsid w:val="00CA7CEF"/>
    <w:rsid w:val="00CD4FCB"/>
    <w:rsid w:val="00CE088A"/>
    <w:rsid w:val="00CF2A01"/>
    <w:rsid w:val="00D06B85"/>
    <w:rsid w:val="00D06E29"/>
    <w:rsid w:val="00D644CF"/>
    <w:rsid w:val="00D90CE5"/>
    <w:rsid w:val="00DA3110"/>
    <w:rsid w:val="00DE1AEF"/>
    <w:rsid w:val="00DE410B"/>
    <w:rsid w:val="00E204EF"/>
    <w:rsid w:val="00E23B11"/>
    <w:rsid w:val="00E24BE7"/>
    <w:rsid w:val="00E42944"/>
    <w:rsid w:val="00E67A5E"/>
    <w:rsid w:val="00E720F5"/>
    <w:rsid w:val="00EB1944"/>
    <w:rsid w:val="00EF4D30"/>
    <w:rsid w:val="00F03E88"/>
    <w:rsid w:val="00F076AD"/>
    <w:rsid w:val="00F1283B"/>
    <w:rsid w:val="00F351CC"/>
    <w:rsid w:val="00F35B32"/>
    <w:rsid w:val="00FA0149"/>
    <w:rsid w:val="00FA6E48"/>
    <w:rsid w:val="00FA700A"/>
    <w:rsid w:val="00FB2855"/>
    <w:rsid w:val="00FB40D4"/>
    <w:rsid w:val="00FC6DF3"/>
    <w:rsid w:val="00FE4CEA"/>
    <w:rsid w:val="0102672D"/>
    <w:rsid w:val="011A6B89"/>
    <w:rsid w:val="01443DB9"/>
    <w:rsid w:val="014E2CEB"/>
    <w:rsid w:val="022C7C88"/>
    <w:rsid w:val="02410BE3"/>
    <w:rsid w:val="02570954"/>
    <w:rsid w:val="02612581"/>
    <w:rsid w:val="027232BB"/>
    <w:rsid w:val="02DF7EB2"/>
    <w:rsid w:val="030003DF"/>
    <w:rsid w:val="03031BB4"/>
    <w:rsid w:val="03611BEE"/>
    <w:rsid w:val="0419667B"/>
    <w:rsid w:val="043D0FA7"/>
    <w:rsid w:val="04852B72"/>
    <w:rsid w:val="04D73B46"/>
    <w:rsid w:val="052447B5"/>
    <w:rsid w:val="06334A31"/>
    <w:rsid w:val="07325A2F"/>
    <w:rsid w:val="073477AA"/>
    <w:rsid w:val="07B01A89"/>
    <w:rsid w:val="07C00FB2"/>
    <w:rsid w:val="083C5909"/>
    <w:rsid w:val="08C3403B"/>
    <w:rsid w:val="096422B6"/>
    <w:rsid w:val="0A0B64D4"/>
    <w:rsid w:val="0AC21C94"/>
    <w:rsid w:val="0AE5141D"/>
    <w:rsid w:val="0B2A71CE"/>
    <w:rsid w:val="0B3D4E0F"/>
    <w:rsid w:val="0B4B55FF"/>
    <w:rsid w:val="0B5E7629"/>
    <w:rsid w:val="0B9F46D6"/>
    <w:rsid w:val="0BB71C77"/>
    <w:rsid w:val="0BD1352B"/>
    <w:rsid w:val="0BE31450"/>
    <w:rsid w:val="0BF675BB"/>
    <w:rsid w:val="0C016147"/>
    <w:rsid w:val="0C4056A8"/>
    <w:rsid w:val="0C68547F"/>
    <w:rsid w:val="0C804C50"/>
    <w:rsid w:val="0CEF3E5D"/>
    <w:rsid w:val="0D8B399D"/>
    <w:rsid w:val="0E4855F6"/>
    <w:rsid w:val="0E7004C6"/>
    <w:rsid w:val="0EA262AF"/>
    <w:rsid w:val="0EC96A3F"/>
    <w:rsid w:val="0F81548D"/>
    <w:rsid w:val="0F865BB8"/>
    <w:rsid w:val="0F9D60BB"/>
    <w:rsid w:val="0FF65768"/>
    <w:rsid w:val="113A42A8"/>
    <w:rsid w:val="11617F25"/>
    <w:rsid w:val="117A3DE5"/>
    <w:rsid w:val="117E4C02"/>
    <w:rsid w:val="119D67AF"/>
    <w:rsid w:val="11D35124"/>
    <w:rsid w:val="11E74650"/>
    <w:rsid w:val="124E243D"/>
    <w:rsid w:val="13255454"/>
    <w:rsid w:val="139D35FD"/>
    <w:rsid w:val="139E3928"/>
    <w:rsid w:val="13B41BCC"/>
    <w:rsid w:val="145A5601"/>
    <w:rsid w:val="147F57B4"/>
    <w:rsid w:val="14B57065"/>
    <w:rsid w:val="15C670FE"/>
    <w:rsid w:val="15F055AC"/>
    <w:rsid w:val="1636260B"/>
    <w:rsid w:val="16477D2E"/>
    <w:rsid w:val="16C4025A"/>
    <w:rsid w:val="170F01A6"/>
    <w:rsid w:val="1729600A"/>
    <w:rsid w:val="173560D8"/>
    <w:rsid w:val="17EC7BD0"/>
    <w:rsid w:val="18332267"/>
    <w:rsid w:val="1A143DE9"/>
    <w:rsid w:val="1A3305B7"/>
    <w:rsid w:val="1A5E097E"/>
    <w:rsid w:val="1A7275B7"/>
    <w:rsid w:val="1A877CAB"/>
    <w:rsid w:val="1B2D0AF9"/>
    <w:rsid w:val="1B377FC1"/>
    <w:rsid w:val="1B700A62"/>
    <w:rsid w:val="1C944B70"/>
    <w:rsid w:val="1CDF5040"/>
    <w:rsid w:val="1D3F7374"/>
    <w:rsid w:val="1D454FA2"/>
    <w:rsid w:val="1DB7445B"/>
    <w:rsid w:val="1DE21639"/>
    <w:rsid w:val="1E6A3C6A"/>
    <w:rsid w:val="1E7774C1"/>
    <w:rsid w:val="1EC61592"/>
    <w:rsid w:val="1EF909DF"/>
    <w:rsid w:val="1F0E185C"/>
    <w:rsid w:val="1FAD730D"/>
    <w:rsid w:val="20806218"/>
    <w:rsid w:val="20B1016A"/>
    <w:rsid w:val="20D2610D"/>
    <w:rsid w:val="21071252"/>
    <w:rsid w:val="211D00CF"/>
    <w:rsid w:val="21776CA2"/>
    <w:rsid w:val="21C84826"/>
    <w:rsid w:val="220C00B0"/>
    <w:rsid w:val="221036F7"/>
    <w:rsid w:val="22437410"/>
    <w:rsid w:val="225939A1"/>
    <w:rsid w:val="2386382C"/>
    <w:rsid w:val="239D0DA6"/>
    <w:rsid w:val="23A9365A"/>
    <w:rsid w:val="23B60887"/>
    <w:rsid w:val="23EA55EA"/>
    <w:rsid w:val="23EF7A02"/>
    <w:rsid w:val="24BB755C"/>
    <w:rsid w:val="24BC1AA6"/>
    <w:rsid w:val="26116B19"/>
    <w:rsid w:val="262D4BDD"/>
    <w:rsid w:val="268B46F4"/>
    <w:rsid w:val="27114A72"/>
    <w:rsid w:val="27EE71A3"/>
    <w:rsid w:val="28153228"/>
    <w:rsid w:val="28444393"/>
    <w:rsid w:val="284B7A72"/>
    <w:rsid w:val="28710461"/>
    <w:rsid w:val="28BA6ED0"/>
    <w:rsid w:val="29626DE8"/>
    <w:rsid w:val="299E3026"/>
    <w:rsid w:val="2A35702E"/>
    <w:rsid w:val="2BDA70E1"/>
    <w:rsid w:val="2C0F1DE8"/>
    <w:rsid w:val="2C3266E3"/>
    <w:rsid w:val="2C406804"/>
    <w:rsid w:val="2CA1194A"/>
    <w:rsid w:val="2CC2249C"/>
    <w:rsid w:val="2D146AC7"/>
    <w:rsid w:val="2D96306F"/>
    <w:rsid w:val="2E303444"/>
    <w:rsid w:val="2E7B6CC4"/>
    <w:rsid w:val="2E8A168E"/>
    <w:rsid w:val="2ECA494D"/>
    <w:rsid w:val="2ECC7E0B"/>
    <w:rsid w:val="2F496D12"/>
    <w:rsid w:val="2F5660E6"/>
    <w:rsid w:val="2F5C3022"/>
    <w:rsid w:val="2F5D3ABE"/>
    <w:rsid w:val="30190135"/>
    <w:rsid w:val="306B6383"/>
    <w:rsid w:val="306E03A5"/>
    <w:rsid w:val="30912713"/>
    <w:rsid w:val="30CC1916"/>
    <w:rsid w:val="30DE30E5"/>
    <w:rsid w:val="31AA2C4C"/>
    <w:rsid w:val="323972C6"/>
    <w:rsid w:val="3277127D"/>
    <w:rsid w:val="32E16CD8"/>
    <w:rsid w:val="331100E7"/>
    <w:rsid w:val="334311DB"/>
    <w:rsid w:val="35530311"/>
    <w:rsid w:val="35924BA7"/>
    <w:rsid w:val="35BA663B"/>
    <w:rsid w:val="35BB6D0B"/>
    <w:rsid w:val="35D60C23"/>
    <w:rsid w:val="35DA684E"/>
    <w:rsid w:val="35EB5953"/>
    <w:rsid w:val="35F00AA7"/>
    <w:rsid w:val="360958DE"/>
    <w:rsid w:val="36FA4DE1"/>
    <w:rsid w:val="376E5846"/>
    <w:rsid w:val="378E4F89"/>
    <w:rsid w:val="38423EBD"/>
    <w:rsid w:val="39A648B1"/>
    <w:rsid w:val="39D276DC"/>
    <w:rsid w:val="3A1D4C91"/>
    <w:rsid w:val="3A8670A4"/>
    <w:rsid w:val="3AA4768A"/>
    <w:rsid w:val="3AE0761C"/>
    <w:rsid w:val="3AEC18E5"/>
    <w:rsid w:val="3B0024F3"/>
    <w:rsid w:val="3BC4321F"/>
    <w:rsid w:val="3C03321D"/>
    <w:rsid w:val="3C183361"/>
    <w:rsid w:val="3C6C0A4C"/>
    <w:rsid w:val="3CAF086F"/>
    <w:rsid w:val="3DDC5FE8"/>
    <w:rsid w:val="3DEE10A9"/>
    <w:rsid w:val="3E65321A"/>
    <w:rsid w:val="3E670C26"/>
    <w:rsid w:val="3E8412E4"/>
    <w:rsid w:val="3E9106A2"/>
    <w:rsid w:val="3EED5CE2"/>
    <w:rsid w:val="3EF20291"/>
    <w:rsid w:val="40AD0C76"/>
    <w:rsid w:val="42245E14"/>
    <w:rsid w:val="42CC1519"/>
    <w:rsid w:val="434834C8"/>
    <w:rsid w:val="43EA2390"/>
    <w:rsid w:val="44237DB9"/>
    <w:rsid w:val="44277524"/>
    <w:rsid w:val="443C7FEE"/>
    <w:rsid w:val="4486743B"/>
    <w:rsid w:val="4514340A"/>
    <w:rsid w:val="4522422D"/>
    <w:rsid w:val="452804BB"/>
    <w:rsid w:val="456561D3"/>
    <w:rsid w:val="45D32B69"/>
    <w:rsid w:val="45D71844"/>
    <w:rsid w:val="46594ACB"/>
    <w:rsid w:val="46680211"/>
    <w:rsid w:val="46D77AC6"/>
    <w:rsid w:val="47CB3E73"/>
    <w:rsid w:val="48064403"/>
    <w:rsid w:val="48436FDA"/>
    <w:rsid w:val="48897173"/>
    <w:rsid w:val="48D975D7"/>
    <w:rsid w:val="48EE420B"/>
    <w:rsid w:val="49521695"/>
    <w:rsid w:val="4A00298D"/>
    <w:rsid w:val="4A22216C"/>
    <w:rsid w:val="4A8B73D7"/>
    <w:rsid w:val="4AD22353"/>
    <w:rsid w:val="4B387B55"/>
    <w:rsid w:val="4B4B51BF"/>
    <w:rsid w:val="4B9F4E11"/>
    <w:rsid w:val="4BB26B3B"/>
    <w:rsid w:val="4BC73832"/>
    <w:rsid w:val="4BF53D60"/>
    <w:rsid w:val="4C085148"/>
    <w:rsid w:val="4C3443CE"/>
    <w:rsid w:val="4C81207A"/>
    <w:rsid w:val="4CA07EC0"/>
    <w:rsid w:val="4DBB4503"/>
    <w:rsid w:val="4E7A05AB"/>
    <w:rsid w:val="4E7C3672"/>
    <w:rsid w:val="4EBF6F45"/>
    <w:rsid w:val="4EC201F0"/>
    <w:rsid w:val="4F0B21E4"/>
    <w:rsid w:val="4F2F0792"/>
    <w:rsid w:val="4F6B4A2D"/>
    <w:rsid w:val="50024953"/>
    <w:rsid w:val="500C33C2"/>
    <w:rsid w:val="508C7992"/>
    <w:rsid w:val="50CC783B"/>
    <w:rsid w:val="50D210C3"/>
    <w:rsid w:val="50FA22D5"/>
    <w:rsid w:val="514123AC"/>
    <w:rsid w:val="51596F95"/>
    <w:rsid w:val="51A272E6"/>
    <w:rsid w:val="51D4385F"/>
    <w:rsid w:val="51ED67A5"/>
    <w:rsid w:val="51FF27DF"/>
    <w:rsid w:val="52240448"/>
    <w:rsid w:val="52347646"/>
    <w:rsid w:val="533800BC"/>
    <w:rsid w:val="542004E4"/>
    <w:rsid w:val="54582C2B"/>
    <w:rsid w:val="55106732"/>
    <w:rsid w:val="55323A38"/>
    <w:rsid w:val="55554B14"/>
    <w:rsid w:val="55D22BB5"/>
    <w:rsid w:val="55EF63FE"/>
    <w:rsid w:val="56282BD5"/>
    <w:rsid w:val="57280A43"/>
    <w:rsid w:val="57782683"/>
    <w:rsid w:val="57890E06"/>
    <w:rsid w:val="57D6563F"/>
    <w:rsid w:val="57E07887"/>
    <w:rsid w:val="581B104C"/>
    <w:rsid w:val="58281394"/>
    <w:rsid w:val="586A2EEE"/>
    <w:rsid w:val="593578C8"/>
    <w:rsid w:val="59810EC7"/>
    <w:rsid w:val="598D06AE"/>
    <w:rsid w:val="59C21AEA"/>
    <w:rsid w:val="59D26A90"/>
    <w:rsid w:val="5A1F1C28"/>
    <w:rsid w:val="5A4B39E2"/>
    <w:rsid w:val="5A550CA1"/>
    <w:rsid w:val="5A585274"/>
    <w:rsid w:val="5A6C467C"/>
    <w:rsid w:val="5AD36434"/>
    <w:rsid w:val="5AE519B6"/>
    <w:rsid w:val="5BC64756"/>
    <w:rsid w:val="5C2F00C3"/>
    <w:rsid w:val="5C2F487A"/>
    <w:rsid w:val="5C86163E"/>
    <w:rsid w:val="5D592B21"/>
    <w:rsid w:val="5E181C7E"/>
    <w:rsid w:val="5E2C4052"/>
    <w:rsid w:val="5E8570EC"/>
    <w:rsid w:val="5F0F2CF1"/>
    <w:rsid w:val="5F147A20"/>
    <w:rsid w:val="5F781673"/>
    <w:rsid w:val="5FE638F2"/>
    <w:rsid w:val="608E205B"/>
    <w:rsid w:val="61051E89"/>
    <w:rsid w:val="61491104"/>
    <w:rsid w:val="61953E4A"/>
    <w:rsid w:val="623A09B3"/>
    <w:rsid w:val="62545076"/>
    <w:rsid w:val="62B40C5B"/>
    <w:rsid w:val="62D006E6"/>
    <w:rsid w:val="62E46BD2"/>
    <w:rsid w:val="62E62260"/>
    <w:rsid w:val="630F2726"/>
    <w:rsid w:val="63BD0450"/>
    <w:rsid w:val="63D719DB"/>
    <w:rsid w:val="63E94AFD"/>
    <w:rsid w:val="63ED00E4"/>
    <w:rsid w:val="646C3855"/>
    <w:rsid w:val="647D2DAA"/>
    <w:rsid w:val="6482221F"/>
    <w:rsid w:val="64AD28E9"/>
    <w:rsid w:val="64FA021B"/>
    <w:rsid w:val="65390F50"/>
    <w:rsid w:val="65CC57CC"/>
    <w:rsid w:val="661B40E7"/>
    <w:rsid w:val="66457F94"/>
    <w:rsid w:val="6658653C"/>
    <w:rsid w:val="66960736"/>
    <w:rsid w:val="671A5A2D"/>
    <w:rsid w:val="672426E8"/>
    <w:rsid w:val="676677EB"/>
    <w:rsid w:val="67C9562E"/>
    <w:rsid w:val="686376AA"/>
    <w:rsid w:val="68AC39AA"/>
    <w:rsid w:val="699E28C2"/>
    <w:rsid w:val="69EC2324"/>
    <w:rsid w:val="6A6C1113"/>
    <w:rsid w:val="6A8C0FED"/>
    <w:rsid w:val="6ABA77D6"/>
    <w:rsid w:val="6AD23ECA"/>
    <w:rsid w:val="6AD81E12"/>
    <w:rsid w:val="6B665761"/>
    <w:rsid w:val="6C3F3C9B"/>
    <w:rsid w:val="6C68176D"/>
    <w:rsid w:val="6C7716C8"/>
    <w:rsid w:val="6C77637D"/>
    <w:rsid w:val="6D013D3B"/>
    <w:rsid w:val="6D5A7E24"/>
    <w:rsid w:val="6D7E3AFC"/>
    <w:rsid w:val="6E086C62"/>
    <w:rsid w:val="6E0C3A98"/>
    <w:rsid w:val="6E132974"/>
    <w:rsid w:val="6E16629A"/>
    <w:rsid w:val="6EBD47B7"/>
    <w:rsid w:val="6EC27256"/>
    <w:rsid w:val="6ECF6E0C"/>
    <w:rsid w:val="6F320296"/>
    <w:rsid w:val="70463949"/>
    <w:rsid w:val="706D7F34"/>
    <w:rsid w:val="717005AA"/>
    <w:rsid w:val="71762E6E"/>
    <w:rsid w:val="71B47093"/>
    <w:rsid w:val="71B52661"/>
    <w:rsid w:val="72095623"/>
    <w:rsid w:val="728363B6"/>
    <w:rsid w:val="736328E0"/>
    <w:rsid w:val="73FF4FB0"/>
    <w:rsid w:val="75BC6535"/>
    <w:rsid w:val="76945B9A"/>
    <w:rsid w:val="76CB3AC4"/>
    <w:rsid w:val="77066C6B"/>
    <w:rsid w:val="77A33638"/>
    <w:rsid w:val="77AC7698"/>
    <w:rsid w:val="77B51620"/>
    <w:rsid w:val="782A3662"/>
    <w:rsid w:val="785721B0"/>
    <w:rsid w:val="78CD47CC"/>
    <w:rsid w:val="790415B1"/>
    <w:rsid w:val="79201679"/>
    <w:rsid w:val="7922733F"/>
    <w:rsid w:val="792B6137"/>
    <w:rsid w:val="793C30C8"/>
    <w:rsid w:val="797906C6"/>
    <w:rsid w:val="79FA27C6"/>
    <w:rsid w:val="7A38049C"/>
    <w:rsid w:val="7A685645"/>
    <w:rsid w:val="7A801606"/>
    <w:rsid w:val="7AB627FD"/>
    <w:rsid w:val="7B060946"/>
    <w:rsid w:val="7BBE7CE2"/>
    <w:rsid w:val="7CEC2289"/>
    <w:rsid w:val="7D502227"/>
    <w:rsid w:val="7D5A0E1B"/>
    <w:rsid w:val="7DB3663A"/>
    <w:rsid w:val="7E320F3C"/>
    <w:rsid w:val="7EA820B6"/>
    <w:rsid w:val="7EA83F40"/>
    <w:rsid w:val="7ECD3416"/>
    <w:rsid w:val="7F1C7A64"/>
    <w:rsid w:val="7F923D12"/>
    <w:rsid w:val="7FE60E89"/>
    <w:rsid w:val="7FF466E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33"/>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34"/>
    <w:qFormat/>
    <w:uiPriority w:val="99"/>
    <w:pPr>
      <w:keepNext/>
      <w:keepLines/>
      <w:spacing w:before="280" w:after="290" w:line="376" w:lineRule="auto"/>
      <w:outlineLvl w:val="3"/>
    </w:pPr>
    <w:rPr>
      <w:rFonts w:ascii="Cambria" w:hAnsi="Cambria" w:cs="Cambria"/>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customStyle="1" w:styleId="2">
    <w:name w:val="列出段落1"/>
    <w:basedOn w:val="1"/>
    <w:next w:val="1"/>
    <w:unhideWhenUsed/>
    <w:qFormat/>
    <w:uiPriority w:val="99"/>
    <w:pPr>
      <w:ind w:firstLine="420" w:firstLineChars="200"/>
    </w:pPr>
  </w:style>
  <w:style w:type="paragraph" w:styleId="7">
    <w:name w:val="toc 7"/>
    <w:basedOn w:val="1"/>
    <w:next w:val="1"/>
    <w:unhideWhenUsed/>
    <w:qFormat/>
    <w:uiPriority w:val="39"/>
    <w:pPr>
      <w:ind w:left="2520" w:leftChars="1200"/>
    </w:pPr>
    <w:rPr>
      <w:rFonts w:asciiTheme="minorHAnsi" w:hAnsiTheme="minorHAnsi" w:eastAsiaTheme="minorEastAsia" w:cstheme="minorBidi"/>
      <w:szCs w:val="22"/>
    </w:rPr>
  </w:style>
  <w:style w:type="paragraph" w:styleId="8">
    <w:name w:val="Normal Indent"/>
    <w:basedOn w:val="1"/>
    <w:qFormat/>
    <w:uiPriority w:val="0"/>
    <w:pPr>
      <w:autoSpaceDE w:val="0"/>
      <w:autoSpaceDN w:val="0"/>
      <w:adjustRightInd w:val="0"/>
      <w:ind w:firstLine="420"/>
      <w:jc w:val="left"/>
    </w:pPr>
    <w:rPr>
      <w:rFonts w:ascii="宋体"/>
      <w:kern w:val="0"/>
      <w:sz w:val="24"/>
      <w:szCs w:val="20"/>
    </w:rPr>
  </w:style>
  <w:style w:type="paragraph" w:styleId="9">
    <w:name w:val="Body Text"/>
    <w:basedOn w:val="1"/>
    <w:link w:val="29"/>
    <w:qFormat/>
    <w:uiPriority w:val="0"/>
    <w:pPr>
      <w:tabs>
        <w:tab w:val="left" w:pos="567"/>
      </w:tabs>
      <w:spacing w:before="120" w:line="22" w:lineRule="atLeast"/>
    </w:pPr>
    <w:rPr>
      <w:rFonts w:ascii="宋体" w:hAnsi="宋体"/>
      <w:sz w:val="24"/>
    </w:rPr>
  </w:style>
  <w:style w:type="paragraph" w:styleId="10">
    <w:name w:val="toc 5"/>
    <w:basedOn w:val="1"/>
    <w:next w:val="1"/>
    <w:unhideWhenUsed/>
    <w:qFormat/>
    <w:uiPriority w:val="39"/>
    <w:pPr>
      <w:ind w:left="1680" w:leftChars="800"/>
    </w:pPr>
    <w:rPr>
      <w:rFonts w:asciiTheme="minorHAnsi" w:hAnsiTheme="minorHAnsi" w:eastAsiaTheme="minorEastAsia" w:cstheme="minorBidi"/>
      <w:szCs w:val="22"/>
    </w:rPr>
  </w:style>
  <w:style w:type="paragraph" w:styleId="11">
    <w:name w:val="toc 3"/>
    <w:basedOn w:val="1"/>
    <w:next w:val="1"/>
    <w:qFormat/>
    <w:uiPriority w:val="39"/>
    <w:pPr>
      <w:tabs>
        <w:tab w:val="left" w:pos="1260"/>
        <w:tab w:val="right" w:leader="dot" w:pos="8630"/>
      </w:tabs>
      <w:ind w:left="840" w:leftChars="400"/>
    </w:pPr>
  </w:style>
  <w:style w:type="paragraph" w:styleId="12">
    <w:name w:val="Plain Text"/>
    <w:basedOn w:val="1"/>
    <w:link w:val="30"/>
    <w:qFormat/>
    <w:uiPriority w:val="0"/>
    <w:rPr>
      <w:rFonts w:ascii="宋体" w:hAnsi="Courier New"/>
      <w:szCs w:val="20"/>
    </w:rPr>
  </w:style>
  <w:style w:type="paragraph" w:styleId="13">
    <w:name w:val="toc 8"/>
    <w:basedOn w:val="1"/>
    <w:next w:val="1"/>
    <w:unhideWhenUsed/>
    <w:qFormat/>
    <w:uiPriority w:val="39"/>
    <w:pPr>
      <w:ind w:left="2940" w:leftChars="1400"/>
    </w:pPr>
    <w:rPr>
      <w:rFonts w:asciiTheme="minorHAnsi" w:hAnsiTheme="minorHAnsi" w:eastAsiaTheme="minorEastAsia" w:cstheme="minorBidi"/>
      <w:szCs w:val="22"/>
    </w:rPr>
  </w:style>
  <w:style w:type="paragraph" w:styleId="14">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style>
  <w:style w:type="paragraph" w:styleId="17">
    <w:name w:val="toc 4"/>
    <w:basedOn w:val="1"/>
    <w:next w:val="1"/>
    <w:unhideWhenUsed/>
    <w:qFormat/>
    <w:uiPriority w:val="39"/>
    <w:pPr>
      <w:ind w:left="1260" w:leftChars="600"/>
    </w:pPr>
    <w:rPr>
      <w:rFonts w:asciiTheme="minorHAnsi" w:hAnsiTheme="minorHAnsi" w:eastAsiaTheme="minorEastAsia" w:cstheme="minorBidi"/>
      <w:szCs w:val="22"/>
    </w:rPr>
  </w:style>
  <w:style w:type="paragraph" w:styleId="18">
    <w:name w:val="toc 6"/>
    <w:basedOn w:val="1"/>
    <w:next w:val="1"/>
    <w:unhideWhenUsed/>
    <w:qFormat/>
    <w:uiPriority w:val="39"/>
    <w:pPr>
      <w:ind w:left="2100" w:leftChars="1000"/>
    </w:pPr>
    <w:rPr>
      <w:rFonts w:asciiTheme="minorHAnsi" w:hAnsiTheme="minorHAnsi" w:eastAsiaTheme="minorEastAsia" w:cstheme="minorBidi"/>
      <w:szCs w:val="22"/>
    </w:rPr>
  </w:style>
  <w:style w:type="paragraph" w:styleId="19">
    <w:name w:val="toc 2"/>
    <w:basedOn w:val="1"/>
    <w:next w:val="1"/>
    <w:qFormat/>
    <w:uiPriority w:val="39"/>
    <w:pPr>
      <w:ind w:left="420" w:leftChars="200"/>
    </w:pPr>
  </w:style>
  <w:style w:type="paragraph" w:styleId="20">
    <w:name w:val="toc 9"/>
    <w:basedOn w:val="1"/>
    <w:next w:val="1"/>
    <w:unhideWhenUsed/>
    <w:qFormat/>
    <w:uiPriority w:val="39"/>
    <w:pPr>
      <w:ind w:left="3360" w:leftChars="1600"/>
    </w:pPr>
    <w:rPr>
      <w:rFonts w:asciiTheme="minorHAnsi" w:hAnsiTheme="minorHAnsi" w:eastAsiaTheme="minorEastAsia" w:cstheme="minorBidi"/>
      <w:szCs w:val="22"/>
    </w:rPr>
  </w:style>
  <w:style w:type="paragraph" w:styleId="21">
    <w:name w:val="Body Text 2"/>
    <w:basedOn w:val="1"/>
    <w:next w:val="1"/>
    <w:qFormat/>
    <w:uiPriority w:val="0"/>
    <w:pPr>
      <w:spacing w:after="120" w:line="480" w:lineRule="auto"/>
    </w:pPr>
  </w:style>
  <w:style w:type="paragraph" w:styleId="22">
    <w:name w:val="Normal (Web)"/>
    <w:basedOn w:val="1"/>
    <w:next w:val="15"/>
    <w:qFormat/>
    <w:uiPriority w:val="0"/>
    <w:pPr>
      <w:spacing w:before="100" w:beforeAutospacing="1" w:after="100" w:afterAutospacing="1"/>
      <w:jc w:val="left"/>
    </w:pPr>
    <w:rPr>
      <w:kern w:val="0"/>
      <w:sz w:val="24"/>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Hyperlink"/>
    <w:basedOn w:val="25"/>
    <w:qFormat/>
    <w:uiPriority w:val="99"/>
    <w:rPr>
      <w:color w:val="333333"/>
      <w:u w:val="none"/>
    </w:rPr>
  </w:style>
  <w:style w:type="character" w:customStyle="1" w:styleId="28">
    <w:name w:val="fontstyle01"/>
    <w:qFormat/>
    <w:uiPriority w:val="0"/>
    <w:rPr>
      <w:rFonts w:hint="eastAsia" w:ascii="宋体" w:hAnsi="宋体" w:eastAsia="宋体"/>
      <w:color w:val="000000"/>
      <w:sz w:val="22"/>
      <w:szCs w:val="22"/>
    </w:rPr>
  </w:style>
  <w:style w:type="character" w:customStyle="1" w:styleId="29">
    <w:name w:val="正文文本 Char"/>
    <w:link w:val="9"/>
    <w:qFormat/>
    <w:uiPriority w:val="0"/>
    <w:rPr>
      <w:rFonts w:ascii="宋体" w:hAnsi="宋体"/>
      <w:kern w:val="2"/>
      <w:sz w:val="24"/>
      <w:szCs w:val="24"/>
    </w:rPr>
  </w:style>
  <w:style w:type="character" w:customStyle="1" w:styleId="30">
    <w:name w:val="纯文本 Char"/>
    <w:link w:val="12"/>
    <w:qFormat/>
    <w:uiPriority w:val="0"/>
    <w:rPr>
      <w:rFonts w:ascii="宋体" w:hAnsi="Courier New"/>
      <w:kern w:val="2"/>
      <w:sz w:val="21"/>
    </w:rPr>
  </w:style>
  <w:style w:type="character" w:customStyle="1" w:styleId="31">
    <w:name w:val="正文缩进 Char1"/>
    <w:link w:val="32"/>
    <w:qFormat/>
    <w:uiPriority w:val="0"/>
    <w:rPr>
      <w:rFonts w:ascii="宋体"/>
      <w:sz w:val="24"/>
    </w:rPr>
  </w:style>
  <w:style w:type="paragraph" w:customStyle="1" w:styleId="32">
    <w:name w:val="正文缩进1"/>
    <w:basedOn w:val="1"/>
    <w:link w:val="31"/>
    <w:qFormat/>
    <w:uiPriority w:val="0"/>
    <w:pPr>
      <w:autoSpaceDE w:val="0"/>
      <w:autoSpaceDN w:val="0"/>
      <w:adjustRightInd w:val="0"/>
      <w:ind w:firstLine="420"/>
      <w:jc w:val="left"/>
    </w:pPr>
    <w:rPr>
      <w:rFonts w:ascii="宋体"/>
      <w:kern w:val="0"/>
      <w:sz w:val="24"/>
      <w:szCs w:val="20"/>
    </w:rPr>
  </w:style>
  <w:style w:type="character" w:customStyle="1" w:styleId="33">
    <w:name w:val="标题 1 Char"/>
    <w:link w:val="3"/>
    <w:qFormat/>
    <w:uiPriority w:val="0"/>
    <w:rPr>
      <w:rFonts w:ascii="宋体"/>
      <w:b/>
      <w:kern w:val="44"/>
      <w:sz w:val="32"/>
    </w:rPr>
  </w:style>
  <w:style w:type="character" w:customStyle="1" w:styleId="34">
    <w:name w:val="标题 4 Char"/>
    <w:basedOn w:val="25"/>
    <w:link w:val="6"/>
    <w:qFormat/>
    <w:uiPriority w:val="99"/>
    <w:rPr>
      <w:rFonts w:ascii="Cambria" w:hAnsi="Cambria" w:cs="Cambria"/>
      <w:b/>
      <w:bCs/>
      <w:kern w:val="2"/>
      <w:sz w:val="28"/>
      <w:szCs w:val="28"/>
    </w:rPr>
  </w:style>
  <w:style w:type="paragraph" w:customStyle="1" w:styleId="35">
    <w:name w:val="_Style 34"/>
    <w:basedOn w:val="1"/>
    <w:next w:val="36"/>
    <w:qFormat/>
    <w:uiPriority w:val="34"/>
    <w:pPr>
      <w:widowControl/>
      <w:ind w:firstLine="420" w:firstLineChars="200"/>
      <w:jc w:val="left"/>
    </w:pPr>
    <w:rPr>
      <w:rFonts w:ascii="Times New Roman" w:hAnsi="Times New Roman"/>
      <w:kern w:val="0"/>
      <w:sz w:val="24"/>
    </w:rPr>
  </w:style>
  <w:style w:type="paragraph" w:styleId="36">
    <w:name w:val="List Paragraph"/>
    <w:basedOn w:val="1"/>
    <w:next w:val="1"/>
    <w:qFormat/>
    <w:uiPriority w:val="34"/>
    <w:pPr>
      <w:widowControl/>
      <w:ind w:firstLine="420" w:firstLineChars="200"/>
      <w:jc w:val="left"/>
    </w:pPr>
    <w:rPr>
      <w:kern w:val="0"/>
      <w:sz w:val="24"/>
    </w:rPr>
  </w:style>
  <w:style w:type="paragraph" w:customStyle="1" w:styleId="37">
    <w:name w:val="纯文本1"/>
    <w:basedOn w:val="1"/>
    <w:qFormat/>
    <w:uiPriority w:val="0"/>
    <w:rPr>
      <w:rFonts w:ascii="宋体" w:hAnsi="Courier New"/>
    </w:rPr>
  </w:style>
  <w:style w:type="paragraph" w:customStyle="1" w:styleId="38">
    <w:name w:val="_Style 35"/>
    <w:basedOn w:val="1"/>
    <w:next w:val="36"/>
    <w:qFormat/>
    <w:uiPriority w:val="34"/>
    <w:pPr>
      <w:widowControl/>
      <w:ind w:firstLine="420" w:firstLineChars="200"/>
      <w:jc w:val="left"/>
    </w:pPr>
    <w:rPr>
      <w:rFonts w:ascii="Times New Roman" w:hAnsi="Times New Roman"/>
      <w:kern w:val="0"/>
      <w:sz w:val="24"/>
    </w:rPr>
  </w:style>
  <w:style w:type="character" w:customStyle="1" w:styleId="39">
    <w:name w:val="font21"/>
    <w:basedOn w:val="25"/>
    <w:qFormat/>
    <w:uiPriority w:val="0"/>
    <w:rPr>
      <w:rFonts w:hint="default" w:ascii="Calibri" w:hAnsi="Calibri" w:cs="Calibri"/>
      <w:color w:val="000000"/>
      <w:sz w:val="21"/>
      <w:szCs w:val="21"/>
      <w:u w:val="none"/>
    </w:rPr>
  </w:style>
  <w:style w:type="character" w:customStyle="1" w:styleId="40">
    <w:name w:val="font11"/>
    <w:basedOn w:val="25"/>
    <w:qFormat/>
    <w:uiPriority w:val="0"/>
    <w:rPr>
      <w:rFonts w:ascii="宋体-简" w:hAnsi="宋体-简" w:eastAsia="宋体-简" w:cs="宋体-简"/>
      <w:color w:val="000000"/>
      <w:sz w:val="21"/>
      <w:szCs w:val="21"/>
      <w:u w:val="none"/>
    </w:rPr>
  </w:style>
  <w:style w:type="character" w:customStyle="1" w:styleId="41">
    <w:name w:val="font51"/>
    <w:basedOn w:val="25"/>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4" Type="http://schemas.openxmlformats.org/officeDocument/2006/relationships/fontTable" Target="fontTable.xml"/><Relationship Id="rId43" Type="http://schemas.openxmlformats.org/officeDocument/2006/relationships/numbering" Target="numbering.xml"/><Relationship Id="rId42" Type="http://schemas.openxmlformats.org/officeDocument/2006/relationships/customXml" Target="../customXml/item1.xml"/><Relationship Id="rId41" Type="http://schemas.openxmlformats.org/officeDocument/2006/relationships/image" Target="media/image25.png"/><Relationship Id="rId40" Type="http://schemas.openxmlformats.org/officeDocument/2006/relationships/image" Target="media/image24.png"/><Relationship Id="rId4" Type="http://schemas.openxmlformats.org/officeDocument/2006/relationships/header" Target="header1.xml"/><Relationship Id="rId39" Type="http://schemas.openxmlformats.org/officeDocument/2006/relationships/image" Target="media/image23.png"/><Relationship Id="rId38" Type="http://schemas.openxmlformats.org/officeDocument/2006/relationships/image" Target="media/image22.png"/><Relationship Id="rId37" Type="http://schemas.openxmlformats.org/officeDocument/2006/relationships/image" Target="media/image21.png"/><Relationship Id="rId36" Type="http://schemas.openxmlformats.org/officeDocument/2006/relationships/image" Target="media/image20.png"/><Relationship Id="rId35" Type="http://schemas.openxmlformats.org/officeDocument/2006/relationships/image" Target="media/image19.png"/><Relationship Id="rId34" Type="http://schemas.openxmlformats.org/officeDocument/2006/relationships/image" Target="media/image18.png"/><Relationship Id="rId33" Type="http://schemas.openxmlformats.org/officeDocument/2006/relationships/image" Target="media/image17.png"/><Relationship Id="rId32" Type="http://schemas.openxmlformats.org/officeDocument/2006/relationships/image" Target="media/image16.png"/><Relationship Id="rId31" Type="http://schemas.openxmlformats.org/officeDocument/2006/relationships/image" Target="media/image15.png"/><Relationship Id="rId30" Type="http://schemas.openxmlformats.org/officeDocument/2006/relationships/image" Target="media/image14.png"/><Relationship Id="rId3" Type="http://schemas.openxmlformats.org/officeDocument/2006/relationships/footer" Target="footer1.xml"/><Relationship Id="rId29" Type="http://schemas.openxmlformats.org/officeDocument/2006/relationships/image" Target="media/image13.png"/><Relationship Id="rId28" Type="http://schemas.openxmlformats.org/officeDocument/2006/relationships/image" Target="media/image12.png"/><Relationship Id="rId27" Type="http://schemas.openxmlformats.org/officeDocument/2006/relationships/image" Target="media/image11.png"/><Relationship Id="rId26" Type="http://schemas.openxmlformats.org/officeDocument/2006/relationships/image" Target="media/image10.png"/><Relationship Id="rId25" Type="http://schemas.openxmlformats.org/officeDocument/2006/relationships/image" Target="media/image9.png"/><Relationship Id="rId24" Type="http://schemas.openxmlformats.org/officeDocument/2006/relationships/image" Target="media/image8.png"/><Relationship Id="rId23" Type="http://schemas.openxmlformats.org/officeDocument/2006/relationships/image" Target="media/image7.png"/><Relationship Id="rId22" Type="http://schemas.openxmlformats.org/officeDocument/2006/relationships/image" Target="media/image6.png"/><Relationship Id="rId21" Type="http://schemas.openxmlformats.org/officeDocument/2006/relationships/image" Target="media/image5.png"/><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pn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53"/>
    <customShpInfo spid="_x0000_s2052"/>
    <customShpInfo spid="_x0000_s2051"/>
    <customShpInfo spid="_x0000_s2050"/>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73</Pages>
  <Words>33667</Words>
  <Characters>36517</Characters>
  <Lines>286</Lines>
  <Paragraphs>80</Paragraphs>
  <TotalTime>0</TotalTime>
  <ScaleCrop>false</ScaleCrop>
  <LinksUpToDate>false</LinksUpToDate>
  <CharactersWithSpaces>38132</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NTKO</cp:lastModifiedBy>
  <cp:lastPrinted>2022-08-01T00:32:00Z</cp:lastPrinted>
  <dcterms:modified xsi:type="dcterms:W3CDTF">2022-08-13T02:24:47Z</dcterms:modified>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8AA85EE772BA4B7BBF89E62B3677D808</vt:lpwstr>
  </property>
</Properties>
</file>