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00" w:lineRule="exact"/>
        <w:ind w:left="539" w:hanging="539"/>
        <w:jc w:val="center"/>
        <w:outlineLvl w:val="0"/>
        <w:rPr>
          <w:rFonts w:ascii="宋体" w:hAnsi="宋体" w:cs="华文中宋"/>
          <w:b/>
          <w:sz w:val="84"/>
          <w:szCs w:val="84"/>
        </w:rPr>
      </w:pPr>
    </w:p>
    <w:p/>
    <w:p>
      <w:pPr>
        <w:ind w:left="1080" w:hanging="540"/>
        <w:jc w:val="center"/>
        <w:rPr>
          <w:rFonts w:ascii="宋体" w:hAnsi="宋体" w:cs="华文中宋"/>
          <w:b/>
          <w:sz w:val="84"/>
          <w:szCs w:val="84"/>
        </w:rPr>
      </w:pPr>
      <w:r>
        <w:rPr>
          <w:rFonts w:hint="eastAsia" w:ascii="宋体" w:hAnsi="宋体" w:cs="华文中宋"/>
          <w:b/>
          <w:sz w:val="84"/>
          <w:szCs w:val="84"/>
        </w:rPr>
        <w:t>单一来源采购文件</w:t>
      </w:r>
    </w:p>
    <w:p>
      <w:pPr>
        <w:pStyle w:val="46"/>
        <w:ind w:firstLine="1687"/>
        <w:rPr>
          <w:rFonts w:ascii="宋体" w:hAnsi="宋体" w:cs="华文中宋"/>
          <w:b/>
          <w:sz w:val="84"/>
          <w:szCs w:val="84"/>
        </w:rPr>
      </w:pPr>
    </w:p>
    <w:p>
      <w:pPr>
        <w:ind w:left="1080" w:hanging="540"/>
        <w:jc w:val="center"/>
        <w:rPr>
          <w:rFonts w:ascii="宋体" w:hAnsi="宋体" w:cs="华文中宋"/>
          <w:b/>
          <w:sz w:val="44"/>
          <w:szCs w:val="44"/>
        </w:rPr>
      </w:pPr>
      <w:r>
        <w:rPr>
          <w:rFonts w:hint="eastAsia" w:ascii="宋体" w:hAnsi="宋体" w:cs="华文中宋"/>
          <w:b/>
          <w:sz w:val="44"/>
          <w:szCs w:val="44"/>
        </w:rPr>
        <w:t>（货物类）</w:t>
      </w:r>
    </w:p>
    <w:p>
      <w:pPr>
        <w:pStyle w:val="13"/>
      </w:pPr>
    </w:p>
    <w:p>
      <w:pPr>
        <w:spacing w:line="600" w:lineRule="exact"/>
        <w:ind w:firstLine="964" w:firstLineChars="300"/>
        <w:jc w:val="left"/>
        <w:rPr>
          <w:rFonts w:hint="eastAsia" w:ascii="宋体" w:hAnsi="宋体"/>
          <w:b/>
          <w:sz w:val="32"/>
          <w:szCs w:val="32"/>
        </w:rPr>
      </w:pPr>
      <w:r>
        <w:rPr>
          <w:rFonts w:hint="eastAsia" w:ascii="宋体" w:hAnsi="宋体"/>
          <w:b/>
          <w:sz w:val="32"/>
          <w:szCs w:val="32"/>
        </w:rPr>
        <w:t>项目编号：SDGP370300000202202000379</w:t>
      </w:r>
    </w:p>
    <w:p>
      <w:pPr>
        <w:spacing w:line="600" w:lineRule="exact"/>
        <w:ind w:firstLine="964" w:firstLineChars="300"/>
        <w:jc w:val="left"/>
        <w:rPr>
          <w:rFonts w:ascii="宋体" w:hAnsi="宋体"/>
          <w:b/>
          <w:sz w:val="32"/>
          <w:szCs w:val="32"/>
        </w:rPr>
      </w:pPr>
      <w:r>
        <w:rPr>
          <w:rFonts w:hint="eastAsia" w:ascii="宋体" w:hAnsi="宋体"/>
          <w:b/>
          <w:sz w:val="32"/>
          <w:szCs w:val="32"/>
        </w:rPr>
        <w:t>项目名称:淄博市传染病医院电子肠镜和气泵采购项目</w:t>
      </w:r>
    </w:p>
    <w:p/>
    <w:p>
      <w:pPr>
        <w:pStyle w:val="13"/>
      </w:pPr>
    </w:p>
    <w:p/>
    <w:p>
      <w:pPr>
        <w:pStyle w:val="5"/>
      </w:pPr>
    </w:p>
    <w:p/>
    <w:p>
      <w:pPr>
        <w:jc w:val="center"/>
      </w:pPr>
      <w:r>
        <w:rPr>
          <w:rFonts w:hint="eastAsia" w:ascii="仿宋" w:hAnsi="仿宋" w:eastAsia="仿宋" w:cs="仿宋"/>
        </w:rPr>
        <w:drawing>
          <wp:inline distT="0" distB="0" distL="114300" distR="114300">
            <wp:extent cx="2660015" cy="1984375"/>
            <wp:effectExtent l="0" t="0" r="6985" b="15875"/>
            <wp:docPr id="7" name="图片 1" descr="微信图片_20200309170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descr="微信图片_20200309170038"/>
                    <pic:cNvPicPr>
                      <a:picLocks noChangeAspect="1"/>
                    </pic:cNvPicPr>
                  </pic:nvPicPr>
                  <pic:blipFill>
                    <a:blip r:embed="rId9"/>
                    <a:stretch>
                      <a:fillRect/>
                    </a:stretch>
                  </pic:blipFill>
                  <pic:spPr>
                    <a:xfrm>
                      <a:off x="0" y="0"/>
                      <a:ext cx="2660015" cy="1984375"/>
                    </a:xfrm>
                    <a:prstGeom prst="rect">
                      <a:avLst/>
                    </a:prstGeom>
                    <a:noFill/>
                    <a:ln>
                      <a:noFill/>
                    </a:ln>
                  </pic:spPr>
                </pic:pic>
              </a:graphicData>
            </a:graphic>
          </wp:inline>
        </w:drawing>
      </w:r>
    </w:p>
    <w:p>
      <w:pPr>
        <w:pStyle w:val="46"/>
        <w:ind w:firstLine="0" w:firstLineChars="0"/>
      </w:pPr>
    </w:p>
    <w:p>
      <w:pPr>
        <w:pStyle w:val="13"/>
      </w:pPr>
    </w:p>
    <w:p/>
    <w:p>
      <w:pPr>
        <w:pStyle w:val="46"/>
      </w:pPr>
    </w:p>
    <w:p/>
    <w:p>
      <w:pPr>
        <w:spacing w:line="600" w:lineRule="exact"/>
        <w:ind w:firstLine="1285" w:firstLineChars="400"/>
        <w:jc w:val="left"/>
        <w:rPr>
          <w:rFonts w:ascii="宋体" w:hAnsi="宋体" w:cs="宋体"/>
          <w:b/>
          <w:bCs/>
          <w:sz w:val="32"/>
          <w:szCs w:val="32"/>
        </w:rPr>
      </w:pPr>
      <w:r>
        <w:rPr>
          <w:rFonts w:hint="eastAsia" w:ascii="宋体" w:hAnsi="宋体" w:cs="宋体"/>
          <w:b/>
          <w:bCs/>
          <w:sz w:val="32"/>
          <w:szCs w:val="32"/>
        </w:rPr>
        <w:t>采 购 人:淄博市传染病医院</w:t>
      </w:r>
    </w:p>
    <w:p>
      <w:pPr>
        <w:spacing w:line="600" w:lineRule="exact"/>
        <w:ind w:firstLine="1285" w:firstLineChars="400"/>
        <w:jc w:val="left"/>
        <w:rPr>
          <w:rFonts w:hint="eastAsia" w:ascii="宋体" w:hAnsi="宋体" w:eastAsia="宋体" w:cs="宋体"/>
          <w:b/>
          <w:bCs/>
          <w:sz w:val="32"/>
          <w:szCs w:val="32"/>
          <w:lang w:eastAsia="zh-CN"/>
        </w:rPr>
      </w:pPr>
      <w:r>
        <w:rPr>
          <w:rFonts w:hint="eastAsia" w:ascii="宋体" w:hAnsi="宋体" w:cs="宋体"/>
          <w:b/>
          <w:bCs/>
          <w:sz w:val="32"/>
          <w:szCs w:val="32"/>
        </w:rPr>
        <w:t>采购代理机构</w:t>
      </w:r>
      <w:r>
        <w:rPr>
          <w:rFonts w:hint="eastAsia" w:ascii="宋体" w:hAnsi="宋体" w:cs="宋体"/>
          <w:b/>
          <w:bCs/>
          <w:sz w:val="32"/>
          <w:szCs w:val="32"/>
          <w:lang w:eastAsia="zh-CN"/>
        </w:rPr>
        <w:t>：山东东成建设咨询有限公司</w:t>
      </w:r>
    </w:p>
    <w:p>
      <w:pPr>
        <w:spacing w:line="600" w:lineRule="exact"/>
        <w:ind w:firstLine="1285" w:firstLineChars="400"/>
        <w:jc w:val="left"/>
        <w:rPr>
          <w:rFonts w:ascii="宋体" w:hAnsi="宋体"/>
          <w:b/>
          <w:sz w:val="32"/>
        </w:rPr>
      </w:pPr>
      <w:r>
        <w:rPr>
          <w:rFonts w:hint="eastAsia" w:ascii="宋体" w:hAnsi="宋体" w:cs="宋体"/>
          <w:b/>
          <w:bCs/>
          <w:sz w:val="32"/>
          <w:szCs w:val="32"/>
        </w:rPr>
        <w:t>发 出 日 期：2022年</w:t>
      </w:r>
      <w:r>
        <w:rPr>
          <w:rFonts w:hint="eastAsia" w:ascii="宋体" w:hAnsi="宋体" w:cs="宋体"/>
          <w:b/>
          <w:bCs/>
          <w:sz w:val="32"/>
          <w:szCs w:val="32"/>
          <w:lang w:val="en-US" w:eastAsia="zh-CN"/>
        </w:rPr>
        <w:t xml:space="preserve"> 7</w:t>
      </w:r>
      <w:r>
        <w:rPr>
          <w:rFonts w:hint="eastAsia" w:ascii="宋体" w:hAnsi="宋体" w:cs="宋体"/>
          <w:b/>
          <w:bCs/>
          <w:sz w:val="32"/>
          <w:szCs w:val="32"/>
        </w:rPr>
        <w:t xml:space="preserve">月 </w:t>
      </w:r>
      <w:r>
        <w:rPr>
          <w:rFonts w:hint="eastAsia" w:ascii="宋体" w:hAnsi="宋体"/>
          <w:b/>
          <w:sz w:val="52"/>
        </w:rPr>
        <w:t xml:space="preserve">           </w:t>
      </w:r>
      <w:bookmarkStart w:id="0" w:name="_Toc216582804"/>
      <w:bookmarkStart w:id="1" w:name="_Toc22782"/>
      <w:bookmarkStart w:id="2" w:name="_Toc17230"/>
    </w:p>
    <w:p>
      <w:pPr>
        <w:pStyle w:val="29"/>
        <w:tabs>
          <w:tab w:val="right" w:leader="dot" w:pos="8950"/>
        </w:tabs>
        <w:spacing w:line="560" w:lineRule="exact"/>
        <w:jc w:val="both"/>
        <w:rPr>
          <w:rFonts w:ascii="宋体" w:hAnsi="宋体"/>
          <w:b/>
          <w:sz w:val="32"/>
        </w:rPr>
      </w:pPr>
    </w:p>
    <w:p>
      <w:pPr>
        <w:pStyle w:val="29"/>
        <w:tabs>
          <w:tab w:val="right" w:leader="dot" w:pos="8950"/>
        </w:tabs>
        <w:spacing w:line="560" w:lineRule="exact"/>
        <w:jc w:val="center"/>
        <w:rPr>
          <w:rFonts w:ascii="宋体" w:hAnsi="宋体" w:cs="宋体"/>
          <w:kern w:val="0"/>
          <w:szCs w:val="21"/>
        </w:rPr>
      </w:pPr>
      <w:r>
        <w:rPr>
          <w:rFonts w:hint="eastAsia" w:ascii="宋体" w:hAnsi="宋体"/>
          <w:b/>
          <w:sz w:val="32"/>
        </w:rPr>
        <w:t>目    录</w:t>
      </w:r>
    </w:p>
    <w:p>
      <w:pPr>
        <w:pStyle w:val="29"/>
        <w:pageBreakBefore w:val="0"/>
        <w:widowControl w:val="0"/>
        <w:tabs>
          <w:tab w:val="right" w:leader="dot" w:pos="9416"/>
        </w:tabs>
        <w:kinsoku/>
        <w:wordWrap/>
        <w:overflowPunct/>
        <w:topLinePunct w:val="0"/>
        <w:bidi w:val="0"/>
        <w:snapToGrid/>
        <w:spacing w:line="500" w:lineRule="exact"/>
        <w:textAlignment w:val="auto"/>
      </w:pPr>
      <w:r>
        <w:rPr>
          <w:rFonts w:hint="eastAsia" w:ascii="宋体" w:hAnsi="宋体" w:cs="宋体"/>
          <w:kern w:val="0"/>
          <w:sz w:val="24"/>
        </w:rPr>
        <w:fldChar w:fldCharType="begin"/>
      </w:r>
      <w:r>
        <w:rPr>
          <w:rFonts w:hint="eastAsia" w:ascii="宋体" w:hAnsi="宋体" w:cs="宋体"/>
          <w:kern w:val="0"/>
          <w:sz w:val="24"/>
        </w:rPr>
        <w:instrText xml:space="preserve"> TOC \o "1-3" \h \z \u </w:instrText>
      </w:r>
      <w:r>
        <w:rPr>
          <w:rFonts w:hint="eastAsia" w:ascii="宋体" w:hAnsi="宋体" w:cs="宋体"/>
          <w:kern w:val="0"/>
          <w:sz w:val="24"/>
        </w:rPr>
        <w:fldChar w:fldCharType="separate"/>
      </w:r>
      <w:r>
        <w:rPr>
          <w:rFonts w:hint="eastAsia" w:ascii="宋体" w:hAnsi="宋体" w:cs="宋体"/>
          <w:kern w:val="0"/>
        </w:rPr>
        <w:fldChar w:fldCharType="begin"/>
      </w:r>
      <w:r>
        <w:rPr>
          <w:rFonts w:hint="eastAsia" w:ascii="宋体" w:hAnsi="宋体" w:cs="宋体"/>
          <w:kern w:val="0"/>
        </w:rPr>
        <w:instrText xml:space="preserve"> HYPERLINK \l _Toc28536 </w:instrText>
      </w:r>
      <w:r>
        <w:rPr>
          <w:rFonts w:hint="eastAsia" w:ascii="宋体" w:hAnsi="宋体" w:cs="宋体"/>
          <w:kern w:val="0"/>
        </w:rPr>
        <w:fldChar w:fldCharType="separate"/>
      </w:r>
      <w:r>
        <w:rPr>
          <w:rFonts w:hint="eastAsia" w:hAnsi="宋体"/>
        </w:rPr>
        <w:t>第一章  采购邀请</w:t>
      </w:r>
      <w:r>
        <w:tab/>
      </w:r>
      <w:r>
        <w:fldChar w:fldCharType="begin"/>
      </w:r>
      <w:r>
        <w:instrText xml:space="preserve"> PAGEREF _Toc28536 \h </w:instrText>
      </w:r>
      <w:r>
        <w:fldChar w:fldCharType="separate"/>
      </w:r>
      <w:r>
        <w:t>1</w:t>
      </w:r>
      <w:r>
        <w:fldChar w:fldCharType="end"/>
      </w:r>
      <w:r>
        <w:rPr>
          <w:rFonts w:hint="eastAsia" w:ascii="宋体" w:hAnsi="宋体" w:cs="宋体"/>
          <w:kern w:val="0"/>
        </w:rPr>
        <w:fldChar w:fldCharType="end"/>
      </w:r>
    </w:p>
    <w:p>
      <w:pPr>
        <w:pStyle w:val="33"/>
        <w:pageBreakBefore w:val="0"/>
        <w:widowControl w:val="0"/>
        <w:tabs>
          <w:tab w:val="right" w:leader="dot" w:pos="9416"/>
        </w:tabs>
        <w:kinsoku/>
        <w:wordWrap/>
        <w:overflowPunct/>
        <w:topLinePunct w:val="0"/>
        <w:bidi w:val="0"/>
        <w:snapToGrid/>
        <w:spacing w:line="500" w:lineRule="exact"/>
        <w:textAlignment w:val="auto"/>
      </w:pPr>
      <w:r>
        <w:rPr>
          <w:rFonts w:hint="eastAsia" w:hAnsi="宋体" w:cs="宋体"/>
          <w:kern w:val="0"/>
          <w:szCs w:val="24"/>
        </w:rPr>
        <w:fldChar w:fldCharType="begin"/>
      </w:r>
      <w:r>
        <w:rPr>
          <w:rFonts w:hint="eastAsia" w:hAnsi="宋体" w:cs="宋体"/>
          <w:kern w:val="0"/>
          <w:szCs w:val="24"/>
        </w:rPr>
        <w:instrText xml:space="preserve"> HYPERLINK \l _Toc21716 </w:instrText>
      </w:r>
      <w:r>
        <w:rPr>
          <w:rFonts w:hint="eastAsia" w:hAnsi="宋体" w:cs="宋体"/>
          <w:kern w:val="0"/>
          <w:szCs w:val="24"/>
        </w:rPr>
        <w:fldChar w:fldCharType="separate"/>
      </w:r>
      <w:r>
        <w:rPr>
          <w:rFonts w:hint="eastAsia" w:asciiTheme="minorEastAsia" w:hAnsiTheme="minorEastAsia" w:eastAsiaTheme="minorEastAsia" w:cstheme="minorEastAsia"/>
          <w:bCs/>
        </w:rPr>
        <w:t>一、项目信息</w:t>
      </w:r>
      <w:r>
        <w:tab/>
      </w:r>
      <w:r>
        <w:fldChar w:fldCharType="begin"/>
      </w:r>
      <w:r>
        <w:instrText xml:space="preserve"> PAGEREF _Toc21716 \h </w:instrText>
      </w:r>
      <w:r>
        <w:fldChar w:fldCharType="separate"/>
      </w:r>
      <w:r>
        <w:t>1</w:t>
      </w:r>
      <w:r>
        <w:fldChar w:fldCharType="end"/>
      </w:r>
      <w:r>
        <w:rPr>
          <w:rFonts w:hint="eastAsia" w:hAnsi="宋体" w:cs="宋体"/>
          <w:kern w:val="0"/>
          <w:szCs w:val="24"/>
        </w:rPr>
        <w:fldChar w:fldCharType="end"/>
      </w:r>
    </w:p>
    <w:p>
      <w:pPr>
        <w:pStyle w:val="33"/>
        <w:pageBreakBefore w:val="0"/>
        <w:widowControl w:val="0"/>
        <w:tabs>
          <w:tab w:val="right" w:leader="dot" w:pos="9416"/>
        </w:tabs>
        <w:kinsoku/>
        <w:wordWrap/>
        <w:overflowPunct/>
        <w:topLinePunct w:val="0"/>
        <w:bidi w:val="0"/>
        <w:snapToGrid/>
        <w:spacing w:line="500" w:lineRule="exact"/>
        <w:textAlignment w:val="auto"/>
      </w:pPr>
      <w:r>
        <w:rPr>
          <w:rFonts w:hint="eastAsia" w:hAnsi="宋体" w:cs="宋体"/>
          <w:kern w:val="0"/>
          <w:szCs w:val="24"/>
        </w:rPr>
        <w:fldChar w:fldCharType="begin"/>
      </w:r>
      <w:r>
        <w:rPr>
          <w:rFonts w:hint="eastAsia" w:hAnsi="宋体" w:cs="宋体"/>
          <w:kern w:val="0"/>
          <w:szCs w:val="24"/>
        </w:rPr>
        <w:instrText xml:space="preserve"> HYPERLINK \l _Toc27898 </w:instrText>
      </w:r>
      <w:r>
        <w:rPr>
          <w:rFonts w:hint="eastAsia" w:hAnsi="宋体" w:cs="宋体"/>
          <w:kern w:val="0"/>
          <w:szCs w:val="24"/>
        </w:rPr>
        <w:fldChar w:fldCharType="separate"/>
      </w:r>
      <w:r>
        <w:rPr>
          <w:rFonts w:hint="eastAsia" w:asciiTheme="minorEastAsia" w:hAnsiTheme="minorEastAsia" w:eastAsiaTheme="minorEastAsia" w:cstheme="minorEastAsia"/>
          <w:bCs/>
        </w:rPr>
        <w:t>二、拟定供应商信息</w:t>
      </w:r>
      <w:r>
        <w:tab/>
      </w:r>
      <w:r>
        <w:fldChar w:fldCharType="begin"/>
      </w:r>
      <w:r>
        <w:instrText xml:space="preserve"> PAGEREF _Toc27898 \h </w:instrText>
      </w:r>
      <w:r>
        <w:fldChar w:fldCharType="separate"/>
      </w:r>
      <w:r>
        <w:t>1</w:t>
      </w:r>
      <w:r>
        <w:fldChar w:fldCharType="end"/>
      </w:r>
      <w:r>
        <w:rPr>
          <w:rFonts w:hint="eastAsia" w:hAnsi="宋体" w:cs="宋体"/>
          <w:kern w:val="0"/>
          <w:szCs w:val="24"/>
        </w:rPr>
        <w:fldChar w:fldCharType="end"/>
      </w:r>
    </w:p>
    <w:p>
      <w:pPr>
        <w:pStyle w:val="33"/>
        <w:pageBreakBefore w:val="0"/>
        <w:widowControl w:val="0"/>
        <w:tabs>
          <w:tab w:val="right" w:leader="dot" w:pos="9416"/>
        </w:tabs>
        <w:kinsoku/>
        <w:wordWrap/>
        <w:overflowPunct/>
        <w:topLinePunct w:val="0"/>
        <w:bidi w:val="0"/>
        <w:snapToGrid/>
        <w:spacing w:line="500" w:lineRule="exact"/>
        <w:textAlignment w:val="auto"/>
      </w:pPr>
      <w:r>
        <w:rPr>
          <w:rFonts w:hint="eastAsia" w:hAnsi="宋体" w:cs="宋体"/>
          <w:kern w:val="0"/>
          <w:szCs w:val="24"/>
        </w:rPr>
        <w:fldChar w:fldCharType="begin"/>
      </w:r>
      <w:r>
        <w:rPr>
          <w:rFonts w:hint="eastAsia" w:hAnsi="宋体" w:cs="宋体"/>
          <w:kern w:val="0"/>
          <w:szCs w:val="24"/>
        </w:rPr>
        <w:instrText xml:space="preserve"> HYPERLINK \l _Toc23949 </w:instrText>
      </w:r>
      <w:r>
        <w:rPr>
          <w:rFonts w:hint="eastAsia" w:hAnsi="宋体" w:cs="宋体"/>
          <w:kern w:val="0"/>
          <w:szCs w:val="24"/>
        </w:rPr>
        <w:fldChar w:fldCharType="separate"/>
      </w:r>
      <w:r>
        <w:rPr>
          <w:rFonts w:hint="eastAsia" w:asciiTheme="minorEastAsia" w:hAnsiTheme="minorEastAsia" w:eastAsiaTheme="minorEastAsia" w:cstheme="minorEastAsia"/>
          <w:bCs/>
        </w:rPr>
        <w:t>三、公示期限</w:t>
      </w:r>
      <w:r>
        <w:tab/>
      </w:r>
      <w:r>
        <w:fldChar w:fldCharType="begin"/>
      </w:r>
      <w:r>
        <w:instrText xml:space="preserve"> PAGEREF _Toc23949 \h </w:instrText>
      </w:r>
      <w:r>
        <w:fldChar w:fldCharType="separate"/>
      </w:r>
      <w:r>
        <w:t>1</w:t>
      </w:r>
      <w:r>
        <w:fldChar w:fldCharType="end"/>
      </w:r>
      <w:r>
        <w:rPr>
          <w:rFonts w:hint="eastAsia" w:hAnsi="宋体" w:cs="宋体"/>
          <w:kern w:val="0"/>
          <w:szCs w:val="24"/>
        </w:rPr>
        <w:fldChar w:fldCharType="end"/>
      </w:r>
    </w:p>
    <w:p>
      <w:pPr>
        <w:pStyle w:val="33"/>
        <w:pageBreakBefore w:val="0"/>
        <w:widowControl w:val="0"/>
        <w:tabs>
          <w:tab w:val="right" w:leader="dot" w:pos="9416"/>
        </w:tabs>
        <w:kinsoku/>
        <w:wordWrap/>
        <w:overflowPunct/>
        <w:topLinePunct w:val="0"/>
        <w:bidi w:val="0"/>
        <w:snapToGrid/>
        <w:spacing w:line="500" w:lineRule="exact"/>
        <w:textAlignment w:val="auto"/>
      </w:pPr>
      <w:r>
        <w:rPr>
          <w:rFonts w:hint="eastAsia" w:hAnsi="宋体" w:cs="宋体"/>
          <w:kern w:val="0"/>
          <w:szCs w:val="24"/>
        </w:rPr>
        <w:fldChar w:fldCharType="begin"/>
      </w:r>
      <w:r>
        <w:rPr>
          <w:rFonts w:hint="eastAsia" w:hAnsi="宋体" w:cs="宋体"/>
          <w:kern w:val="0"/>
          <w:szCs w:val="24"/>
        </w:rPr>
        <w:instrText xml:space="preserve"> HYPERLINK \l _Toc27569 </w:instrText>
      </w:r>
      <w:r>
        <w:rPr>
          <w:rFonts w:hint="eastAsia" w:hAnsi="宋体" w:cs="宋体"/>
          <w:kern w:val="0"/>
          <w:szCs w:val="24"/>
        </w:rPr>
        <w:fldChar w:fldCharType="separate"/>
      </w:r>
      <w:r>
        <w:rPr>
          <w:rFonts w:hint="eastAsia" w:asciiTheme="minorEastAsia" w:hAnsiTheme="minorEastAsia" w:eastAsiaTheme="minorEastAsia" w:cstheme="minorEastAsia"/>
          <w:bCs/>
        </w:rPr>
        <w:t>四、其他补充事宜</w:t>
      </w:r>
      <w:r>
        <w:tab/>
      </w:r>
      <w:r>
        <w:fldChar w:fldCharType="begin"/>
      </w:r>
      <w:r>
        <w:instrText xml:space="preserve"> PAGEREF _Toc27569 \h </w:instrText>
      </w:r>
      <w:r>
        <w:fldChar w:fldCharType="separate"/>
      </w:r>
      <w:r>
        <w:t>1</w:t>
      </w:r>
      <w:r>
        <w:fldChar w:fldCharType="end"/>
      </w:r>
      <w:r>
        <w:rPr>
          <w:rFonts w:hint="eastAsia" w:hAnsi="宋体" w:cs="宋体"/>
          <w:kern w:val="0"/>
          <w:szCs w:val="24"/>
        </w:rPr>
        <w:fldChar w:fldCharType="end"/>
      </w:r>
    </w:p>
    <w:p>
      <w:pPr>
        <w:pStyle w:val="33"/>
        <w:pageBreakBefore w:val="0"/>
        <w:widowControl w:val="0"/>
        <w:tabs>
          <w:tab w:val="right" w:leader="dot" w:pos="9416"/>
        </w:tabs>
        <w:kinsoku/>
        <w:wordWrap/>
        <w:overflowPunct/>
        <w:topLinePunct w:val="0"/>
        <w:bidi w:val="0"/>
        <w:snapToGrid/>
        <w:spacing w:line="500" w:lineRule="exact"/>
        <w:textAlignment w:val="auto"/>
      </w:pPr>
      <w:r>
        <w:rPr>
          <w:rFonts w:hint="eastAsia" w:hAnsi="宋体" w:cs="宋体"/>
          <w:kern w:val="0"/>
          <w:szCs w:val="24"/>
        </w:rPr>
        <w:fldChar w:fldCharType="begin"/>
      </w:r>
      <w:r>
        <w:rPr>
          <w:rFonts w:hint="eastAsia" w:hAnsi="宋体" w:cs="宋体"/>
          <w:kern w:val="0"/>
          <w:szCs w:val="24"/>
        </w:rPr>
        <w:instrText xml:space="preserve"> HYPERLINK \l _Toc16603 </w:instrText>
      </w:r>
      <w:r>
        <w:rPr>
          <w:rFonts w:hint="eastAsia" w:hAnsi="宋体" w:cs="宋体"/>
          <w:kern w:val="0"/>
          <w:szCs w:val="24"/>
        </w:rPr>
        <w:fldChar w:fldCharType="separate"/>
      </w:r>
      <w:r>
        <w:rPr>
          <w:rFonts w:hint="eastAsia" w:asciiTheme="minorEastAsia" w:hAnsiTheme="minorEastAsia" w:eastAsiaTheme="minorEastAsia" w:cstheme="minorEastAsia"/>
          <w:bCs/>
        </w:rPr>
        <w:t>五、联系方式</w:t>
      </w:r>
      <w:r>
        <w:tab/>
      </w:r>
      <w:r>
        <w:fldChar w:fldCharType="begin"/>
      </w:r>
      <w:r>
        <w:instrText xml:space="preserve"> PAGEREF _Toc16603 \h </w:instrText>
      </w:r>
      <w:r>
        <w:fldChar w:fldCharType="separate"/>
      </w:r>
      <w:r>
        <w:t>2</w:t>
      </w:r>
      <w:r>
        <w:fldChar w:fldCharType="end"/>
      </w:r>
      <w:r>
        <w:rPr>
          <w:rFonts w:hint="eastAsia" w:hAnsi="宋体" w:cs="宋体"/>
          <w:kern w:val="0"/>
          <w:szCs w:val="24"/>
        </w:rPr>
        <w:fldChar w:fldCharType="end"/>
      </w:r>
    </w:p>
    <w:p>
      <w:pPr>
        <w:pStyle w:val="33"/>
        <w:pageBreakBefore w:val="0"/>
        <w:widowControl w:val="0"/>
        <w:tabs>
          <w:tab w:val="right" w:leader="dot" w:pos="9416"/>
        </w:tabs>
        <w:kinsoku/>
        <w:wordWrap/>
        <w:overflowPunct/>
        <w:topLinePunct w:val="0"/>
        <w:bidi w:val="0"/>
        <w:snapToGrid/>
        <w:spacing w:line="500" w:lineRule="exact"/>
        <w:textAlignment w:val="auto"/>
      </w:pPr>
      <w:r>
        <w:rPr>
          <w:rFonts w:hint="eastAsia" w:hAnsi="宋体" w:cs="宋体"/>
          <w:kern w:val="0"/>
          <w:szCs w:val="24"/>
        </w:rPr>
        <w:fldChar w:fldCharType="begin"/>
      </w:r>
      <w:r>
        <w:rPr>
          <w:rFonts w:hint="eastAsia" w:hAnsi="宋体" w:cs="宋体"/>
          <w:kern w:val="0"/>
          <w:szCs w:val="24"/>
        </w:rPr>
        <w:instrText xml:space="preserve"> HYPERLINK \l _Toc9483 </w:instrText>
      </w:r>
      <w:r>
        <w:rPr>
          <w:rFonts w:hint="eastAsia" w:hAnsi="宋体" w:cs="宋体"/>
          <w:kern w:val="0"/>
          <w:szCs w:val="24"/>
        </w:rPr>
        <w:fldChar w:fldCharType="separate"/>
      </w:r>
      <w:r>
        <w:rPr>
          <w:rFonts w:hint="eastAsia" w:asciiTheme="minorEastAsia" w:hAnsiTheme="minorEastAsia" w:eastAsiaTheme="minorEastAsia" w:cstheme="minorEastAsia"/>
          <w:bCs/>
        </w:rPr>
        <w:t>六、附件</w:t>
      </w:r>
      <w:r>
        <w:tab/>
      </w:r>
      <w:r>
        <w:fldChar w:fldCharType="begin"/>
      </w:r>
      <w:r>
        <w:instrText xml:space="preserve"> PAGEREF _Toc9483 \h </w:instrText>
      </w:r>
      <w:r>
        <w:fldChar w:fldCharType="separate"/>
      </w:r>
      <w:r>
        <w:t>3</w:t>
      </w:r>
      <w:r>
        <w:fldChar w:fldCharType="end"/>
      </w:r>
      <w:r>
        <w:rPr>
          <w:rFonts w:hint="eastAsia" w:hAnsi="宋体" w:cs="宋体"/>
          <w:kern w:val="0"/>
          <w:szCs w:val="24"/>
        </w:rPr>
        <w:fldChar w:fldCharType="end"/>
      </w:r>
    </w:p>
    <w:p>
      <w:pPr>
        <w:pStyle w:val="29"/>
        <w:pageBreakBefore w:val="0"/>
        <w:widowControl w:val="0"/>
        <w:tabs>
          <w:tab w:val="right" w:leader="dot" w:pos="9416"/>
        </w:tabs>
        <w:kinsoku/>
        <w:wordWrap/>
        <w:overflowPunct/>
        <w:topLinePunct w:val="0"/>
        <w:bidi w:val="0"/>
        <w:snapToGrid/>
        <w:spacing w:line="500" w:lineRule="exact"/>
        <w:textAlignment w:val="auto"/>
      </w:pPr>
      <w:r>
        <w:rPr>
          <w:rFonts w:hint="eastAsia" w:hAnsi="宋体" w:cs="宋体"/>
          <w:kern w:val="0"/>
          <w:szCs w:val="24"/>
        </w:rPr>
        <w:fldChar w:fldCharType="begin"/>
      </w:r>
      <w:r>
        <w:rPr>
          <w:rFonts w:hint="eastAsia" w:hAnsi="宋体" w:cs="宋体"/>
          <w:kern w:val="0"/>
          <w:szCs w:val="24"/>
        </w:rPr>
        <w:instrText xml:space="preserve"> HYPERLINK \l _Toc26145 </w:instrText>
      </w:r>
      <w:r>
        <w:rPr>
          <w:rFonts w:hint="eastAsia" w:hAnsi="宋体" w:cs="宋体"/>
          <w:kern w:val="0"/>
          <w:szCs w:val="24"/>
        </w:rPr>
        <w:fldChar w:fldCharType="separate"/>
      </w:r>
      <w:r>
        <w:rPr>
          <w:rFonts w:hint="eastAsia" w:hAnsi="宋体"/>
          <w:lang w:eastAsia="zh-CN"/>
        </w:rPr>
        <w:t>第二章</w:t>
      </w:r>
      <w:r>
        <w:rPr>
          <w:rFonts w:hint="eastAsia" w:hAnsi="宋体"/>
          <w:lang w:val="en-US" w:eastAsia="zh-CN"/>
        </w:rPr>
        <w:t xml:space="preserve"> </w:t>
      </w:r>
      <w:r>
        <w:rPr>
          <w:rFonts w:hint="eastAsia" w:hAnsi="宋体"/>
        </w:rPr>
        <w:t>供应商须知</w:t>
      </w:r>
      <w:r>
        <w:tab/>
      </w:r>
      <w:r>
        <w:fldChar w:fldCharType="begin"/>
      </w:r>
      <w:r>
        <w:instrText xml:space="preserve"> PAGEREF _Toc26145 \h </w:instrText>
      </w:r>
      <w:r>
        <w:fldChar w:fldCharType="separate"/>
      </w:r>
      <w:r>
        <w:t>4</w:t>
      </w:r>
      <w:r>
        <w:fldChar w:fldCharType="end"/>
      </w:r>
      <w:r>
        <w:rPr>
          <w:rFonts w:hint="eastAsia" w:hAnsi="宋体" w:cs="宋体"/>
          <w:kern w:val="0"/>
          <w:szCs w:val="24"/>
        </w:rPr>
        <w:fldChar w:fldCharType="end"/>
      </w:r>
    </w:p>
    <w:p>
      <w:pPr>
        <w:pStyle w:val="33"/>
        <w:pageBreakBefore w:val="0"/>
        <w:widowControl w:val="0"/>
        <w:tabs>
          <w:tab w:val="right" w:leader="dot" w:pos="9416"/>
        </w:tabs>
        <w:kinsoku/>
        <w:wordWrap/>
        <w:overflowPunct/>
        <w:topLinePunct w:val="0"/>
        <w:bidi w:val="0"/>
        <w:snapToGrid/>
        <w:spacing w:line="500" w:lineRule="exact"/>
        <w:textAlignment w:val="auto"/>
      </w:pPr>
      <w:r>
        <w:rPr>
          <w:rFonts w:hint="eastAsia" w:hAnsi="宋体" w:cs="宋体"/>
          <w:kern w:val="0"/>
          <w:szCs w:val="24"/>
        </w:rPr>
        <w:fldChar w:fldCharType="begin"/>
      </w:r>
      <w:r>
        <w:rPr>
          <w:rFonts w:hint="eastAsia" w:hAnsi="宋体" w:cs="宋体"/>
          <w:kern w:val="0"/>
          <w:szCs w:val="24"/>
        </w:rPr>
        <w:instrText xml:space="preserve"> HYPERLINK \l _Toc20447 </w:instrText>
      </w:r>
      <w:r>
        <w:rPr>
          <w:rFonts w:hint="eastAsia" w:hAnsi="宋体" w:cs="宋体"/>
          <w:kern w:val="0"/>
          <w:szCs w:val="24"/>
        </w:rPr>
        <w:fldChar w:fldCharType="separate"/>
      </w:r>
      <w:r>
        <w:rPr>
          <w:rFonts w:hint="eastAsia" w:ascii="宋体" w:hAnsi="宋体" w:eastAsia="宋体"/>
        </w:rPr>
        <w:t>一   总 则</w:t>
      </w:r>
      <w:r>
        <w:tab/>
      </w:r>
      <w:r>
        <w:fldChar w:fldCharType="begin"/>
      </w:r>
      <w:r>
        <w:instrText xml:space="preserve"> PAGEREF _Toc20447 \h </w:instrText>
      </w:r>
      <w:r>
        <w:fldChar w:fldCharType="separate"/>
      </w:r>
      <w:r>
        <w:t>9</w:t>
      </w:r>
      <w:r>
        <w:fldChar w:fldCharType="end"/>
      </w:r>
      <w:r>
        <w:rPr>
          <w:rFonts w:hint="eastAsia" w:hAnsi="宋体" w:cs="宋体"/>
          <w:kern w:val="0"/>
          <w:szCs w:val="24"/>
        </w:rPr>
        <w:fldChar w:fldCharType="end"/>
      </w:r>
    </w:p>
    <w:p>
      <w:pPr>
        <w:pStyle w:val="33"/>
        <w:pageBreakBefore w:val="0"/>
        <w:widowControl w:val="0"/>
        <w:tabs>
          <w:tab w:val="right" w:leader="dot" w:pos="9416"/>
        </w:tabs>
        <w:kinsoku/>
        <w:wordWrap/>
        <w:overflowPunct/>
        <w:topLinePunct w:val="0"/>
        <w:bidi w:val="0"/>
        <w:snapToGrid/>
        <w:spacing w:line="500" w:lineRule="exact"/>
        <w:textAlignment w:val="auto"/>
      </w:pPr>
      <w:r>
        <w:rPr>
          <w:rFonts w:hint="eastAsia" w:hAnsi="宋体" w:cs="宋体"/>
          <w:kern w:val="0"/>
          <w:szCs w:val="24"/>
        </w:rPr>
        <w:fldChar w:fldCharType="begin"/>
      </w:r>
      <w:r>
        <w:rPr>
          <w:rFonts w:hint="eastAsia" w:hAnsi="宋体" w:cs="宋体"/>
          <w:kern w:val="0"/>
          <w:szCs w:val="24"/>
        </w:rPr>
        <w:instrText xml:space="preserve"> HYPERLINK \l _Toc27090 </w:instrText>
      </w:r>
      <w:r>
        <w:rPr>
          <w:rFonts w:hint="eastAsia" w:hAnsi="宋体" w:cs="宋体"/>
          <w:kern w:val="0"/>
          <w:szCs w:val="24"/>
        </w:rPr>
        <w:fldChar w:fldCharType="separate"/>
      </w:r>
      <w:r>
        <w:rPr>
          <w:rFonts w:hint="eastAsia" w:ascii="宋体" w:hAnsi="宋体" w:eastAsia="宋体"/>
        </w:rPr>
        <w:t>二、单一来源采购文件</w:t>
      </w:r>
      <w:r>
        <w:tab/>
      </w:r>
      <w:bookmarkStart w:id="334" w:name="_GoBack"/>
      <w:bookmarkEnd w:id="334"/>
      <w:r>
        <w:fldChar w:fldCharType="begin"/>
      </w:r>
      <w:r>
        <w:instrText xml:space="preserve"> PAGEREF _Toc27090 \h </w:instrText>
      </w:r>
      <w:r>
        <w:fldChar w:fldCharType="separate"/>
      </w:r>
      <w:r>
        <w:t>10</w:t>
      </w:r>
      <w:r>
        <w:fldChar w:fldCharType="end"/>
      </w:r>
      <w:r>
        <w:rPr>
          <w:rFonts w:hint="eastAsia" w:hAnsi="宋体" w:cs="宋体"/>
          <w:kern w:val="0"/>
          <w:szCs w:val="24"/>
        </w:rPr>
        <w:fldChar w:fldCharType="end"/>
      </w:r>
    </w:p>
    <w:p>
      <w:pPr>
        <w:pStyle w:val="33"/>
        <w:pageBreakBefore w:val="0"/>
        <w:widowControl w:val="0"/>
        <w:tabs>
          <w:tab w:val="right" w:leader="dot" w:pos="9416"/>
        </w:tabs>
        <w:kinsoku/>
        <w:wordWrap/>
        <w:overflowPunct/>
        <w:topLinePunct w:val="0"/>
        <w:bidi w:val="0"/>
        <w:snapToGrid/>
        <w:spacing w:line="500" w:lineRule="exact"/>
        <w:textAlignment w:val="auto"/>
      </w:pPr>
      <w:r>
        <w:rPr>
          <w:rFonts w:hint="eastAsia" w:hAnsi="宋体" w:cs="宋体"/>
          <w:kern w:val="0"/>
          <w:szCs w:val="24"/>
        </w:rPr>
        <w:fldChar w:fldCharType="begin"/>
      </w:r>
      <w:r>
        <w:rPr>
          <w:rFonts w:hint="eastAsia" w:hAnsi="宋体" w:cs="宋体"/>
          <w:kern w:val="0"/>
          <w:szCs w:val="24"/>
        </w:rPr>
        <w:instrText xml:space="preserve"> HYPERLINK \l _Toc15337 </w:instrText>
      </w:r>
      <w:r>
        <w:rPr>
          <w:rFonts w:hint="eastAsia" w:hAnsi="宋体" w:cs="宋体"/>
          <w:kern w:val="0"/>
          <w:szCs w:val="24"/>
        </w:rPr>
        <w:fldChar w:fldCharType="separate"/>
      </w:r>
      <w:r>
        <w:rPr>
          <w:rFonts w:hint="eastAsia" w:ascii="宋体" w:hAnsi="宋体" w:eastAsia="宋体"/>
        </w:rPr>
        <w:t>三、响应文件的编制</w:t>
      </w:r>
      <w:r>
        <w:tab/>
      </w:r>
      <w:r>
        <w:fldChar w:fldCharType="begin"/>
      </w:r>
      <w:r>
        <w:instrText xml:space="preserve"> PAGEREF _Toc15337 \h </w:instrText>
      </w:r>
      <w:r>
        <w:fldChar w:fldCharType="separate"/>
      </w:r>
      <w:r>
        <w:t>12</w:t>
      </w:r>
      <w:r>
        <w:fldChar w:fldCharType="end"/>
      </w:r>
      <w:r>
        <w:rPr>
          <w:rFonts w:hint="eastAsia" w:hAnsi="宋体" w:cs="宋体"/>
          <w:kern w:val="0"/>
          <w:szCs w:val="24"/>
        </w:rPr>
        <w:fldChar w:fldCharType="end"/>
      </w:r>
    </w:p>
    <w:p>
      <w:pPr>
        <w:pStyle w:val="33"/>
        <w:pageBreakBefore w:val="0"/>
        <w:widowControl w:val="0"/>
        <w:tabs>
          <w:tab w:val="right" w:leader="dot" w:pos="9416"/>
        </w:tabs>
        <w:kinsoku/>
        <w:wordWrap/>
        <w:overflowPunct/>
        <w:topLinePunct w:val="0"/>
        <w:bidi w:val="0"/>
        <w:snapToGrid/>
        <w:spacing w:line="500" w:lineRule="exact"/>
        <w:textAlignment w:val="auto"/>
      </w:pPr>
      <w:r>
        <w:rPr>
          <w:rFonts w:hint="eastAsia" w:hAnsi="宋体" w:cs="宋体"/>
          <w:kern w:val="0"/>
          <w:szCs w:val="24"/>
        </w:rPr>
        <w:fldChar w:fldCharType="begin"/>
      </w:r>
      <w:r>
        <w:rPr>
          <w:rFonts w:hint="eastAsia" w:hAnsi="宋体" w:cs="宋体"/>
          <w:kern w:val="0"/>
          <w:szCs w:val="24"/>
        </w:rPr>
        <w:instrText xml:space="preserve"> HYPERLINK \l _Toc13699 </w:instrText>
      </w:r>
      <w:r>
        <w:rPr>
          <w:rFonts w:hint="eastAsia" w:hAnsi="宋体" w:cs="宋体"/>
          <w:kern w:val="0"/>
          <w:szCs w:val="24"/>
        </w:rPr>
        <w:fldChar w:fldCharType="separate"/>
      </w:r>
      <w:r>
        <w:rPr>
          <w:rFonts w:hint="eastAsia" w:ascii="宋体" w:hAnsi="宋体" w:eastAsia="宋体"/>
          <w:szCs w:val="28"/>
        </w:rPr>
        <w:t>四、响应文件的递交</w:t>
      </w:r>
      <w:r>
        <w:tab/>
      </w:r>
      <w:r>
        <w:fldChar w:fldCharType="begin"/>
      </w:r>
      <w:r>
        <w:instrText xml:space="preserve"> PAGEREF _Toc13699 \h </w:instrText>
      </w:r>
      <w:r>
        <w:fldChar w:fldCharType="separate"/>
      </w:r>
      <w:r>
        <w:t>16</w:t>
      </w:r>
      <w:r>
        <w:fldChar w:fldCharType="end"/>
      </w:r>
      <w:r>
        <w:rPr>
          <w:rFonts w:hint="eastAsia" w:hAnsi="宋体" w:cs="宋体"/>
          <w:kern w:val="0"/>
          <w:szCs w:val="24"/>
        </w:rPr>
        <w:fldChar w:fldCharType="end"/>
      </w:r>
    </w:p>
    <w:p>
      <w:pPr>
        <w:pStyle w:val="33"/>
        <w:pageBreakBefore w:val="0"/>
        <w:widowControl w:val="0"/>
        <w:tabs>
          <w:tab w:val="right" w:leader="dot" w:pos="9416"/>
        </w:tabs>
        <w:kinsoku/>
        <w:wordWrap/>
        <w:overflowPunct/>
        <w:topLinePunct w:val="0"/>
        <w:bidi w:val="0"/>
        <w:snapToGrid/>
        <w:spacing w:line="500" w:lineRule="exact"/>
        <w:textAlignment w:val="auto"/>
      </w:pPr>
      <w:r>
        <w:rPr>
          <w:rFonts w:hint="eastAsia" w:hAnsi="宋体" w:cs="宋体"/>
          <w:kern w:val="0"/>
          <w:szCs w:val="24"/>
        </w:rPr>
        <w:fldChar w:fldCharType="begin"/>
      </w:r>
      <w:r>
        <w:rPr>
          <w:rFonts w:hint="eastAsia" w:hAnsi="宋体" w:cs="宋体"/>
          <w:kern w:val="0"/>
          <w:szCs w:val="24"/>
        </w:rPr>
        <w:instrText xml:space="preserve"> HYPERLINK \l _Toc18950 </w:instrText>
      </w:r>
      <w:r>
        <w:rPr>
          <w:rFonts w:hint="eastAsia" w:hAnsi="宋体" w:cs="宋体"/>
          <w:kern w:val="0"/>
          <w:szCs w:val="24"/>
        </w:rPr>
        <w:fldChar w:fldCharType="separate"/>
      </w:r>
      <w:r>
        <w:rPr>
          <w:rFonts w:hint="eastAsia" w:ascii="宋体" w:hAnsi="宋体" w:eastAsia="宋体"/>
          <w:szCs w:val="28"/>
        </w:rPr>
        <w:t>五、开标及评标</w:t>
      </w:r>
      <w:r>
        <w:tab/>
      </w:r>
      <w:r>
        <w:fldChar w:fldCharType="begin"/>
      </w:r>
      <w:r>
        <w:instrText xml:space="preserve"> PAGEREF _Toc18950 \h </w:instrText>
      </w:r>
      <w:r>
        <w:fldChar w:fldCharType="separate"/>
      </w:r>
      <w:r>
        <w:t>17</w:t>
      </w:r>
      <w:r>
        <w:fldChar w:fldCharType="end"/>
      </w:r>
      <w:r>
        <w:rPr>
          <w:rFonts w:hint="eastAsia" w:hAnsi="宋体" w:cs="宋体"/>
          <w:kern w:val="0"/>
          <w:szCs w:val="24"/>
        </w:rPr>
        <w:fldChar w:fldCharType="end"/>
      </w:r>
    </w:p>
    <w:p>
      <w:pPr>
        <w:pStyle w:val="33"/>
        <w:pageBreakBefore w:val="0"/>
        <w:widowControl w:val="0"/>
        <w:tabs>
          <w:tab w:val="right" w:leader="dot" w:pos="9416"/>
        </w:tabs>
        <w:kinsoku/>
        <w:wordWrap/>
        <w:overflowPunct/>
        <w:topLinePunct w:val="0"/>
        <w:bidi w:val="0"/>
        <w:snapToGrid/>
        <w:spacing w:line="500" w:lineRule="exact"/>
        <w:textAlignment w:val="auto"/>
      </w:pPr>
      <w:r>
        <w:rPr>
          <w:rFonts w:hint="eastAsia" w:hAnsi="宋体" w:cs="宋体"/>
          <w:kern w:val="0"/>
          <w:szCs w:val="24"/>
        </w:rPr>
        <w:fldChar w:fldCharType="begin"/>
      </w:r>
      <w:r>
        <w:rPr>
          <w:rFonts w:hint="eastAsia" w:hAnsi="宋体" w:cs="宋体"/>
          <w:kern w:val="0"/>
          <w:szCs w:val="24"/>
        </w:rPr>
        <w:instrText xml:space="preserve"> HYPERLINK \l _Toc21944 </w:instrText>
      </w:r>
      <w:r>
        <w:rPr>
          <w:rFonts w:hint="eastAsia" w:hAnsi="宋体" w:cs="宋体"/>
          <w:kern w:val="0"/>
          <w:szCs w:val="24"/>
        </w:rPr>
        <w:fldChar w:fldCharType="separate"/>
      </w:r>
      <w:r>
        <w:rPr>
          <w:rFonts w:hint="eastAsia" w:ascii="宋体" w:hAnsi="宋体" w:eastAsia="宋体"/>
          <w:szCs w:val="28"/>
        </w:rPr>
        <w:t>六、确定成交</w:t>
      </w:r>
      <w:r>
        <w:tab/>
      </w:r>
      <w:r>
        <w:fldChar w:fldCharType="begin"/>
      </w:r>
      <w:r>
        <w:instrText xml:space="preserve"> PAGEREF _Toc21944 \h </w:instrText>
      </w:r>
      <w:r>
        <w:fldChar w:fldCharType="separate"/>
      </w:r>
      <w:r>
        <w:t>22</w:t>
      </w:r>
      <w:r>
        <w:fldChar w:fldCharType="end"/>
      </w:r>
      <w:r>
        <w:rPr>
          <w:rFonts w:hint="eastAsia" w:hAnsi="宋体" w:cs="宋体"/>
          <w:kern w:val="0"/>
          <w:szCs w:val="24"/>
        </w:rPr>
        <w:fldChar w:fldCharType="end"/>
      </w:r>
    </w:p>
    <w:p>
      <w:pPr>
        <w:pStyle w:val="29"/>
        <w:pageBreakBefore w:val="0"/>
        <w:widowControl w:val="0"/>
        <w:tabs>
          <w:tab w:val="right" w:leader="dot" w:pos="9416"/>
        </w:tabs>
        <w:kinsoku/>
        <w:wordWrap/>
        <w:overflowPunct/>
        <w:topLinePunct w:val="0"/>
        <w:bidi w:val="0"/>
        <w:snapToGrid/>
        <w:spacing w:line="500" w:lineRule="exact"/>
        <w:textAlignment w:val="auto"/>
      </w:pPr>
      <w:r>
        <w:rPr>
          <w:rFonts w:hint="eastAsia" w:hAnsi="宋体" w:cs="宋体"/>
          <w:kern w:val="0"/>
          <w:szCs w:val="24"/>
        </w:rPr>
        <w:fldChar w:fldCharType="begin"/>
      </w:r>
      <w:r>
        <w:rPr>
          <w:rFonts w:hint="eastAsia" w:hAnsi="宋体" w:cs="宋体"/>
          <w:kern w:val="0"/>
          <w:szCs w:val="24"/>
        </w:rPr>
        <w:instrText xml:space="preserve"> HYPERLINK \l _Toc12127 </w:instrText>
      </w:r>
      <w:r>
        <w:rPr>
          <w:rFonts w:hint="eastAsia" w:hAnsi="宋体" w:cs="宋体"/>
          <w:kern w:val="0"/>
          <w:szCs w:val="24"/>
        </w:rPr>
        <w:fldChar w:fldCharType="separate"/>
      </w:r>
      <w:r>
        <w:rPr>
          <w:rFonts w:hint="eastAsia" w:hAnsi="宋体"/>
        </w:rPr>
        <w:t>第三章  货物需求</w:t>
      </w:r>
      <w:r>
        <w:tab/>
      </w:r>
      <w:r>
        <w:fldChar w:fldCharType="begin"/>
      </w:r>
      <w:r>
        <w:instrText xml:space="preserve"> PAGEREF _Toc12127 \h </w:instrText>
      </w:r>
      <w:r>
        <w:fldChar w:fldCharType="separate"/>
      </w:r>
      <w:r>
        <w:t>26</w:t>
      </w:r>
      <w:r>
        <w:fldChar w:fldCharType="end"/>
      </w:r>
      <w:r>
        <w:rPr>
          <w:rFonts w:hint="eastAsia" w:hAnsi="宋体" w:cs="宋体"/>
          <w:kern w:val="0"/>
          <w:szCs w:val="24"/>
        </w:rPr>
        <w:fldChar w:fldCharType="end"/>
      </w:r>
    </w:p>
    <w:p>
      <w:pPr>
        <w:pStyle w:val="33"/>
        <w:pageBreakBefore w:val="0"/>
        <w:widowControl w:val="0"/>
        <w:tabs>
          <w:tab w:val="right" w:leader="dot" w:pos="9416"/>
        </w:tabs>
        <w:kinsoku/>
        <w:wordWrap/>
        <w:overflowPunct/>
        <w:topLinePunct w:val="0"/>
        <w:bidi w:val="0"/>
        <w:snapToGrid/>
        <w:spacing w:line="500" w:lineRule="exact"/>
        <w:textAlignment w:val="auto"/>
      </w:pPr>
      <w:r>
        <w:rPr>
          <w:rFonts w:hint="eastAsia" w:hAnsi="宋体" w:cs="宋体"/>
          <w:kern w:val="0"/>
          <w:szCs w:val="24"/>
        </w:rPr>
        <w:fldChar w:fldCharType="begin"/>
      </w:r>
      <w:r>
        <w:rPr>
          <w:rFonts w:hint="eastAsia" w:hAnsi="宋体" w:cs="宋体"/>
          <w:kern w:val="0"/>
          <w:szCs w:val="24"/>
        </w:rPr>
        <w:instrText xml:space="preserve"> HYPERLINK \l _Toc25313 </w:instrText>
      </w:r>
      <w:r>
        <w:rPr>
          <w:rFonts w:hint="eastAsia" w:hAnsi="宋体" w:cs="宋体"/>
          <w:kern w:val="0"/>
          <w:szCs w:val="24"/>
        </w:rPr>
        <w:fldChar w:fldCharType="separate"/>
      </w:r>
      <w:r>
        <w:rPr>
          <w:rFonts w:hint="eastAsia" w:asciiTheme="minorEastAsia" w:hAnsiTheme="minorEastAsia" w:eastAsiaTheme="minorEastAsia" w:cstheme="minorEastAsia"/>
          <w:szCs w:val="24"/>
        </w:rPr>
        <w:t>一、</w:t>
      </w:r>
      <w:r>
        <w:rPr>
          <w:rFonts w:hint="eastAsia" w:asciiTheme="minorEastAsia" w:hAnsiTheme="minorEastAsia" w:eastAsiaTheme="minorEastAsia" w:cstheme="minorEastAsia"/>
          <w:spacing w:val="-2"/>
          <w:szCs w:val="24"/>
        </w:rPr>
        <w:t>项</w:t>
      </w:r>
      <w:r>
        <w:rPr>
          <w:rFonts w:hint="eastAsia" w:asciiTheme="minorEastAsia" w:hAnsiTheme="minorEastAsia" w:eastAsiaTheme="minorEastAsia" w:cstheme="minorEastAsia"/>
          <w:szCs w:val="24"/>
        </w:rPr>
        <w:t>目</w:t>
      </w:r>
      <w:r>
        <w:rPr>
          <w:rFonts w:hint="eastAsia" w:asciiTheme="minorEastAsia" w:hAnsiTheme="minorEastAsia" w:eastAsiaTheme="minorEastAsia" w:cstheme="minorEastAsia"/>
          <w:spacing w:val="-2"/>
          <w:szCs w:val="24"/>
        </w:rPr>
        <w:t>概</w:t>
      </w:r>
      <w:r>
        <w:rPr>
          <w:rFonts w:hint="eastAsia" w:asciiTheme="minorEastAsia" w:hAnsiTheme="minorEastAsia" w:eastAsiaTheme="minorEastAsia" w:cstheme="minorEastAsia"/>
          <w:szCs w:val="24"/>
        </w:rPr>
        <w:t>述</w:t>
      </w:r>
      <w:r>
        <w:tab/>
      </w:r>
      <w:r>
        <w:fldChar w:fldCharType="begin"/>
      </w:r>
      <w:r>
        <w:instrText xml:space="preserve"> PAGEREF _Toc25313 \h </w:instrText>
      </w:r>
      <w:r>
        <w:fldChar w:fldCharType="separate"/>
      </w:r>
      <w:r>
        <w:t>26</w:t>
      </w:r>
      <w:r>
        <w:fldChar w:fldCharType="end"/>
      </w:r>
      <w:r>
        <w:rPr>
          <w:rFonts w:hint="eastAsia" w:hAnsi="宋体" w:cs="宋体"/>
          <w:kern w:val="0"/>
          <w:szCs w:val="24"/>
        </w:rPr>
        <w:fldChar w:fldCharType="end"/>
      </w:r>
    </w:p>
    <w:p>
      <w:pPr>
        <w:pStyle w:val="33"/>
        <w:pageBreakBefore w:val="0"/>
        <w:widowControl w:val="0"/>
        <w:tabs>
          <w:tab w:val="right" w:leader="dot" w:pos="9416"/>
        </w:tabs>
        <w:kinsoku/>
        <w:wordWrap/>
        <w:overflowPunct/>
        <w:topLinePunct w:val="0"/>
        <w:bidi w:val="0"/>
        <w:snapToGrid/>
        <w:spacing w:line="500" w:lineRule="exact"/>
        <w:textAlignment w:val="auto"/>
      </w:pPr>
      <w:r>
        <w:rPr>
          <w:rFonts w:hint="eastAsia" w:hAnsi="宋体" w:cs="宋体"/>
          <w:kern w:val="0"/>
          <w:szCs w:val="24"/>
        </w:rPr>
        <w:fldChar w:fldCharType="begin"/>
      </w:r>
      <w:r>
        <w:rPr>
          <w:rFonts w:hint="eastAsia" w:hAnsi="宋体" w:cs="宋体"/>
          <w:kern w:val="0"/>
          <w:szCs w:val="24"/>
        </w:rPr>
        <w:instrText xml:space="preserve"> HYPERLINK \l _Toc8937 </w:instrText>
      </w:r>
      <w:r>
        <w:rPr>
          <w:rFonts w:hint="eastAsia" w:hAnsi="宋体" w:cs="宋体"/>
          <w:kern w:val="0"/>
          <w:szCs w:val="24"/>
        </w:rPr>
        <w:fldChar w:fldCharType="separate"/>
      </w:r>
      <w:r>
        <w:rPr>
          <w:rFonts w:hint="eastAsia" w:asciiTheme="minorEastAsia" w:hAnsiTheme="minorEastAsia" w:eastAsiaTheme="minorEastAsia" w:cstheme="minorEastAsia"/>
          <w:szCs w:val="24"/>
        </w:rPr>
        <w:t>二、货物明细</w:t>
      </w:r>
      <w:r>
        <w:tab/>
      </w:r>
      <w:r>
        <w:fldChar w:fldCharType="begin"/>
      </w:r>
      <w:r>
        <w:instrText xml:space="preserve"> PAGEREF _Toc8937 \h </w:instrText>
      </w:r>
      <w:r>
        <w:fldChar w:fldCharType="separate"/>
      </w:r>
      <w:r>
        <w:t>26</w:t>
      </w:r>
      <w:r>
        <w:fldChar w:fldCharType="end"/>
      </w:r>
      <w:r>
        <w:rPr>
          <w:rFonts w:hint="eastAsia" w:hAnsi="宋体" w:cs="宋体"/>
          <w:kern w:val="0"/>
          <w:szCs w:val="24"/>
        </w:rPr>
        <w:fldChar w:fldCharType="end"/>
      </w:r>
    </w:p>
    <w:p>
      <w:pPr>
        <w:pStyle w:val="33"/>
        <w:pageBreakBefore w:val="0"/>
        <w:widowControl w:val="0"/>
        <w:tabs>
          <w:tab w:val="right" w:leader="dot" w:pos="9416"/>
        </w:tabs>
        <w:kinsoku/>
        <w:wordWrap/>
        <w:overflowPunct/>
        <w:topLinePunct w:val="0"/>
        <w:bidi w:val="0"/>
        <w:snapToGrid/>
        <w:spacing w:line="500" w:lineRule="exact"/>
        <w:textAlignment w:val="auto"/>
      </w:pPr>
      <w:r>
        <w:rPr>
          <w:rFonts w:hint="eastAsia" w:hAnsi="宋体" w:cs="宋体"/>
          <w:kern w:val="0"/>
          <w:szCs w:val="24"/>
        </w:rPr>
        <w:fldChar w:fldCharType="begin"/>
      </w:r>
      <w:r>
        <w:rPr>
          <w:rFonts w:hint="eastAsia" w:hAnsi="宋体" w:cs="宋体"/>
          <w:kern w:val="0"/>
          <w:szCs w:val="24"/>
        </w:rPr>
        <w:instrText xml:space="preserve"> HYPERLINK \l _Toc16217 </w:instrText>
      </w:r>
      <w:r>
        <w:rPr>
          <w:rFonts w:hint="eastAsia" w:hAnsi="宋体" w:cs="宋体"/>
          <w:kern w:val="0"/>
          <w:szCs w:val="24"/>
        </w:rPr>
        <w:fldChar w:fldCharType="separate"/>
      </w:r>
      <w:r>
        <w:rPr>
          <w:rFonts w:hint="eastAsia" w:asciiTheme="minorEastAsia" w:hAnsiTheme="minorEastAsia" w:eastAsiaTheme="minorEastAsia" w:cstheme="minorEastAsia"/>
          <w:szCs w:val="24"/>
        </w:rPr>
        <w:t>三、</w:t>
      </w:r>
      <w:r>
        <w:rPr>
          <w:rFonts w:hint="eastAsia" w:asciiTheme="minorEastAsia" w:hAnsiTheme="minorEastAsia" w:eastAsiaTheme="minorEastAsia" w:cstheme="minorEastAsia"/>
          <w:spacing w:val="-2"/>
          <w:szCs w:val="24"/>
        </w:rPr>
        <w:t>其</w:t>
      </w:r>
      <w:r>
        <w:rPr>
          <w:rFonts w:hint="eastAsia" w:asciiTheme="minorEastAsia" w:hAnsiTheme="minorEastAsia" w:eastAsiaTheme="minorEastAsia" w:cstheme="minorEastAsia"/>
          <w:szCs w:val="24"/>
        </w:rPr>
        <w:t>他</w:t>
      </w:r>
      <w:r>
        <w:rPr>
          <w:rFonts w:hint="eastAsia" w:asciiTheme="minorEastAsia" w:hAnsiTheme="minorEastAsia" w:eastAsiaTheme="minorEastAsia" w:cstheme="minorEastAsia"/>
          <w:spacing w:val="-2"/>
          <w:szCs w:val="24"/>
        </w:rPr>
        <w:t>要</w:t>
      </w:r>
      <w:r>
        <w:rPr>
          <w:rFonts w:hint="eastAsia" w:asciiTheme="minorEastAsia" w:hAnsiTheme="minorEastAsia" w:eastAsiaTheme="minorEastAsia" w:cstheme="minorEastAsia"/>
          <w:szCs w:val="24"/>
        </w:rPr>
        <w:t>求</w:t>
      </w:r>
      <w:r>
        <w:tab/>
      </w:r>
      <w:r>
        <w:fldChar w:fldCharType="begin"/>
      </w:r>
      <w:r>
        <w:instrText xml:space="preserve"> PAGEREF _Toc16217 \h </w:instrText>
      </w:r>
      <w:r>
        <w:fldChar w:fldCharType="separate"/>
      </w:r>
      <w:r>
        <w:t>26</w:t>
      </w:r>
      <w:r>
        <w:fldChar w:fldCharType="end"/>
      </w:r>
      <w:r>
        <w:rPr>
          <w:rFonts w:hint="eastAsia" w:hAnsi="宋体" w:cs="宋体"/>
          <w:kern w:val="0"/>
          <w:szCs w:val="24"/>
        </w:rPr>
        <w:fldChar w:fldCharType="end"/>
      </w:r>
    </w:p>
    <w:p>
      <w:pPr>
        <w:pStyle w:val="29"/>
        <w:pageBreakBefore w:val="0"/>
        <w:widowControl w:val="0"/>
        <w:tabs>
          <w:tab w:val="right" w:leader="dot" w:pos="9416"/>
        </w:tabs>
        <w:kinsoku/>
        <w:wordWrap/>
        <w:overflowPunct/>
        <w:topLinePunct w:val="0"/>
        <w:bidi w:val="0"/>
        <w:snapToGrid/>
        <w:spacing w:line="500" w:lineRule="exact"/>
        <w:textAlignment w:val="auto"/>
      </w:pPr>
      <w:r>
        <w:rPr>
          <w:rFonts w:hint="eastAsia" w:hAnsi="宋体" w:cs="宋体"/>
          <w:kern w:val="0"/>
          <w:szCs w:val="24"/>
        </w:rPr>
        <w:fldChar w:fldCharType="begin"/>
      </w:r>
      <w:r>
        <w:rPr>
          <w:rFonts w:hint="eastAsia" w:hAnsi="宋体" w:cs="宋体"/>
          <w:kern w:val="0"/>
          <w:szCs w:val="24"/>
        </w:rPr>
        <w:instrText xml:space="preserve"> HYPERLINK \l _Toc20448 </w:instrText>
      </w:r>
      <w:r>
        <w:rPr>
          <w:rFonts w:hint="eastAsia" w:hAnsi="宋体" w:cs="宋体"/>
          <w:kern w:val="0"/>
          <w:szCs w:val="24"/>
        </w:rPr>
        <w:fldChar w:fldCharType="separate"/>
      </w:r>
      <w:r>
        <w:rPr>
          <w:rFonts w:hint="eastAsia" w:hAnsi="宋体"/>
          <w:szCs w:val="32"/>
        </w:rPr>
        <w:t>第四章 评审方法和标准</w:t>
      </w:r>
      <w:r>
        <w:tab/>
      </w:r>
      <w:r>
        <w:fldChar w:fldCharType="begin"/>
      </w:r>
      <w:r>
        <w:instrText xml:space="preserve"> PAGEREF _Toc20448 \h </w:instrText>
      </w:r>
      <w:r>
        <w:fldChar w:fldCharType="separate"/>
      </w:r>
      <w:r>
        <w:t>28</w:t>
      </w:r>
      <w:r>
        <w:fldChar w:fldCharType="end"/>
      </w:r>
      <w:r>
        <w:rPr>
          <w:rFonts w:hint="eastAsia" w:hAnsi="宋体" w:cs="宋体"/>
          <w:kern w:val="0"/>
          <w:szCs w:val="24"/>
        </w:rPr>
        <w:fldChar w:fldCharType="end"/>
      </w:r>
    </w:p>
    <w:p>
      <w:pPr>
        <w:pStyle w:val="29"/>
        <w:pageBreakBefore w:val="0"/>
        <w:widowControl w:val="0"/>
        <w:tabs>
          <w:tab w:val="right" w:leader="dot" w:pos="9416"/>
        </w:tabs>
        <w:kinsoku/>
        <w:wordWrap/>
        <w:overflowPunct/>
        <w:topLinePunct w:val="0"/>
        <w:bidi w:val="0"/>
        <w:snapToGrid/>
        <w:spacing w:line="500" w:lineRule="exact"/>
        <w:textAlignment w:val="auto"/>
      </w:pPr>
      <w:r>
        <w:rPr>
          <w:rFonts w:hint="eastAsia" w:hAnsi="宋体" w:cs="宋体"/>
          <w:kern w:val="0"/>
          <w:szCs w:val="24"/>
        </w:rPr>
        <w:fldChar w:fldCharType="begin"/>
      </w:r>
      <w:r>
        <w:rPr>
          <w:rFonts w:hint="eastAsia" w:hAnsi="宋体" w:cs="宋体"/>
          <w:kern w:val="0"/>
          <w:szCs w:val="24"/>
        </w:rPr>
        <w:instrText xml:space="preserve"> HYPERLINK \l _Toc14965 </w:instrText>
      </w:r>
      <w:r>
        <w:rPr>
          <w:rFonts w:hint="eastAsia" w:hAnsi="宋体" w:cs="宋体"/>
          <w:kern w:val="0"/>
          <w:szCs w:val="24"/>
        </w:rPr>
        <w:fldChar w:fldCharType="separate"/>
      </w:r>
      <w:r>
        <w:rPr>
          <w:rFonts w:hint="eastAsia"/>
        </w:rPr>
        <w:t>第五章 响应文件格式</w:t>
      </w:r>
      <w:r>
        <w:tab/>
      </w:r>
      <w:r>
        <w:fldChar w:fldCharType="begin"/>
      </w:r>
      <w:r>
        <w:instrText xml:space="preserve"> PAGEREF _Toc14965 \h </w:instrText>
      </w:r>
      <w:r>
        <w:fldChar w:fldCharType="separate"/>
      </w:r>
      <w:r>
        <w:t>29</w:t>
      </w:r>
      <w:r>
        <w:fldChar w:fldCharType="end"/>
      </w:r>
      <w:r>
        <w:rPr>
          <w:rFonts w:hint="eastAsia" w:hAnsi="宋体" w:cs="宋体"/>
          <w:kern w:val="0"/>
          <w:szCs w:val="24"/>
        </w:rPr>
        <w:fldChar w:fldCharType="end"/>
      </w:r>
    </w:p>
    <w:p>
      <w:pPr>
        <w:pStyle w:val="33"/>
        <w:pageBreakBefore w:val="0"/>
        <w:widowControl w:val="0"/>
        <w:tabs>
          <w:tab w:val="right" w:leader="dot" w:pos="9416"/>
        </w:tabs>
        <w:kinsoku/>
        <w:wordWrap/>
        <w:overflowPunct/>
        <w:topLinePunct w:val="0"/>
        <w:bidi w:val="0"/>
        <w:snapToGrid/>
        <w:spacing w:line="500" w:lineRule="exact"/>
        <w:textAlignment w:val="auto"/>
      </w:pPr>
      <w:r>
        <w:rPr>
          <w:rFonts w:hint="eastAsia" w:hAnsi="宋体" w:cs="宋体"/>
          <w:kern w:val="0"/>
          <w:szCs w:val="24"/>
        </w:rPr>
        <w:fldChar w:fldCharType="begin"/>
      </w:r>
      <w:r>
        <w:rPr>
          <w:rFonts w:hint="eastAsia" w:hAnsi="宋体" w:cs="宋体"/>
          <w:kern w:val="0"/>
          <w:szCs w:val="24"/>
        </w:rPr>
        <w:instrText xml:space="preserve"> HYPERLINK \l _Toc32043 </w:instrText>
      </w:r>
      <w:r>
        <w:rPr>
          <w:rFonts w:hint="eastAsia" w:hAnsi="宋体" w:cs="宋体"/>
          <w:kern w:val="0"/>
          <w:szCs w:val="24"/>
        </w:rPr>
        <w:fldChar w:fldCharType="separate"/>
      </w:r>
      <w:r>
        <w:rPr>
          <w:rFonts w:hint="eastAsia"/>
        </w:rPr>
        <w:t>一、开标一览表</w:t>
      </w:r>
      <w:r>
        <w:tab/>
      </w:r>
      <w:r>
        <w:fldChar w:fldCharType="begin"/>
      </w:r>
      <w:r>
        <w:instrText xml:space="preserve"> PAGEREF _Toc32043 \h </w:instrText>
      </w:r>
      <w:r>
        <w:fldChar w:fldCharType="separate"/>
      </w:r>
      <w:r>
        <w:t>29</w:t>
      </w:r>
      <w:r>
        <w:fldChar w:fldCharType="end"/>
      </w:r>
      <w:r>
        <w:rPr>
          <w:rFonts w:hint="eastAsia" w:hAnsi="宋体" w:cs="宋体"/>
          <w:kern w:val="0"/>
          <w:szCs w:val="24"/>
        </w:rPr>
        <w:fldChar w:fldCharType="end"/>
      </w:r>
    </w:p>
    <w:p>
      <w:pPr>
        <w:pStyle w:val="33"/>
        <w:pageBreakBefore w:val="0"/>
        <w:widowControl w:val="0"/>
        <w:tabs>
          <w:tab w:val="right" w:leader="dot" w:pos="9416"/>
        </w:tabs>
        <w:kinsoku/>
        <w:wordWrap/>
        <w:overflowPunct/>
        <w:topLinePunct w:val="0"/>
        <w:bidi w:val="0"/>
        <w:snapToGrid/>
        <w:spacing w:line="500" w:lineRule="exact"/>
        <w:textAlignment w:val="auto"/>
      </w:pPr>
      <w:r>
        <w:rPr>
          <w:rFonts w:hint="eastAsia" w:hAnsi="宋体" w:cs="宋体"/>
          <w:kern w:val="0"/>
          <w:szCs w:val="24"/>
        </w:rPr>
        <w:fldChar w:fldCharType="begin"/>
      </w:r>
      <w:r>
        <w:rPr>
          <w:rFonts w:hint="eastAsia" w:hAnsi="宋体" w:cs="宋体"/>
          <w:kern w:val="0"/>
          <w:szCs w:val="24"/>
        </w:rPr>
        <w:instrText xml:space="preserve"> HYPERLINK \l _Toc26843 </w:instrText>
      </w:r>
      <w:r>
        <w:rPr>
          <w:rFonts w:hint="eastAsia" w:hAnsi="宋体" w:cs="宋体"/>
          <w:kern w:val="0"/>
          <w:szCs w:val="24"/>
        </w:rPr>
        <w:fldChar w:fldCharType="separate"/>
      </w:r>
      <w:r>
        <w:rPr>
          <w:rFonts w:hint="eastAsia"/>
        </w:rPr>
        <w:t>二、资格证明文件</w:t>
      </w:r>
      <w:r>
        <w:tab/>
      </w:r>
      <w:r>
        <w:fldChar w:fldCharType="begin"/>
      </w:r>
      <w:r>
        <w:instrText xml:space="preserve"> PAGEREF _Toc26843 \h </w:instrText>
      </w:r>
      <w:r>
        <w:fldChar w:fldCharType="separate"/>
      </w:r>
      <w:r>
        <w:t>30</w:t>
      </w:r>
      <w:r>
        <w:fldChar w:fldCharType="end"/>
      </w:r>
      <w:r>
        <w:rPr>
          <w:rFonts w:hint="eastAsia" w:hAnsi="宋体" w:cs="宋体"/>
          <w:kern w:val="0"/>
          <w:szCs w:val="24"/>
        </w:rPr>
        <w:fldChar w:fldCharType="end"/>
      </w:r>
    </w:p>
    <w:p>
      <w:pPr>
        <w:pStyle w:val="33"/>
        <w:pageBreakBefore w:val="0"/>
        <w:widowControl w:val="0"/>
        <w:tabs>
          <w:tab w:val="right" w:leader="dot" w:pos="9416"/>
        </w:tabs>
        <w:kinsoku/>
        <w:wordWrap/>
        <w:overflowPunct/>
        <w:topLinePunct w:val="0"/>
        <w:bidi w:val="0"/>
        <w:snapToGrid/>
        <w:spacing w:line="500" w:lineRule="exact"/>
        <w:textAlignment w:val="auto"/>
      </w:pPr>
      <w:r>
        <w:rPr>
          <w:rFonts w:hint="eastAsia" w:hAnsi="宋体" w:cs="宋体"/>
          <w:kern w:val="0"/>
          <w:szCs w:val="24"/>
        </w:rPr>
        <w:fldChar w:fldCharType="begin"/>
      </w:r>
      <w:r>
        <w:rPr>
          <w:rFonts w:hint="eastAsia" w:hAnsi="宋体" w:cs="宋体"/>
          <w:kern w:val="0"/>
          <w:szCs w:val="24"/>
        </w:rPr>
        <w:instrText xml:space="preserve"> HYPERLINK \l _Toc6344 </w:instrText>
      </w:r>
      <w:r>
        <w:rPr>
          <w:rFonts w:hint="eastAsia" w:hAnsi="宋体" w:cs="宋体"/>
          <w:kern w:val="0"/>
          <w:szCs w:val="24"/>
        </w:rPr>
        <w:fldChar w:fldCharType="separate"/>
      </w:r>
      <w:r>
        <w:rPr>
          <w:rFonts w:hint="eastAsia"/>
        </w:rPr>
        <w:t>三、商务及</w:t>
      </w:r>
      <w:r>
        <w:t>技术</w:t>
      </w:r>
      <w:r>
        <w:rPr>
          <w:rFonts w:hint="eastAsia"/>
        </w:rPr>
        <w:t>文件</w:t>
      </w:r>
      <w:r>
        <w:tab/>
      </w:r>
      <w:r>
        <w:fldChar w:fldCharType="begin"/>
      </w:r>
      <w:r>
        <w:instrText xml:space="preserve"> PAGEREF _Toc6344 \h </w:instrText>
      </w:r>
      <w:r>
        <w:fldChar w:fldCharType="separate"/>
      </w:r>
      <w:r>
        <w:t>35</w:t>
      </w:r>
      <w:r>
        <w:fldChar w:fldCharType="end"/>
      </w:r>
      <w:r>
        <w:rPr>
          <w:rFonts w:hint="eastAsia" w:hAnsi="宋体" w:cs="宋体"/>
          <w:kern w:val="0"/>
          <w:szCs w:val="24"/>
        </w:rPr>
        <w:fldChar w:fldCharType="end"/>
      </w:r>
    </w:p>
    <w:p>
      <w:pPr>
        <w:pStyle w:val="29"/>
        <w:pageBreakBefore w:val="0"/>
        <w:widowControl w:val="0"/>
        <w:tabs>
          <w:tab w:val="right" w:leader="dot" w:pos="9416"/>
        </w:tabs>
        <w:kinsoku/>
        <w:wordWrap/>
        <w:overflowPunct/>
        <w:topLinePunct w:val="0"/>
        <w:bidi w:val="0"/>
        <w:snapToGrid/>
        <w:spacing w:line="500" w:lineRule="exact"/>
        <w:textAlignment w:val="auto"/>
      </w:pPr>
      <w:r>
        <w:rPr>
          <w:rFonts w:hint="eastAsia" w:hAnsi="宋体" w:cs="宋体"/>
          <w:kern w:val="0"/>
          <w:szCs w:val="24"/>
        </w:rPr>
        <w:fldChar w:fldCharType="begin"/>
      </w:r>
      <w:r>
        <w:rPr>
          <w:rFonts w:hint="eastAsia" w:hAnsi="宋体" w:cs="宋体"/>
          <w:kern w:val="0"/>
          <w:szCs w:val="24"/>
        </w:rPr>
        <w:instrText xml:space="preserve"> HYPERLINK \l _Toc17591 </w:instrText>
      </w:r>
      <w:r>
        <w:rPr>
          <w:rFonts w:hint="eastAsia" w:hAnsi="宋体" w:cs="宋体"/>
          <w:kern w:val="0"/>
          <w:szCs w:val="24"/>
        </w:rPr>
        <w:fldChar w:fldCharType="separate"/>
      </w:r>
      <w:r>
        <w:rPr>
          <w:rFonts w:hint="eastAsia" w:hAnsi="宋体"/>
          <w:szCs w:val="44"/>
        </w:rPr>
        <w:t xml:space="preserve">第六章 </w:t>
      </w:r>
      <w:r>
        <w:rPr>
          <w:rFonts w:hAnsi="宋体"/>
          <w:szCs w:val="44"/>
        </w:rPr>
        <w:t>政府采购</w:t>
      </w:r>
      <w:r>
        <w:rPr>
          <w:rFonts w:hint="eastAsia" w:hAnsi="宋体"/>
          <w:szCs w:val="44"/>
        </w:rPr>
        <w:t>合同格式</w:t>
      </w:r>
      <w:r>
        <w:tab/>
      </w:r>
      <w:r>
        <w:fldChar w:fldCharType="begin"/>
      </w:r>
      <w:r>
        <w:instrText xml:space="preserve"> PAGEREF _Toc17591 \h </w:instrText>
      </w:r>
      <w:r>
        <w:fldChar w:fldCharType="separate"/>
      </w:r>
      <w:r>
        <w:t>45</w:t>
      </w:r>
      <w:r>
        <w:fldChar w:fldCharType="end"/>
      </w:r>
      <w:r>
        <w:rPr>
          <w:rFonts w:hint="eastAsia" w:hAnsi="宋体" w:cs="宋体"/>
          <w:kern w:val="0"/>
          <w:szCs w:val="24"/>
        </w:rPr>
        <w:fldChar w:fldCharType="end"/>
      </w:r>
    </w:p>
    <w:p>
      <w:pPr>
        <w:pStyle w:val="3"/>
        <w:pageBreakBefore w:val="0"/>
        <w:widowControl w:val="0"/>
        <w:tabs>
          <w:tab w:val="left" w:pos="0"/>
        </w:tabs>
        <w:kinsoku/>
        <w:wordWrap/>
        <w:overflowPunct/>
        <w:topLinePunct w:val="0"/>
        <w:bidi w:val="0"/>
        <w:snapToGrid/>
        <w:spacing w:before="0" w:after="0" w:line="500" w:lineRule="exact"/>
        <w:textAlignment w:val="auto"/>
        <w:rPr>
          <w:rFonts w:hAnsi="宋体" w:cs="宋体"/>
          <w:kern w:val="0"/>
          <w:sz w:val="24"/>
          <w:szCs w:val="24"/>
        </w:rPr>
        <w:sectPr>
          <w:headerReference r:id="rId3" w:type="default"/>
          <w:pgSz w:w="11910" w:h="16840"/>
          <w:pgMar w:top="1247" w:right="1247" w:bottom="1247" w:left="1247" w:header="0" w:footer="1593" w:gutter="0"/>
          <w:pgNumType w:start="1"/>
          <w:cols w:space="0" w:num="1"/>
        </w:sectPr>
      </w:pPr>
      <w:r>
        <w:rPr>
          <w:rFonts w:hint="eastAsia" w:hAnsi="宋体" w:cs="宋体"/>
          <w:kern w:val="0"/>
          <w:szCs w:val="24"/>
        </w:rPr>
        <w:fldChar w:fldCharType="end"/>
      </w:r>
      <w:bookmarkStart w:id="3" w:name="_Toc4649"/>
    </w:p>
    <w:p>
      <w:pPr>
        <w:pStyle w:val="3"/>
        <w:tabs>
          <w:tab w:val="left" w:pos="0"/>
        </w:tabs>
        <w:spacing w:before="0" w:after="0" w:line="560" w:lineRule="exact"/>
        <w:rPr>
          <w:rFonts w:hAnsi="宋体"/>
          <w:strike/>
          <w:kern w:val="0"/>
          <w:szCs w:val="21"/>
        </w:rPr>
      </w:pPr>
      <w:bookmarkStart w:id="4" w:name="_Toc28536"/>
      <w:r>
        <w:rPr>
          <w:rFonts w:hint="eastAsia" w:hAnsi="宋体"/>
        </w:rPr>
        <w:t>第一章  采购邀请</w:t>
      </w:r>
      <w:bookmarkEnd w:id="3"/>
      <w:bookmarkEnd w:id="4"/>
    </w:p>
    <w:p>
      <w:pPr>
        <w:pStyle w:val="36"/>
        <w:widowControl/>
        <w:spacing w:line="360" w:lineRule="auto"/>
        <w:outlineLvl w:val="1"/>
        <w:rPr>
          <w:rFonts w:asciiTheme="minorEastAsia" w:hAnsiTheme="minorEastAsia" w:eastAsiaTheme="minorEastAsia" w:cstheme="minorEastAsia"/>
          <w:b/>
          <w:bCs/>
        </w:rPr>
      </w:pPr>
      <w:bookmarkStart w:id="5" w:name="_Toc21716"/>
      <w:r>
        <w:rPr>
          <w:rFonts w:hint="eastAsia" w:asciiTheme="minorEastAsia" w:hAnsiTheme="minorEastAsia" w:eastAsiaTheme="minorEastAsia" w:cstheme="minorEastAsia"/>
          <w:b/>
          <w:bCs/>
        </w:rPr>
        <w:t>一、项目信息</w:t>
      </w:r>
      <w:bookmarkEnd w:id="5"/>
    </w:p>
    <w:p>
      <w:pPr>
        <w:spacing w:line="360" w:lineRule="auto"/>
        <w:ind w:firstLine="480" w:firstLineChars="200"/>
        <w:rPr>
          <w:rFonts w:ascii="宋体" w:hAnsi="宋体" w:cs="宋体"/>
          <w:sz w:val="24"/>
        </w:rPr>
      </w:pPr>
      <w:r>
        <w:rPr>
          <w:rFonts w:hint="eastAsia" w:ascii="宋体" w:hAnsi="宋体" w:cs="宋体"/>
          <w:sz w:val="24"/>
        </w:rPr>
        <w:t>采购人：淄博市传染病医院</w:t>
      </w:r>
    </w:p>
    <w:p>
      <w:pPr>
        <w:spacing w:line="360" w:lineRule="auto"/>
        <w:ind w:firstLine="480" w:firstLineChars="200"/>
        <w:rPr>
          <w:rFonts w:ascii="宋体" w:hAnsi="宋体" w:cs="宋体"/>
          <w:sz w:val="24"/>
        </w:rPr>
      </w:pPr>
      <w:r>
        <w:rPr>
          <w:rFonts w:hint="eastAsia" w:ascii="宋体" w:hAnsi="宋体" w:cs="宋体"/>
          <w:sz w:val="24"/>
        </w:rPr>
        <w:t>项目名称：淄博市传染病医院电子肠镜和气泵采购项目</w:t>
      </w:r>
    </w:p>
    <w:p>
      <w:pPr>
        <w:spacing w:line="360" w:lineRule="auto"/>
        <w:ind w:firstLine="480" w:firstLineChars="200"/>
        <w:rPr>
          <w:rFonts w:ascii="宋体" w:hAnsi="宋体" w:cs="宋体"/>
          <w:b/>
          <w:color w:val="000000"/>
          <w:kern w:val="0"/>
          <w:sz w:val="24"/>
        </w:rPr>
      </w:pPr>
      <w:r>
        <w:rPr>
          <w:rFonts w:hint="eastAsia" w:ascii="宋体" w:hAnsi="宋体" w:cs="宋体"/>
          <w:sz w:val="24"/>
        </w:rPr>
        <w:t>拟采购的货物的说明：电子肠镜、气泵</w:t>
      </w:r>
    </w:p>
    <w:p>
      <w:pPr>
        <w:spacing w:line="360" w:lineRule="auto"/>
        <w:ind w:firstLine="480" w:firstLineChars="200"/>
        <w:rPr>
          <w:rFonts w:ascii="宋体" w:hAnsi="宋体" w:cs="宋体"/>
          <w:sz w:val="24"/>
        </w:rPr>
      </w:pPr>
      <w:r>
        <w:rPr>
          <w:rFonts w:hint="eastAsia" w:ascii="宋体" w:hAnsi="宋体" w:cs="宋体"/>
          <w:sz w:val="24"/>
        </w:rPr>
        <w:t>拟采购的货物的预算金额：68</w:t>
      </w:r>
      <w:r>
        <w:rPr>
          <w:rFonts w:hint="eastAsia" w:ascii="宋体" w:hAnsi="宋体" w:cs="宋体"/>
          <w:sz w:val="24"/>
          <w:lang w:val="en-US" w:eastAsia="zh-CN"/>
        </w:rPr>
        <w:t>.00</w:t>
      </w:r>
      <w:r>
        <w:rPr>
          <w:rFonts w:hint="eastAsia" w:ascii="宋体" w:hAnsi="宋体" w:cs="宋体"/>
          <w:sz w:val="24"/>
        </w:rPr>
        <w:t>万元　　　　　　　　</w:t>
      </w:r>
    </w:p>
    <w:p>
      <w:pPr>
        <w:spacing w:line="360" w:lineRule="auto"/>
        <w:ind w:firstLine="480" w:firstLineChars="200"/>
        <w:rPr>
          <w:rFonts w:ascii="宋体" w:hAnsi="宋体" w:cs="宋体"/>
          <w:sz w:val="24"/>
        </w:rPr>
      </w:pPr>
      <w:r>
        <w:rPr>
          <w:rFonts w:hint="eastAsia" w:ascii="宋体" w:hAnsi="宋体" w:cs="宋体"/>
          <w:sz w:val="24"/>
        </w:rPr>
        <w:t>采用单一来源采购方式的原因及说明：</w:t>
      </w:r>
    </w:p>
    <w:p>
      <w:pPr>
        <w:pStyle w:val="91"/>
        <w:spacing w:line="360" w:lineRule="auto"/>
        <w:ind w:firstLine="480"/>
        <w:rPr>
          <w:rFonts w:ascii="宋体" w:hAnsi="宋体" w:eastAsia="宋体" w:cs="宋体"/>
          <w:sz w:val="24"/>
          <w:szCs w:val="24"/>
        </w:rPr>
      </w:pPr>
      <w:r>
        <w:rPr>
          <w:rFonts w:hint="eastAsia" w:ascii="宋体" w:hAnsi="宋体" w:eastAsia="宋体" w:cs="宋体"/>
          <w:sz w:val="24"/>
          <w:szCs w:val="24"/>
        </w:rPr>
        <w:t>本次采购的电子肠镜和气泵品牌为奥林巴斯，此次采购产品需要与原有主机设备兼容配套，市场上无其他产品可以替代，为满足正常使用需求，根据《山东省省级预算单位单一来源采购方式管理办法》中“经过市场调研、专家论证，只能从唯一特定供应商处采购”的要求，因此本次采购采用单一来源采购方式。</w:t>
      </w:r>
    </w:p>
    <w:p>
      <w:pPr>
        <w:spacing w:line="360" w:lineRule="auto"/>
        <w:outlineLvl w:val="1"/>
        <w:rPr>
          <w:rFonts w:asciiTheme="minorEastAsia" w:hAnsiTheme="minorEastAsia" w:eastAsiaTheme="minorEastAsia" w:cstheme="minorEastAsia"/>
          <w:b/>
          <w:bCs/>
          <w:sz w:val="24"/>
        </w:rPr>
      </w:pPr>
      <w:bookmarkStart w:id="6" w:name="_Toc27898"/>
      <w:r>
        <w:rPr>
          <w:rFonts w:hint="eastAsia" w:asciiTheme="minorEastAsia" w:hAnsiTheme="minorEastAsia" w:eastAsiaTheme="minorEastAsia" w:cstheme="minorEastAsia"/>
          <w:b/>
          <w:bCs/>
          <w:sz w:val="24"/>
        </w:rPr>
        <w:t>二、拟定供应商信息</w:t>
      </w:r>
      <w:bookmarkEnd w:id="6"/>
    </w:p>
    <w:p>
      <w:pPr>
        <w:spacing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名称：淄博从安商贸有限公司</w:t>
      </w:r>
    </w:p>
    <w:p>
      <w:pPr>
        <w:spacing w:line="360" w:lineRule="auto"/>
        <w:ind w:firstLine="480" w:firstLineChars="20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地址：淄博市高新区国贸大厦B座903室</w:t>
      </w:r>
    </w:p>
    <w:p>
      <w:pPr>
        <w:spacing w:line="360" w:lineRule="auto"/>
        <w:outlineLvl w:val="1"/>
        <w:rPr>
          <w:rFonts w:asciiTheme="minorEastAsia" w:hAnsiTheme="minorEastAsia" w:eastAsiaTheme="minorEastAsia" w:cstheme="minorEastAsia"/>
          <w:b/>
          <w:bCs/>
          <w:sz w:val="24"/>
        </w:rPr>
      </w:pPr>
      <w:bookmarkStart w:id="7" w:name="_Toc23949"/>
      <w:r>
        <w:rPr>
          <w:rFonts w:hint="eastAsia" w:asciiTheme="minorEastAsia" w:hAnsiTheme="minorEastAsia" w:eastAsiaTheme="minorEastAsia" w:cstheme="minorEastAsia"/>
          <w:b/>
          <w:bCs/>
          <w:sz w:val="24"/>
        </w:rPr>
        <w:t>三、公示期限</w:t>
      </w:r>
      <w:bookmarkEnd w:id="7"/>
    </w:p>
    <w:p>
      <w:pPr>
        <w:spacing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2022年</w:t>
      </w:r>
      <w:r>
        <w:rPr>
          <w:rFonts w:hint="eastAsia" w:asciiTheme="minorEastAsia" w:hAnsiTheme="minorEastAsia" w:eastAsiaTheme="minorEastAsia" w:cstheme="minorEastAsia"/>
          <w:sz w:val="24"/>
          <w:lang w:val="en-US" w:eastAsia="zh-CN"/>
        </w:rPr>
        <w:t>7</w:t>
      </w:r>
      <w:r>
        <w:rPr>
          <w:rFonts w:hint="eastAsia" w:asciiTheme="minorEastAsia" w:hAnsiTheme="minorEastAsia" w:eastAsiaTheme="minorEastAsia" w:cstheme="minorEastAsia"/>
          <w:sz w:val="24"/>
        </w:rPr>
        <w:t>月</w:t>
      </w:r>
      <w:r>
        <w:rPr>
          <w:rFonts w:hint="eastAsia" w:asciiTheme="minorEastAsia" w:hAnsiTheme="minorEastAsia" w:eastAsiaTheme="minorEastAsia" w:cstheme="minorEastAsia"/>
          <w:sz w:val="24"/>
          <w:lang w:val="en-US" w:eastAsia="zh-CN"/>
        </w:rPr>
        <w:t>26</w:t>
      </w:r>
      <w:r>
        <w:rPr>
          <w:rFonts w:hint="eastAsia" w:asciiTheme="minorEastAsia" w:hAnsiTheme="minorEastAsia" w:eastAsiaTheme="minorEastAsia" w:cstheme="minorEastAsia"/>
          <w:sz w:val="24"/>
        </w:rPr>
        <w:t>日至2022年</w:t>
      </w:r>
      <w:r>
        <w:rPr>
          <w:rFonts w:hint="eastAsia" w:asciiTheme="minorEastAsia" w:hAnsiTheme="minorEastAsia" w:eastAsiaTheme="minorEastAsia" w:cstheme="minorEastAsia"/>
          <w:sz w:val="24"/>
          <w:lang w:val="en-US" w:eastAsia="zh-CN"/>
        </w:rPr>
        <w:t>8</w:t>
      </w:r>
      <w:r>
        <w:rPr>
          <w:rFonts w:hint="eastAsia" w:asciiTheme="minorEastAsia" w:hAnsiTheme="minorEastAsia" w:eastAsiaTheme="minorEastAsia" w:cstheme="minorEastAsia"/>
          <w:sz w:val="24"/>
        </w:rPr>
        <w:t>月</w:t>
      </w:r>
      <w:r>
        <w:rPr>
          <w:rFonts w:hint="eastAsia" w:asciiTheme="minorEastAsia" w:hAnsiTheme="minorEastAsia" w:eastAsiaTheme="minorEastAsia" w:cstheme="minorEastAsia"/>
          <w:sz w:val="24"/>
          <w:lang w:val="en-US" w:eastAsia="zh-CN"/>
        </w:rPr>
        <w:t>4</w:t>
      </w:r>
      <w:r>
        <w:rPr>
          <w:rFonts w:hint="eastAsia" w:asciiTheme="minorEastAsia" w:hAnsiTheme="minorEastAsia" w:eastAsiaTheme="minorEastAsia" w:cstheme="minorEastAsia"/>
          <w:sz w:val="24"/>
        </w:rPr>
        <w:t xml:space="preserve">日（公示期限不得少于5个工作日） </w:t>
      </w:r>
    </w:p>
    <w:p>
      <w:pPr>
        <w:pStyle w:val="104"/>
        <w:spacing w:line="360" w:lineRule="auto"/>
        <w:ind w:firstLine="320" w:firstLineChars="200"/>
      </w:pPr>
      <w:r>
        <w:t>窗体底端</w:t>
      </w:r>
    </w:p>
    <w:p>
      <w:pPr>
        <w:spacing w:line="360" w:lineRule="auto"/>
        <w:outlineLvl w:val="1"/>
        <w:rPr>
          <w:rFonts w:asciiTheme="minorEastAsia" w:hAnsiTheme="minorEastAsia" w:eastAsiaTheme="minorEastAsia" w:cstheme="minorEastAsia"/>
          <w:b/>
          <w:bCs/>
          <w:sz w:val="24"/>
        </w:rPr>
      </w:pPr>
      <w:bookmarkStart w:id="8" w:name="_Toc27569"/>
      <w:r>
        <w:rPr>
          <w:rFonts w:hint="eastAsia" w:asciiTheme="minorEastAsia" w:hAnsiTheme="minorEastAsia" w:eastAsiaTheme="minorEastAsia" w:cstheme="minorEastAsia"/>
          <w:b/>
          <w:bCs/>
          <w:sz w:val="24"/>
        </w:rPr>
        <w:t>四、其他补充事宜</w:t>
      </w:r>
      <w:bookmarkEnd w:id="8"/>
    </w:p>
    <w:p>
      <w:pPr>
        <w:pStyle w:val="91"/>
        <w:spacing w:line="360" w:lineRule="auto"/>
        <w:ind w:firstLine="480"/>
        <w:rPr>
          <w:rFonts w:ascii="宋体" w:hAnsi="宋体" w:eastAsia="宋体" w:cs="宋体"/>
          <w:sz w:val="24"/>
          <w:szCs w:val="24"/>
        </w:rPr>
      </w:pPr>
      <w:r>
        <w:rPr>
          <w:rFonts w:hint="eastAsia" w:ascii="宋体" w:hAnsi="宋体" w:eastAsia="宋体" w:cs="宋体"/>
          <w:sz w:val="24"/>
          <w:szCs w:val="24"/>
        </w:rPr>
        <w:t xml:space="preserve">1、获取采购文件 </w:t>
      </w:r>
    </w:p>
    <w:p>
      <w:pPr>
        <w:pStyle w:val="91"/>
        <w:spacing w:line="360" w:lineRule="auto"/>
        <w:ind w:firstLine="480"/>
        <w:rPr>
          <w:rFonts w:ascii="宋体" w:hAnsi="宋体" w:eastAsia="宋体" w:cs="宋体"/>
          <w:sz w:val="24"/>
          <w:szCs w:val="24"/>
        </w:rPr>
      </w:pPr>
      <w:r>
        <w:rPr>
          <w:rFonts w:hint="eastAsia" w:ascii="宋体" w:hAnsi="宋体" w:eastAsia="宋体" w:cs="宋体"/>
          <w:sz w:val="24"/>
          <w:szCs w:val="24"/>
        </w:rPr>
        <w:t>时间：截止到 2022年</w:t>
      </w:r>
      <w:r>
        <w:rPr>
          <w:rFonts w:hint="eastAsia" w:ascii="宋体" w:hAnsi="宋体" w:eastAsia="宋体" w:cs="宋体"/>
          <w:sz w:val="24"/>
          <w:szCs w:val="24"/>
          <w:lang w:val="en-US" w:eastAsia="zh-CN"/>
        </w:rPr>
        <w:t>8</w:t>
      </w:r>
      <w:r>
        <w:rPr>
          <w:rFonts w:hint="eastAsia" w:ascii="宋体" w:hAnsi="宋体" w:eastAsia="宋体" w:cs="宋体"/>
          <w:sz w:val="24"/>
          <w:szCs w:val="24"/>
        </w:rPr>
        <w:t>月</w:t>
      </w:r>
      <w:r>
        <w:rPr>
          <w:rFonts w:hint="eastAsia" w:ascii="宋体" w:hAnsi="宋体" w:eastAsia="宋体" w:cs="宋体"/>
          <w:sz w:val="24"/>
          <w:szCs w:val="24"/>
          <w:lang w:val="en-US" w:eastAsia="zh-CN"/>
        </w:rPr>
        <w:t>4</w:t>
      </w:r>
      <w:r>
        <w:rPr>
          <w:rFonts w:hint="eastAsia" w:ascii="宋体" w:hAnsi="宋体" w:eastAsia="宋体" w:cs="宋体"/>
          <w:sz w:val="24"/>
          <w:szCs w:val="24"/>
        </w:rPr>
        <w:t>日</w:t>
      </w:r>
      <w:r>
        <w:rPr>
          <w:rFonts w:hint="eastAsia" w:ascii="宋体" w:hAnsi="宋体" w:eastAsia="宋体" w:cs="宋体"/>
          <w:sz w:val="24"/>
          <w:szCs w:val="24"/>
          <w:lang w:val="en-US" w:eastAsia="zh-CN"/>
        </w:rPr>
        <w:t>09时</w:t>
      </w:r>
      <w:r>
        <w:rPr>
          <w:rFonts w:hint="eastAsia" w:ascii="宋体" w:hAnsi="宋体" w:eastAsia="宋体" w:cs="宋体"/>
          <w:sz w:val="24"/>
          <w:szCs w:val="24"/>
        </w:rPr>
        <w:t xml:space="preserve">00分（北京时间） </w:t>
      </w:r>
    </w:p>
    <w:p>
      <w:pPr>
        <w:pStyle w:val="91"/>
        <w:spacing w:line="360" w:lineRule="auto"/>
        <w:ind w:firstLine="480"/>
        <w:rPr>
          <w:rFonts w:ascii="宋体" w:hAnsi="宋体" w:eastAsia="宋体" w:cs="宋体"/>
          <w:sz w:val="24"/>
          <w:szCs w:val="24"/>
        </w:rPr>
      </w:pPr>
      <w:r>
        <w:rPr>
          <w:rFonts w:hint="eastAsia" w:ascii="宋体" w:hAnsi="宋体" w:eastAsia="宋体" w:cs="宋体"/>
          <w:sz w:val="24"/>
          <w:szCs w:val="24"/>
        </w:rPr>
        <w:t xml:space="preserve">地点：淄博市公共资源交易网（http://ggzyjy.zibo.gov.cn/） </w:t>
      </w:r>
    </w:p>
    <w:p>
      <w:pPr>
        <w:pStyle w:val="91"/>
        <w:spacing w:line="360" w:lineRule="auto"/>
        <w:ind w:firstLine="480"/>
        <w:rPr>
          <w:rFonts w:hint="eastAsia" w:ascii="宋体" w:hAnsi="宋体" w:eastAsia="宋体" w:cs="宋体"/>
          <w:sz w:val="24"/>
          <w:szCs w:val="24"/>
        </w:rPr>
      </w:pPr>
      <w:r>
        <w:rPr>
          <w:rFonts w:hint="eastAsia" w:ascii="宋体" w:hAnsi="宋体" w:eastAsia="宋体" w:cs="宋体"/>
          <w:sz w:val="24"/>
          <w:szCs w:val="24"/>
        </w:rPr>
        <w:t xml:space="preserve">方式：①已在淄博市公共资源交易网（http://ggzyjy.zibo.gov.cn/）注册的供应商可直接登录系统免费下载采购文件。②未注册的供应商需登录淄博市公共资源交易网点击“投标人系统”进行注册（注册类型：供应商）。咨询电话：0533-2270020/2270010/2270050，咨询时间：北京时间 8：30-12：00，13：30-17：00（法定公休日、法定节假日除外）。技术咨询电话：400-998-0000。③为满足信息公开和供应商诚信体系建设需要，供应商还需同时在中国山东政府采购网（http://www.ccgp-shandong.gov.cn/）进行注册。未注册的供应商须登录中国山东政府采购网点击首页右侧“系统入口”模块的“供应商注册”进行注册。 </w:t>
      </w:r>
    </w:p>
    <w:p>
      <w:pPr>
        <w:pStyle w:val="91"/>
        <w:spacing w:line="360" w:lineRule="auto"/>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2、提交响应文件截止时间、开标时间和地点 </w:t>
      </w:r>
    </w:p>
    <w:p>
      <w:pPr>
        <w:pStyle w:val="91"/>
        <w:spacing w:line="360" w:lineRule="auto"/>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截止时间：2022年8月5日09时00分（北京时间） </w:t>
      </w:r>
    </w:p>
    <w:p>
      <w:pPr>
        <w:widowControl/>
        <w:spacing w:line="360" w:lineRule="auto"/>
        <w:ind w:firstLine="480" w:firstLineChars="200"/>
        <w:jc w:val="left"/>
        <w:rPr>
          <w:rFonts w:ascii="宋体" w:hAnsi="宋体" w:cs="宋体"/>
          <w:sz w:val="24"/>
        </w:rPr>
      </w:pPr>
      <w:r>
        <w:rPr>
          <w:rFonts w:hint="eastAsia" w:ascii="宋体" w:hAnsi="宋体" w:cs="宋体"/>
          <w:sz w:val="24"/>
        </w:rPr>
        <w:t>方式：将加密的电子响应文件在截止时间前通过淄博市公共资源交易网“上传投标文件”栏目上传完成。①拟参加本项目的供应商须办理并取得数字证书（电子印章）后，方可加密生成及上传电子响应文件。请供应商仔细阅读《企业数字证书（电子印章）办理须知》（淄博市公共资源交易网→办事指南→下载园地）并按照须知要求办理。②供应商可到淄博市公共资源交易中心一楼业务受理大厅证书办理窗口办理，也可网上办理。其他具体操作请参考“淄博市公共资源交易中心新网站首页→我要办事→办理 CA”，技术咨询电话：山东CA：400-607-8966，CFCA：0533-3590310。</w:t>
      </w:r>
    </w:p>
    <w:p>
      <w:pPr>
        <w:widowControl/>
        <w:spacing w:line="360" w:lineRule="auto"/>
        <w:ind w:firstLine="480" w:firstLineChars="200"/>
        <w:jc w:val="left"/>
        <w:rPr>
          <w:rFonts w:ascii="宋体" w:hAnsi="宋体" w:cs="宋体"/>
          <w:sz w:val="24"/>
        </w:rPr>
      </w:pPr>
      <w:r>
        <w:rPr>
          <w:rFonts w:hint="eastAsia" w:ascii="宋体" w:hAnsi="宋体" w:cs="宋体"/>
          <w:sz w:val="24"/>
        </w:rPr>
        <w:t>开标时间：2022年</w:t>
      </w:r>
      <w:r>
        <w:rPr>
          <w:rFonts w:hint="eastAsia" w:ascii="宋体" w:hAnsi="宋体" w:cs="宋体"/>
          <w:sz w:val="24"/>
          <w:lang w:val="en-US" w:eastAsia="zh-CN"/>
        </w:rPr>
        <w:t>8</w:t>
      </w:r>
      <w:r>
        <w:rPr>
          <w:rFonts w:hint="eastAsia" w:ascii="宋体" w:hAnsi="宋体" w:cs="宋体"/>
          <w:sz w:val="24"/>
        </w:rPr>
        <w:t>月</w:t>
      </w:r>
      <w:r>
        <w:rPr>
          <w:rFonts w:hint="eastAsia" w:ascii="宋体" w:hAnsi="宋体" w:cs="宋体"/>
          <w:sz w:val="24"/>
          <w:lang w:val="en-US" w:eastAsia="zh-CN"/>
        </w:rPr>
        <w:t>5</w:t>
      </w:r>
      <w:r>
        <w:rPr>
          <w:rFonts w:hint="eastAsia" w:ascii="宋体" w:hAnsi="宋体" w:cs="宋体"/>
          <w:sz w:val="24"/>
        </w:rPr>
        <w:t>日</w:t>
      </w:r>
      <w:r>
        <w:rPr>
          <w:rFonts w:hint="eastAsia" w:ascii="宋体" w:hAnsi="宋体" w:cs="宋体"/>
          <w:sz w:val="24"/>
          <w:lang w:val="en-US" w:eastAsia="zh-CN"/>
        </w:rPr>
        <w:t>09时</w:t>
      </w:r>
      <w:r>
        <w:rPr>
          <w:rFonts w:hint="eastAsia" w:ascii="宋体" w:hAnsi="宋体" w:cs="宋体"/>
          <w:sz w:val="24"/>
        </w:rPr>
        <w:t xml:space="preserve">00分（北京时间） </w:t>
      </w:r>
    </w:p>
    <w:p>
      <w:pPr>
        <w:widowControl/>
        <w:spacing w:line="360" w:lineRule="auto"/>
        <w:ind w:firstLine="480" w:firstLineChars="200"/>
        <w:jc w:val="left"/>
        <w:rPr>
          <w:rFonts w:ascii="宋体" w:hAnsi="宋体" w:cs="宋体"/>
          <w:sz w:val="24"/>
        </w:rPr>
      </w:pPr>
      <w:r>
        <w:rPr>
          <w:rFonts w:hint="eastAsia" w:ascii="宋体" w:hAnsi="宋体" w:cs="宋体"/>
          <w:sz w:val="24"/>
        </w:rPr>
        <w:t xml:space="preserve">地点：网上开标大厅。请 各 投 标 人 在 开 标 前 登 录 网 上 开 标 大 （ http://ggzyjy.zibo.gov.cn:8188/BidOpening/bidopeninghallaction/hall/login）,在线准时参加报价活动并进行响应文件解密、答疑、澄清等。 </w:t>
      </w:r>
    </w:p>
    <w:p>
      <w:pPr>
        <w:widowControl/>
        <w:numPr>
          <w:ilvl w:val="0"/>
          <w:numId w:val="0"/>
        </w:numPr>
        <w:spacing w:line="360" w:lineRule="auto"/>
        <w:ind w:firstLine="480" w:firstLineChars="200"/>
        <w:jc w:val="left"/>
        <w:rPr>
          <w:rFonts w:hint="eastAsia" w:ascii="宋体" w:hAnsi="宋体" w:cs="宋体"/>
          <w:sz w:val="24"/>
          <w:highlight w:val="yellow"/>
          <w:lang w:val="en-US" w:eastAsia="zh-CN"/>
        </w:rPr>
      </w:pPr>
      <w:r>
        <w:rPr>
          <w:rFonts w:hint="eastAsia" w:ascii="宋体" w:hAnsi="宋体" w:cs="宋体"/>
          <w:sz w:val="24"/>
          <w:lang w:val="en-US" w:eastAsia="zh-CN"/>
        </w:rPr>
        <w:t>3、特别提醒：为保证谈判环节“有迹可循”，谈判小组现采用评标系统在线质询功能 与供应商进行谈判活动、澄清答疑和验证加分确认等事项。具体操作如下：谈判小组通过询标系统发出询标、谈判信息后，供应商必须登录淄博市公共资源交易 网（http://ggzyjy.zibo.gov.cn/）“投标人系统”，点击“在线质询”菜单，在现场规定 的时间内回复相应质询内容，确认无误后，点击签章提交即可。供应商回复成功后，谈判 小组可点击“查看”按钮查看供应商回复情况。未在现场规定的时间内通过“在线质询” 菜单中进行答复的，谈判小组将视同其放弃澄清、说明、补正等。</w:t>
      </w:r>
    </w:p>
    <w:p>
      <w:pPr>
        <w:pStyle w:val="36"/>
        <w:widowControl/>
        <w:spacing w:line="360" w:lineRule="auto"/>
        <w:outlineLvl w:val="1"/>
        <w:rPr>
          <w:rFonts w:asciiTheme="minorEastAsia" w:hAnsiTheme="minorEastAsia" w:eastAsiaTheme="minorEastAsia" w:cstheme="minorEastAsia"/>
          <w:b/>
          <w:bCs/>
        </w:rPr>
      </w:pPr>
      <w:bookmarkStart w:id="9" w:name="_Toc16603"/>
      <w:r>
        <w:rPr>
          <w:rFonts w:hint="eastAsia" w:asciiTheme="minorEastAsia" w:hAnsiTheme="minorEastAsia" w:eastAsiaTheme="minorEastAsia" w:cstheme="minorEastAsia"/>
          <w:b/>
          <w:bCs/>
        </w:rPr>
        <w:t>五、联系方式</w:t>
      </w:r>
      <w:bookmarkEnd w:id="9"/>
    </w:p>
    <w:p>
      <w:pPr>
        <w:spacing w:line="360" w:lineRule="auto"/>
        <w:ind w:firstLine="480" w:firstLineChars="200"/>
        <w:outlineLvl w:val="9"/>
        <w:rPr>
          <w:rFonts w:ascii="宋体" w:hAnsi="宋体" w:cs="宋体"/>
          <w:sz w:val="24"/>
        </w:rPr>
      </w:pPr>
      <w:r>
        <w:rPr>
          <w:rFonts w:hint="eastAsia" w:ascii="宋体" w:hAnsi="宋体" w:cs="宋体"/>
          <w:sz w:val="24"/>
        </w:rPr>
        <w:t>1.采购人</w:t>
      </w:r>
    </w:p>
    <w:p>
      <w:pPr>
        <w:spacing w:line="360" w:lineRule="auto"/>
        <w:ind w:firstLine="480" w:firstLineChars="200"/>
        <w:rPr>
          <w:rFonts w:ascii="宋体" w:hAnsi="宋体" w:cs="宋体"/>
          <w:sz w:val="24"/>
        </w:rPr>
      </w:pPr>
      <w:r>
        <w:rPr>
          <w:rFonts w:hint="eastAsia" w:ascii="宋体" w:hAnsi="宋体" w:cs="宋体"/>
          <w:sz w:val="24"/>
        </w:rPr>
        <w:t>联 系 人：淄博市传染病医院　　　　　　　　　　　</w:t>
      </w:r>
    </w:p>
    <w:p>
      <w:pPr>
        <w:spacing w:line="360" w:lineRule="auto"/>
        <w:ind w:firstLine="480" w:firstLineChars="200"/>
        <w:rPr>
          <w:rFonts w:ascii="宋体" w:hAnsi="宋体" w:cs="宋体"/>
          <w:sz w:val="24"/>
        </w:rPr>
      </w:pPr>
      <w:r>
        <w:rPr>
          <w:rFonts w:hint="eastAsia" w:ascii="宋体" w:hAnsi="宋体" w:cs="宋体"/>
          <w:sz w:val="24"/>
        </w:rPr>
        <w:t>联系地址：淄博市张店区山泉路210号</w:t>
      </w:r>
    </w:p>
    <w:p>
      <w:pPr>
        <w:spacing w:line="360" w:lineRule="auto"/>
        <w:ind w:firstLine="480" w:firstLineChars="200"/>
        <w:rPr>
          <w:rFonts w:ascii="宋体" w:hAnsi="宋体" w:cs="宋体"/>
          <w:sz w:val="24"/>
        </w:rPr>
      </w:pPr>
      <w:r>
        <w:rPr>
          <w:rFonts w:hint="eastAsia" w:ascii="宋体" w:hAnsi="宋体" w:cs="宋体"/>
          <w:sz w:val="24"/>
        </w:rPr>
        <w:t>联系电话：0533-2985084　　　　　　　　</w:t>
      </w:r>
    </w:p>
    <w:p>
      <w:pPr>
        <w:spacing w:line="360" w:lineRule="auto"/>
        <w:ind w:firstLine="480" w:firstLineChars="200"/>
        <w:rPr>
          <w:rFonts w:ascii="宋体" w:hAnsi="宋体" w:cs="宋体"/>
          <w:sz w:val="24"/>
        </w:rPr>
      </w:pPr>
      <w:r>
        <w:rPr>
          <w:rFonts w:hint="eastAsia" w:ascii="宋体" w:hAnsi="宋体" w:cs="宋体"/>
          <w:sz w:val="24"/>
        </w:rPr>
        <w:t>2.财政部门</w:t>
      </w:r>
    </w:p>
    <w:p>
      <w:pPr>
        <w:spacing w:line="360" w:lineRule="auto"/>
        <w:ind w:firstLine="480" w:firstLineChars="200"/>
        <w:rPr>
          <w:rFonts w:ascii="宋体" w:hAnsi="宋体" w:cs="宋体"/>
          <w:sz w:val="24"/>
        </w:rPr>
      </w:pPr>
      <w:r>
        <w:rPr>
          <w:rFonts w:hint="eastAsia" w:ascii="宋体" w:hAnsi="宋体" w:cs="宋体"/>
          <w:sz w:val="24"/>
        </w:rPr>
        <w:t>联 系 人：淄博市财政局　　　　　　　　</w:t>
      </w:r>
    </w:p>
    <w:p>
      <w:pPr>
        <w:spacing w:line="360" w:lineRule="auto"/>
        <w:ind w:firstLine="480" w:firstLineChars="200"/>
        <w:rPr>
          <w:rFonts w:ascii="宋体" w:hAnsi="宋体" w:cs="宋体"/>
          <w:sz w:val="24"/>
        </w:rPr>
      </w:pPr>
      <w:r>
        <w:rPr>
          <w:rFonts w:hint="eastAsia" w:ascii="宋体" w:hAnsi="宋体" w:cs="宋体"/>
          <w:sz w:val="24"/>
        </w:rPr>
        <w:t>联系地址：淄博市张店区联通路306号　　　　　　　　　　　</w:t>
      </w:r>
    </w:p>
    <w:p>
      <w:pPr>
        <w:spacing w:line="360" w:lineRule="auto"/>
        <w:ind w:firstLine="480" w:firstLineChars="200"/>
        <w:rPr>
          <w:rFonts w:asciiTheme="minorEastAsia" w:hAnsiTheme="minorEastAsia" w:eastAsiaTheme="minorEastAsia" w:cstheme="minorEastAsia"/>
          <w:sz w:val="24"/>
        </w:rPr>
      </w:pPr>
      <w:r>
        <w:rPr>
          <w:rFonts w:hint="eastAsia" w:ascii="宋体" w:hAnsi="宋体" w:cs="宋体"/>
          <w:sz w:val="24"/>
        </w:rPr>
        <w:t>联系电话：0533-3</w:t>
      </w:r>
      <w:r>
        <w:rPr>
          <w:rFonts w:hint="eastAsia" w:ascii="宋体" w:hAnsi="宋体" w:cs="宋体"/>
          <w:sz w:val="24"/>
          <w:lang w:val="en-US" w:eastAsia="zh-CN"/>
        </w:rPr>
        <w:t>887227</w:t>
      </w:r>
      <w:r>
        <w:rPr>
          <w:rFonts w:hint="eastAsia" w:ascii="宋体" w:hAnsi="宋体" w:cs="宋体"/>
          <w:sz w:val="24"/>
        </w:rPr>
        <w:t>　　　　　</w:t>
      </w:r>
      <w:r>
        <w:rPr>
          <w:rFonts w:hint="eastAsia" w:asciiTheme="minorEastAsia" w:hAnsiTheme="minorEastAsia" w:eastAsiaTheme="minorEastAsia" w:cstheme="minorEastAsia"/>
          <w:sz w:val="24"/>
        </w:rPr>
        <w:t>　　　　　　　</w:t>
      </w:r>
    </w:p>
    <w:p>
      <w:pPr>
        <w:spacing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3.采购代理机构</w:t>
      </w:r>
    </w:p>
    <w:p>
      <w:pPr>
        <w:spacing w:line="360" w:lineRule="auto"/>
        <w:ind w:firstLine="480" w:firstLineChars="200"/>
        <w:rPr>
          <w:rFonts w:hint="eastAsia" w:ascii="宋体" w:hAnsi="宋体" w:eastAsia="宋体" w:cs="宋体"/>
          <w:sz w:val="24"/>
          <w:lang w:eastAsia="zh-CN"/>
        </w:rPr>
      </w:pPr>
      <w:r>
        <w:rPr>
          <w:rFonts w:hint="eastAsia" w:ascii="宋体" w:hAnsi="宋体" w:cs="宋体"/>
          <w:sz w:val="24"/>
        </w:rPr>
        <w:t>名    称：</w:t>
      </w:r>
      <w:r>
        <w:rPr>
          <w:rFonts w:hint="eastAsia" w:ascii="宋体" w:hAnsi="宋体" w:cs="宋体"/>
          <w:sz w:val="24"/>
          <w:lang w:eastAsia="zh-CN"/>
        </w:rPr>
        <w:t>山东东成建设咨询有限公司淄博分公司</w:t>
      </w:r>
    </w:p>
    <w:p>
      <w:pPr>
        <w:spacing w:line="360" w:lineRule="auto"/>
        <w:ind w:firstLine="480" w:firstLineChars="200"/>
        <w:rPr>
          <w:rFonts w:ascii="宋体" w:hAnsi="宋体" w:cs="宋体"/>
          <w:sz w:val="24"/>
        </w:rPr>
      </w:pPr>
      <w:r>
        <w:rPr>
          <w:rFonts w:hint="eastAsia" w:ascii="宋体" w:hAnsi="宋体" w:cs="宋体"/>
          <w:sz w:val="24"/>
        </w:rPr>
        <w:t>联 系 人：翟小丽　　　　　　　　　</w:t>
      </w:r>
    </w:p>
    <w:p>
      <w:pPr>
        <w:spacing w:line="360" w:lineRule="auto"/>
        <w:ind w:firstLine="480" w:firstLineChars="200"/>
        <w:rPr>
          <w:rFonts w:ascii="宋体" w:hAnsi="宋体" w:cs="宋体"/>
          <w:sz w:val="24"/>
        </w:rPr>
      </w:pPr>
      <w:r>
        <w:rPr>
          <w:rFonts w:hint="eastAsia" w:ascii="宋体" w:hAnsi="宋体" w:cs="宋体"/>
          <w:sz w:val="24"/>
        </w:rPr>
        <w:t>联系地址：淄博高新区张桓路77号天行健大厦5楼　　　　　　</w:t>
      </w:r>
    </w:p>
    <w:p>
      <w:pPr>
        <w:spacing w:line="360" w:lineRule="auto"/>
        <w:ind w:firstLine="480" w:firstLineChars="200"/>
        <w:rPr>
          <w:rFonts w:ascii="宋体" w:hAnsi="宋体" w:cs="宋体"/>
          <w:sz w:val="24"/>
        </w:rPr>
      </w:pPr>
      <w:r>
        <w:rPr>
          <w:rFonts w:hint="eastAsia" w:ascii="宋体" w:hAnsi="宋体" w:cs="宋体"/>
          <w:sz w:val="24"/>
        </w:rPr>
        <w:t>联系电话：0533-8039552　　　　　　　　</w:t>
      </w:r>
    </w:p>
    <w:p>
      <w:pPr>
        <w:spacing w:line="360" w:lineRule="auto"/>
        <w:outlineLvl w:val="1"/>
        <w:rPr>
          <w:rFonts w:asciiTheme="minorEastAsia" w:hAnsiTheme="minorEastAsia" w:eastAsiaTheme="minorEastAsia" w:cstheme="minorEastAsia"/>
          <w:b/>
          <w:bCs/>
          <w:sz w:val="24"/>
        </w:rPr>
      </w:pPr>
      <w:bookmarkStart w:id="10" w:name="_Toc9483"/>
      <w:r>
        <w:rPr>
          <w:rFonts w:hint="eastAsia" w:asciiTheme="minorEastAsia" w:hAnsiTheme="minorEastAsia" w:eastAsiaTheme="minorEastAsia" w:cstheme="minorEastAsia"/>
          <w:b/>
          <w:bCs/>
          <w:sz w:val="24"/>
        </w:rPr>
        <w:t>六、附件</w:t>
      </w:r>
      <w:bookmarkEnd w:id="10"/>
    </w:p>
    <w:p>
      <w:pPr>
        <w:spacing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专业人员论证意见（详见附件）</w:t>
      </w:r>
    </w:p>
    <w:p>
      <w:pPr>
        <w:pStyle w:val="5"/>
        <w:spacing w:before="0" w:after="0" w:line="360" w:lineRule="auto"/>
        <w:ind w:firstLine="562" w:firstLineChars="200"/>
        <w:rPr>
          <w:rFonts w:ascii="仿宋" w:hAnsi="仿宋" w:eastAsia="仿宋"/>
          <w:sz w:val="28"/>
          <w:szCs w:val="28"/>
        </w:rPr>
      </w:pPr>
    </w:p>
    <w:p>
      <w:pPr>
        <w:spacing w:line="360" w:lineRule="auto"/>
        <w:ind w:firstLine="560" w:firstLineChars="200"/>
        <w:rPr>
          <w:rFonts w:ascii="仿宋" w:hAnsi="仿宋" w:eastAsia="仿宋"/>
          <w:sz w:val="28"/>
          <w:szCs w:val="28"/>
        </w:rPr>
      </w:pPr>
    </w:p>
    <w:p>
      <w:pPr>
        <w:pStyle w:val="16"/>
        <w:spacing w:before="0" w:line="360" w:lineRule="auto"/>
        <w:ind w:firstLine="560" w:firstLineChars="200"/>
        <w:rPr>
          <w:rFonts w:ascii="仿宋" w:hAnsi="仿宋" w:eastAsia="仿宋"/>
          <w:sz w:val="28"/>
          <w:szCs w:val="28"/>
        </w:rPr>
      </w:pPr>
    </w:p>
    <w:p>
      <w:pPr>
        <w:pStyle w:val="16"/>
        <w:spacing w:before="0" w:line="360" w:lineRule="auto"/>
        <w:ind w:firstLine="560" w:firstLineChars="200"/>
        <w:rPr>
          <w:rFonts w:ascii="仿宋" w:hAnsi="仿宋" w:eastAsia="仿宋"/>
          <w:sz w:val="28"/>
          <w:szCs w:val="28"/>
        </w:rPr>
      </w:pPr>
    </w:p>
    <w:p>
      <w:pPr>
        <w:pStyle w:val="16"/>
        <w:spacing w:before="0" w:line="360" w:lineRule="auto"/>
        <w:ind w:firstLine="560" w:firstLineChars="200"/>
        <w:rPr>
          <w:rFonts w:ascii="仿宋" w:hAnsi="仿宋" w:eastAsia="仿宋"/>
          <w:sz w:val="28"/>
          <w:szCs w:val="28"/>
        </w:rPr>
      </w:pPr>
    </w:p>
    <w:p>
      <w:pPr>
        <w:pStyle w:val="16"/>
        <w:spacing w:before="0" w:line="360" w:lineRule="auto"/>
        <w:ind w:firstLine="560" w:firstLineChars="200"/>
        <w:rPr>
          <w:rFonts w:ascii="仿宋" w:hAnsi="仿宋" w:eastAsia="仿宋"/>
          <w:sz w:val="28"/>
          <w:szCs w:val="28"/>
        </w:rPr>
      </w:pPr>
    </w:p>
    <w:p>
      <w:pPr>
        <w:pStyle w:val="16"/>
        <w:spacing w:before="0" w:line="360" w:lineRule="auto"/>
        <w:ind w:firstLine="560" w:firstLineChars="200"/>
        <w:rPr>
          <w:rFonts w:ascii="仿宋" w:hAnsi="仿宋" w:eastAsia="仿宋"/>
          <w:sz w:val="28"/>
          <w:szCs w:val="28"/>
        </w:rPr>
      </w:pPr>
    </w:p>
    <w:p>
      <w:pPr>
        <w:pStyle w:val="16"/>
        <w:spacing w:before="0" w:line="360" w:lineRule="auto"/>
        <w:ind w:firstLine="560" w:firstLineChars="200"/>
        <w:rPr>
          <w:rFonts w:ascii="仿宋" w:hAnsi="仿宋" w:eastAsia="仿宋"/>
          <w:sz w:val="28"/>
          <w:szCs w:val="28"/>
        </w:rPr>
      </w:pPr>
    </w:p>
    <w:p>
      <w:pPr>
        <w:pStyle w:val="16"/>
        <w:spacing w:before="0" w:line="360" w:lineRule="auto"/>
        <w:ind w:firstLine="560" w:firstLineChars="200"/>
        <w:rPr>
          <w:rFonts w:ascii="仿宋" w:hAnsi="仿宋" w:eastAsia="仿宋"/>
          <w:sz w:val="28"/>
          <w:szCs w:val="28"/>
        </w:rPr>
      </w:pPr>
    </w:p>
    <w:p>
      <w:pPr>
        <w:pStyle w:val="16"/>
        <w:spacing w:before="0" w:line="360" w:lineRule="auto"/>
        <w:ind w:firstLine="560" w:firstLineChars="200"/>
        <w:rPr>
          <w:rFonts w:ascii="仿宋" w:hAnsi="仿宋" w:eastAsia="仿宋"/>
          <w:sz w:val="28"/>
          <w:szCs w:val="28"/>
        </w:rPr>
      </w:pPr>
    </w:p>
    <w:p>
      <w:pPr>
        <w:pStyle w:val="16"/>
        <w:spacing w:before="0" w:line="360" w:lineRule="auto"/>
        <w:ind w:firstLine="560" w:firstLineChars="200"/>
        <w:rPr>
          <w:rFonts w:ascii="仿宋" w:hAnsi="仿宋" w:eastAsia="仿宋"/>
          <w:sz w:val="28"/>
          <w:szCs w:val="28"/>
        </w:rPr>
      </w:pPr>
    </w:p>
    <w:p>
      <w:pPr>
        <w:pStyle w:val="16"/>
        <w:spacing w:before="0" w:line="360" w:lineRule="auto"/>
        <w:ind w:firstLine="560" w:firstLineChars="200"/>
        <w:rPr>
          <w:rFonts w:ascii="仿宋" w:hAnsi="仿宋" w:eastAsia="仿宋"/>
          <w:sz w:val="28"/>
          <w:szCs w:val="28"/>
        </w:rPr>
      </w:pPr>
    </w:p>
    <w:p>
      <w:pPr>
        <w:pStyle w:val="16"/>
        <w:spacing w:before="0" w:line="360" w:lineRule="auto"/>
        <w:ind w:firstLine="560" w:firstLineChars="200"/>
        <w:rPr>
          <w:rFonts w:ascii="仿宋" w:hAnsi="仿宋" w:eastAsia="仿宋"/>
          <w:sz w:val="28"/>
          <w:szCs w:val="28"/>
        </w:rPr>
      </w:pPr>
    </w:p>
    <w:p>
      <w:pPr>
        <w:pStyle w:val="16"/>
        <w:spacing w:before="0" w:line="360" w:lineRule="auto"/>
        <w:ind w:firstLine="560" w:firstLineChars="200"/>
        <w:rPr>
          <w:rFonts w:ascii="仿宋" w:hAnsi="仿宋" w:eastAsia="仿宋"/>
          <w:sz w:val="28"/>
          <w:szCs w:val="28"/>
        </w:rPr>
      </w:pPr>
    </w:p>
    <w:p>
      <w:pPr>
        <w:pStyle w:val="16"/>
        <w:spacing w:before="0" w:line="360" w:lineRule="auto"/>
        <w:ind w:firstLine="560" w:firstLineChars="200"/>
        <w:rPr>
          <w:rFonts w:ascii="仿宋" w:hAnsi="仿宋" w:eastAsia="仿宋"/>
          <w:sz w:val="28"/>
          <w:szCs w:val="28"/>
        </w:rPr>
      </w:pPr>
    </w:p>
    <w:p>
      <w:pPr>
        <w:pStyle w:val="16"/>
        <w:spacing w:before="0" w:line="360" w:lineRule="auto"/>
        <w:ind w:firstLine="560" w:firstLineChars="200"/>
        <w:rPr>
          <w:rFonts w:ascii="仿宋" w:hAnsi="仿宋" w:eastAsia="仿宋"/>
          <w:sz w:val="28"/>
          <w:szCs w:val="28"/>
        </w:rPr>
      </w:pPr>
    </w:p>
    <w:p>
      <w:pPr>
        <w:pStyle w:val="16"/>
        <w:spacing w:before="0" w:line="360" w:lineRule="auto"/>
        <w:ind w:firstLine="560" w:firstLineChars="200"/>
        <w:rPr>
          <w:rFonts w:ascii="仿宋" w:hAnsi="仿宋" w:eastAsia="仿宋"/>
          <w:sz w:val="28"/>
          <w:szCs w:val="28"/>
        </w:rPr>
      </w:pPr>
    </w:p>
    <w:p>
      <w:pPr>
        <w:pStyle w:val="16"/>
        <w:spacing w:before="0" w:line="360" w:lineRule="auto"/>
        <w:ind w:firstLine="560" w:firstLineChars="200"/>
        <w:rPr>
          <w:rFonts w:ascii="仿宋" w:hAnsi="仿宋" w:eastAsia="仿宋"/>
          <w:sz w:val="28"/>
          <w:szCs w:val="28"/>
        </w:rPr>
      </w:pPr>
    </w:p>
    <w:p>
      <w:pPr>
        <w:pStyle w:val="16"/>
        <w:spacing w:before="0" w:line="360" w:lineRule="auto"/>
        <w:ind w:firstLine="560" w:firstLineChars="200"/>
        <w:rPr>
          <w:rFonts w:ascii="仿宋" w:hAnsi="仿宋" w:eastAsia="仿宋"/>
          <w:sz w:val="28"/>
          <w:szCs w:val="28"/>
        </w:rPr>
      </w:pPr>
    </w:p>
    <w:p>
      <w:pPr>
        <w:pStyle w:val="16"/>
        <w:spacing w:before="0" w:line="360" w:lineRule="auto"/>
        <w:ind w:firstLine="560" w:firstLineChars="200"/>
        <w:rPr>
          <w:rFonts w:ascii="仿宋" w:hAnsi="仿宋" w:eastAsia="仿宋"/>
          <w:sz w:val="28"/>
          <w:szCs w:val="28"/>
        </w:rPr>
      </w:pPr>
    </w:p>
    <w:p>
      <w:pPr>
        <w:pStyle w:val="16"/>
        <w:spacing w:before="0" w:line="360" w:lineRule="auto"/>
        <w:ind w:firstLine="560" w:firstLineChars="200"/>
        <w:rPr>
          <w:rFonts w:ascii="仿宋" w:hAnsi="仿宋" w:eastAsia="仿宋"/>
          <w:sz w:val="28"/>
          <w:szCs w:val="28"/>
        </w:rPr>
      </w:pPr>
    </w:p>
    <w:p>
      <w:pPr>
        <w:pStyle w:val="16"/>
        <w:spacing w:before="0" w:line="360" w:lineRule="auto"/>
        <w:ind w:firstLine="560" w:firstLineChars="200"/>
        <w:rPr>
          <w:rFonts w:ascii="仿宋" w:hAnsi="仿宋" w:eastAsia="仿宋"/>
          <w:sz w:val="28"/>
          <w:szCs w:val="28"/>
        </w:rPr>
      </w:pPr>
    </w:p>
    <w:p>
      <w:pPr>
        <w:pStyle w:val="3"/>
        <w:numPr>
          <w:ilvl w:val="0"/>
          <w:numId w:val="0"/>
        </w:numPr>
        <w:tabs>
          <w:tab w:val="left" w:pos="0"/>
        </w:tabs>
        <w:spacing w:before="0" w:after="0" w:line="560" w:lineRule="exact"/>
        <w:jc w:val="center"/>
        <w:rPr>
          <w:rFonts w:ascii="仿宋" w:hAnsi="仿宋" w:eastAsia="仿宋"/>
          <w:sz w:val="28"/>
          <w:szCs w:val="28"/>
        </w:rPr>
      </w:pPr>
      <w:bookmarkStart w:id="11" w:name="_Toc26145"/>
      <w:bookmarkStart w:id="12" w:name="_Toc515647756"/>
      <w:r>
        <w:rPr>
          <w:rFonts w:hint="eastAsia" w:hAnsi="宋体"/>
          <w:lang w:eastAsia="zh-CN"/>
        </w:rPr>
        <w:t>第二章</w:t>
      </w:r>
      <w:r>
        <w:rPr>
          <w:rFonts w:hint="eastAsia" w:hAnsi="宋体"/>
          <w:lang w:val="en-US" w:eastAsia="zh-CN"/>
        </w:rPr>
        <w:t xml:space="preserve"> </w:t>
      </w:r>
      <w:r>
        <w:rPr>
          <w:rFonts w:hint="eastAsia" w:hAnsi="宋体"/>
        </w:rPr>
        <w:t>供应商须知</w:t>
      </w:r>
      <w:bookmarkEnd w:id="11"/>
      <w:bookmarkEnd w:id="12"/>
    </w:p>
    <w:tbl>
      <w:tblPr>
        <w:tblStyle w:val="38"/>
        <w:tblpPr w:leftFromText="180" w:rightFromText="180" w:vertAnchor="text" w:horzAnchor="page" w:tblpXSpec="center" w:tblpY="561"/>
        <w:tblOverlap w:val="never"/>
        <w:tblW w:w="9047"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54"/>
        <w:gridCol w:w="8093"/>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37" w:hRule="atLeast"/>
          <w:jc w:val="center"/>
        </w:trPr>
        <w:tc>
          <w:tcPr>
            <w:tcW w:w="9047" w:type="dxa"/>
            <w:gridSpan w:val="2"/>
            <w:vAlign w:val="center"/>
          </w:tcPr>
          <w:p>
            <w:pPr>
              <w:keepNext w:val="0"/>
              <w:keepLines w:val="0"/>
              <w:suppressLineNumbers w:val="0"/>
              <w:spacing w:before="0" w:beforeAutospacing="0" w:after="0" w:afterAutospacing="0" w:line="560" w:lineRule="exact"/>
              <w:ind w:left="0" w:right="0"/>
              <w:jc w:val="center"/>
              <w:rPr>
                <w:rFonts w:hint="default" w:ascii="宋体" w:hAnsi="宋体"/>
                <w:b/>
                <w:sz w:val="24"/>
              </w:rPr>
            </w:pPr>
            <w:bookmarkStart w:id="13" w:name="_Toc10349"/>
            <w:r>
              <w:rPr>
                <w:rFonts w:hint="eastAsia" w:ascii="宋体" w:hAnsi="宋体" w:cs="宋体"/>
                <w:b/>
                <w:sz w:val="24"/>
              </w:rPr>
              <w:t>供应商须知资料表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75" w:hRule="atLeast"/>
          <w:jc w:val="center"/>
        </w:trPr>
        <w:tc>
          <w:tcPr>
            <w:tcW w:w="954" w:type="dxa"/>
            <w:vAlign w:val="center"/>
          </w:tcPr>
          <w:p>
            <w:pPr>
              <w:keepNext w:val="0"/>
              <w:keepLines w:val="0"/>
              <w:suppressLineNumbers w:val="0"/>
              <w:spacing w:before="0" w:beforeAutospacing="0" w:after="0" w:afterAutospacing="0" w:line="560" w:lineRule="exact"/>
              <w:ind w:left="0" w:right="0"/>
              <w:jc w:val="center"/>
              <w:rPr>
                <w:rFonts w:hint="default" w:ascii="宋体" w:hAnsi="宋体"/>
                <w:sz w:val="24"/>
              </w:rPr>
            </w:pPr>
            <w:r>
              <w:rPr>
                <w:rFonts w:hint="eastAsia" w:ascii="宋体" w:hAnsi="宋体"/>
                <w:sz w:val="24"/>
              </w:rPr>
              <w:t>条款号</w:t>
            </w:r>
          </w:p>
        </w:tc>
        <w:tc>
          <w:tcPr>
            <w:tcW w:w="8093" w:type="dxa"/>
            <w:vAlign w:val="center"/>
          </w:tcPr>
          <w:p>
            <w:pPr>
              <w:keepNext w:val="0"/>
              <w:keepLines w:val="0"/>
              <w:suppressLineNumbers w:val="0"/>
              <w:spacing w:before="0" w:beforeAutospacing="0" w:after="0" w:afterAutospacing="0" w:line="560" w:lineRule="exact"/>
              <w:ind w:left="0" w:right="0" w:firstLine="2891" w:firstLineChars="1200"/>
              <w:jc w:val="both"/>
              <w:rPr>
                <w:rFonts w:hint="default" w:ascii="宋体" w:hAnsi="宋体"/>
                <w:b/>
                <w:sz w:val="24"/>
              </w:rPr>
            </w:pPr>
            <w:r>
              <w:rPr>
                <w:rFonts w:hint="eastAsia" w:ascii="宋体" w:hAnsi="宋体"/>
                <w:b/>
                <w:sz w:val="24"/>
              </w:rPr>
              <w:t>内</w:t>
            </w:r>
            <w:r>
              <w:rPr>
                <w:rFonts w:hint="default" w:ascii="宋体" w:hAnsi="宋体"/>
                <w:b/>
                <w:sz w:val="24"/>
              </w:rPr>
              <w:t xml:space="preserve">      </w:t>
            </w:r>
            <w:r>
              <w:rPr>
                <w:rFonts w:hint="eastAsia" w:ascii="宋体" w:hAnsi="宋体"/>
                <w:b/>
                <w:sz w:val="24"/>
              </w:rPr>
              <w:t>容</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96" w:hRule="atLeast"/>
          <w:jc w:val="center"/>
        </w:trPr>
        <w:tc>
          <w:tcPr>
            <w:tcW w:w="954" w:type="dxa"/>
            <w:vAlign w:val="center"/>
          </w:tcPr>
          <w:p>
            <w:pPr>
              <w:keepNext w:val="0"/>
              <w:keepLines w:val="0"/>
              <w:suppressLineNumbers w:val="0"/>
              <w:spacing w:before="0" w:beforeAutospacing="0" w:after="0" w:afterAutospacing="0" w:line="440" w:lineRule="exact"/>
              <w:ind w:left="0" w:right="0"/>
              <w:jc w:val="center"/>
              <w:rPr>
                <w:rFonts w:hint="default" w:ascii="宋体" w:hAnsi="宋体"/>
                <w:sz w:val="24"/>
              </w:rPr>
            </w:pPr>
            <w:r>
              <w:rPr>
                <w:rFonts w:hint="default" w:ascii="宋体" w:hAnsi="宋体"/>
                <w:sz w:val="24"/>
              </w:rPr>
              <w:t>1.1</w:t>
            </w:r>
          </w:p>
        </w:tc>
        <w:tc>
          <w:tcPr>
            <w:tcW w:w="8093" w:type="dxa"/>
            <w:vAlign w:val="center"/>
          </w:tcPr>
          <w:p>
            <w:pPr>
              <w:keepNext w:val="0"/>
              <w:keepLines w:val="0"/>
              <w:suppressLineNumbers w:val="0"/>
              <w:spacing w:before="0" w:beforeAutospacing="0" w:after="0" w:afterAutospacing="0" w:line="440" w:lineRule="exact"/>
              <w:ind w:left="0" w:right="0"/>
              <w:rPr>
                <w:rFonts w:hint="default" w:ascii="宋体" w:hAnsi="宋体"/>
                <w:sz w:val="24"/>
              </w:rPr>
            </w:pPr>
            <w:r>
              <w:rPr>
                <w:rFonts w:hint="eastAsia" w:ascii="宋体" w:hAnsi="宋体"/>
                <w:sz w:val="24"/>
              </w:rPr>
              <w:t>采购人：淄博市传染病医院</w:t>
            </w:r>
          </w:p>
          <w:p>
            <w:pPr>
              <w:keepNext w:val="0"/>
              <w:keepLines w:val="0"/>
              <w:suppressLineNumbers w:val="0"/>
              <w:spacing w:before="0" w:beforeAutospacing="0" w:after="0" w:afterAutospacing="0" w:line="440" w:lineRule="exact"/>
              <w:ind w:left="0" w:right="0"/>
              <w:rPr>
                <w:rFonts w:hint="default" w:ascii="宋体" w:hAnsi="宋体"/>
                <w:sz w:val="24"/>
              </w:rPr>
            </w:pPr>
            <w:r>
              <w:rPr>
                <w:rFonts w:hint="eastAsia" w:ascii="宋体" w:hAnsi="宋体"/>
                <w:sz w:val="24"/>
              </w:rPr>
              <w:t>地  址：淄博市张店区山泉路210号</w:t>
            </w:r>
          </w:p>
          <w:p>
            <w:pPr>
              <w:pStyle w:val="90"/>
              <w:keepNext w:val="0"/>
              <w:keepLines w:val="0"/>
              <w:suppressLineNumbers w:val="0"/>
              <w:spacing w:before="0" w:beforeAutospacing="0" w:after="0" w:afterAutospacing="0" w:line="440" w:lineRule="exact"/>
              <w:ind w:left="0" w:right="0" w:firstLine="0" w:firstLineChars="0"/>
              <w:rPr>
                <w:rFonts w:hint="default" w:ascii="宋体" w:hAnsi="宋体"/>
                <w:u w:val="single"/>
              </w:rPr>
            </w:pPr>
            <w:r>
              <w:rPr>
                <w:rFonts w:hint="eastAsia" w:ascii="宋体" w:hAnsi="宋体"/>
              </w:rPr>
              <w:t>电  话：05</w:t>
            </w:r>
            <w:r>
              <w:rPr>
                <w:rFonts w:hint="eastAsia" w:ascii="宋体" w:hAnsi="宋体"/>
                <w:lang w:val="en-US" w:eastAsia="zh-CN"/>
              </w:rPr>
              <w:t>33</w:t>
            </w:r>
            <w:r>
              <w:rPr>
                <w:rFonts w:hint="eastAsia" w:ascii="宋体" w:hAnsi="宋体"/>
              </w:rPr>
              <w:t>-2985084</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jc w:val="center"/>
        </w:trPr>
        <w:tc>
          <w:tcPr>
            <w:tcW w:w="954" w:type="dxa"/>
            <w:vAlign w:val="center"/>
          </w:tcPr>
          <w:p>
            <w:pPr>
              <w:keepNext w:val="0"/>
              <w:keepLines w:val="0"/>
              <w:suppressLineNumbers w:val="0"/>
              <w:spacing w:before="0" w:beforeAutospacing="0" w:after="0" w:afterAutospacing="0" w:line="440" w:lineRule="exact"/>
              <w:ind w:left="0" w:right="0"/>
              <w:jc w:val="center"/>
              <w:rPr>
                <w:rFonts w:hint="default" w:ascii="宋体" w:hAnsi="宋体"/>
                <w:sz w:val="24"/>
              </w:rPr>
            </w:pPr>
            <w:r>
              <w:rPr>
                <w:rFonts w:hint="default" w:ascii="宋体" w:hAnsi="宋体"/>
                <w:sz w:val="24"/>
              </w:rPr>
              <w:t>1.2</w:t>
            </w:r>
          </w:p>
        </w:tc>
        <w:tc>
          <w:tcPr>
            <w:tcW w:w="8093" w:type="dxa"/>
            <w:vAlign w:val="center"/>
          </w:tcPr>
          <w:p>
            <w:pPr>
              <w:keepNext w:val="0"/>
              <w:keepLines w:val="0"/>
              <w:suppressLineNumbers w:val="0"/>
              <w:spacing w:before="0" w:beforeAutospacing="0" w:after="0" w:afterAutospacing="0" w:line="440" w:lineRule="exact"/>
              <w:ind w:left="0" w:right="0"/>
              <w:rPr>
                <w:rFonts w:hint="eastAsia" w:ascii="宋体" w:hAnsi="宋体" w:eastAsia="宋体"/>
                <w:sz w:val="24"/>
                <w:lang w:eastAsia="zh-CN"/>
              </w:rPr>
            </w:pPr>
            <w:r>
              <w:rPr>
                <w:rFonts w:hint="eastAsia" w:ascii="宋体" w:hAnsi="宋体"/>
                <w:sz w:val="24"/>
              </w:rPr>
              <w:t>采购代理机构：</w:t>
            </w:r>
            <w:r>
              <w:rPr>
                <w:rFonts w:hint="eastAsia" w:ascii="宋体" w:hAnsi="宋体"/>
                <w:sz w:val="24"/>
                <w:lang w:eastAsia="zh-CN"/>
              </w:rPr>
              <w:t>山东东成建设咨询有限公司淄博分公司</w:t>
            </w:r>
          </w:p>
          <w:p>
            <w:pPr>
              <w:keepNext w:val="0"/>
              <w:keepLines w:val="0"/>
              <w:suppressLineNumbers w:val="0"/>
              <w:spacing w:before="0" w:beforeAutospacing="0" w:after="0" w:afterAutospacing="0" w:line="440" w:lineRule="exact"/>
              <w:ind w:left="0" w:right="0"/>
              <w:rPr>
                <w:rFonts w:hint="eastAsia" w:ascii="宋体" w:hAnsi="宋体"/>
                <w:sz w:val="24"/>
              </w:rPr>
            </w:pPr>
            <w:r>
              <w:rPr>
                <w:rFonts w:hint="eastAsia" w:ascii="宋体" w:hAnsi="宋体"/>
                <w:sz w:val="24"/>
              </w:rPr>
              <w:t>地  址：淄博高新区张桓路77号天行健大厦5楼　</w:t>
            </w:r>
          </w:p>
          <w:p>
            <w:pPr>
              <w:keepNext w:val="0"/>
              <w:keepLines w:val="0"/>
              <w:suppressLineNumbers w:val="0"/>
              <w:spacing w:before="0" w:beforeAutospacing="0" w:after="0" w:afterAutospacing="0" w:line="440" w:lineRule="exact"/>
              <w:ind w:left="0" w:right="0"/>
              <w:rPr>
                <w:rFonts w:hint="eastAsia" w:ascii="宋体" w:hAnsi="宋体"/>
                <w:sz w:val="24"/>
              </w:rPr>
            </w:pPr>
            <w:r>
              <w:rPr>
                <w:rFonts w:hint="eastAsia" w:ascii="宋体" w:hAnsi="宋体"/>
                <w:sz w:val="24"/>
              </w:rPr>
              <w:t>业务联系人：翟小丽     电话：0533-8039552　</w:t>
            </w:r>
          </w:p>
          <w:p>
            <w:pPr>
              <w:keepNext w:val="0"/>
              <w:keepLines w:val="0"/>
              <w:suppressLineNumbers w:val="0"/>
              <w:spacing w:before="0" w:beforeAutospacing="0" w:after="0" w:afterAutospacing="0" w:line="440" w:lineRule="exact"/>
              <w:ind w:left="0" w:right="0"/>
              <w:rPr>
                <w:rFonts w:hint="default"/>
              </w:rPr>
            </w:pPr>
            <w:r>
              <w:rPr>
                <w:rFonts w:hint="eastAsia" w:ascii="宋体" w:hAnsi="宋体"/>
                <w:sz w:val="24"/>
                <w:lang w:eastAsia="zh-CN"/>
              </w:rPr>
              <w:t>邮箱</w:t>
            </w:r>
            <w:r>
              <w:rPr>
                <w:rFonts w:hint="eastAsia" w:ascii="宋体" w:hAnsi="宋体"/>
                <w:sz w:val="24"/>
              </w:rPr>
              <w:t>sddczbfgs@163.com</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jc w:val="center"/>
        </w:trPr>
        <w:tc>
          <w:tcPr>
            <w:tcW w:w="954" w:type="dxa"/>
            <w:vAlign w:val="center"/>
          </w:tcPr>
          <w:p>
            <w:pPr>
              <w:keepNext w:val="0"/>
              <w:keepLines w:val="0"/>
              <w:suppressLineNumbers w:val="0"/>
              <w:spacing w:before="0" w:beforeAutospacing="0" w:after="0" w:afterAutospacing="0" w:line="440" w:lineRule="exact"/>
              <w:ind w:left="0" w:right="0"/>
              <w:jc w:val="center"/>
              <w:rPr>
                <w:rFonts w:hint="default" w:ascii="宋体" w:hAnsi="宋体" w:cs="宋体"/>
                <w:sz w:val="24"/>
              </w:rPr>
            </w:pPr>
            <w:r>
              <w:rPr>
                <w:rFonts w:hint="eastAsia" w:ascii="宋体" w:hAnsi="宋体" w:cs="宋体"/>
                <w:sz w:val="24"/>
              </w:rPr>
              <w:t>1.3.4</w:t>
            </w:r>
          </w:p>
        </w:tc>
        <w:tc>
          <w:tcPr>
            <w:tcW w:w="8093" w:type="dxa"/>
            <w:vAlign w:val="center"/>
          </w:tcPr>
          <w:p>
            <w:pPr>
              <w:keepNext w:val="0"/>
              <w:keepLines w:val="0"/>
              <w:suppressLineNumbers w:val="0"/>
              <w:spacing w:before="0" w:beforeAutospacing="0" w:after="0" w:afterAutospacing="0" w:line="440" w:lineRule="exact"/>
              <w:ind w:left="0" w:right="0"/>
              <w:rPr>
                <w:rFonts w:hint="default" w:ascii="宋体" w:hAnsi="宋体" w:cs="宋体"/>
                <w:sz w:val="24"/>
              </w:rPr>
            </w:pPr>
            <w:r>
              <w:rPr>
                <w:rFonts w:hint="eastAsia" w:ascii="宋体" w:hAnsi="宋体" w:cs="宋体"/>
                <w:sz w:val="24"/>
              </w:rPr>
              <w:t>合格供应商的特定资格要求：</w:t>
            </w:r>
          </w:p>
          <w:p>
            <w:pPr>
              <w:keepNext w:val="0"/>
              <w:keepLines w:val="0"/>
              <w:numPr>
                <w:ilvl w:val="0"/>
                <w:numId w:val="1"/>
              </w:numPr>
              <w:suppressLineNumbers w:val="0"/>
              <w:spacing w:before="0" w:beforeAutospacing="0" w:after="0" w:afterAutospacing="0" w:line="440" w:lineRule="exact"/>
              <w:ind w:left="0" w:right="0"/>
              <w:rPr>
                <w:rFonts w:hint="default" w:ascii="宋体" w:hAnsi="宋体" w:cs="宋体"/>
                <w:sz w:val="24"/>
                <w:lang w:val="zh-CN"/>
              </w:rPr>
            </w:pPr>
            <w:r>
              <w:rPr>
                <w:rFonts w:hint="eastAsia" w:ascii="宋体" w:hAnsi="宋体" w:cs="宋体"/>
                <w:sz w:val="24"/>
                <w:lang w:val="zh-CN"/>
              </w:rPr>
              <w:t>具有统一社会信用代码的《营业执照》；</w:t>
            </w:r>
          </w:p>
          <w:p>
            <w:pPr>
              <w:keepNext w:val="0"/>
              <w:keepLines w:val="0"/>
              <w:numPr>
                <w:ilvl w:val="0"/>
                <w:numId w:val="1"/>
              </w:numPr>
              <w:suppressLineNumbers w:val="0"/>
              <w:spacing w:before="0" w:beforeAutospacing="0" w:after="0" w:afterAutospacing="0" w:line="440" w:lineRule="exact"/>
              <w:ind w:left="0" w:right="0"/>
              <w:rPr>
                <w:rFonts w:hint="default" w:ascii="宋体" w:hAnsi="宋体" w:cs="宋体"/>
                <w:sz w:val="24"/>
                <w:lang w:val="zh-CN"/>
              </w:rPr>
            </w:pPr>
            <w:r>
              <w:rPr>
                <w:rFonts w:hint="eastAsia" w:ascii="宋体" w:hAnsi="宋体" w:cs="宋体"/>
                <w:sz w:val="24"/>
                <w:lang w:val="zh-CN"/>
              </w:rPr>
              <w:t>供应商为代理商须具有产品所属类别的有效的《医疗器械经营备案凭证》或《医疗器械经营许可证》；若供应商为生产厂家，须具有①有效的《医疗器械生产许可证》或《医疗器械生产产品登记表》；②《医疗器械注册证》或备案凭证；</w:t>
            </w:r>
          </w:p>
          <w:p>
            <w:pPr>
              <w:keepNext w:val="0"/>
              <w:keepLines w:val="0"/>
              <w:numPr>
                <w:ilvl w:val="0"/>
                <w:numId w:val="1"/>
              </w:numPr>
              <w:suppressLineNumbers w:val="0"/>
              <w:spacing w:before="0" w:beforeAutospacing="0" w:after="0" w:afterAutospacing="0" w:line="440" w:lineRule="exact"/>
              <w:ind w:left="0" w:right="0"/>
              <w:rPr>
                <w:rFonts w:hint="default" w:ascii="宋体" w:hAnsi="宋体" w:cs="宋体"/>
                <w:sz w:val="24"/>
                <w:lang w:val="zh-CN"/>
              </w:rPr>
            </w:pPr>
            <w:r>
              <w:rPr>
                <w:rFonts w:hint="eastAsia" w:ascii="宋体" w:hAnsi="宋体" w:cs="宋体"/>
                <w:sz w:val="24"/>
              </w:rPr>
              <w:t>政府采购供应商信用承诺书</w:t>
            </w:r>
            <w:r>
              <w:rPr>
                <w:rFonts w:hint="eastAsia" w:ascii="宋体" w:hAnsi="宋体" w:cs="宋体"/>
                <w:sz w:val="24"/>
                <w:lang w:val="zh-CN"/>
              </w:rPr>
              <w:t>；</w:t>
            </w:r>
          </w:p>
          <w:p>
            <w:pPr>
              <w:keepNext w:val="0"/>
              <w:keepLines w:val="0"/>
              <w:numPr>
                <w:ilvl w:val="0"/>
                <w:numId w:val="1"/>
              </w:numPr>
              <w:suppressLineNumbers w:val="0"/>
              <w:spacing w:before="0" w:beforeAutospacing="0" w:after="0" w:afterAutospacing="0" w:line="440" w:lineRule="exact"/>
              <w:ind w:left="0" w:right="0"/>
              <w:rPr>
                <w:rFonts w:hint="default" w:ascii="宋体" w:hAnsi="宋体" w:cs="宋体"/>
                <w:sz w:val="24"/>
              </w:rPr>
            </w:pPr>
            <w:r>
              <w:rPr>
                <w:rFonts w:hint="eastAsia" w:ascii="宋体" w:hAnsi="宋体" w:cs="宋体"/>
                <w:sz w:val="24"/>
                <w:lang w:val="zh-CN"/>
              </w:rPr>
              <w:t>符合《中华人民共和国政府采购法》第二十二条规定且应为未被列入“信用中国”网站 (www.creditchina.gov.cn)信用记录失信被执行人、重大税收违法案件当事人名单、政府采购严重违法失信行为记录名单的供应商。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68" w:hRule="atLeast"/>
          <w:jc w:val="center"/>
        </w:trPr>
        <w:tc>
          <w:tcPr>
            <w:tcW w:w="954" w:type="dxa"/>
            <w:vAlign w:val="center"/>
          </w:tcPr>
          <w:p>
            <w:pPr>
              <w:keepNext w:val="0"/>
              <w:keepLines w:val="0"/>
              <w:suppressLineNumbers w:val="0"/>
              <w:spacing w:before="0" w:beforeAutospacing="0" w:after="0" w:afterAutospacing="0" w:line="440" w:lineRule="exact"/>
              <w:ind w:left="0" w:right="0"/>
              <w:jc w:val="center"/>
              <w:rPr>
                <w:rFonts w:hint="default" w:ascii="宋体" w:hAnsi="宋体"/>
                <w:sz w:val="24"/>
              </w:rPr>
            </w:pPr>
            <w:r>
              <w:rPr>
                <w:rFonts w:hint="eastAsia" w:ascii="宋体" w:hAnsi="宋体"/>
                <w:sz w:val="24"/>
              </w:rPr>
              <w:t>1.3.6</w:t>
            </w:r>
          </w:p>
        </w:tc>
        <w:tc>
          <w:tcPr>
            <w:tcW w:w="8093" w:type="dxa"/>
            <w:vAlign w:val="center"/>
          </w:tcPr>
          <w:p>
            <w:pPr>
              <w:keepNext w:val="0"/>
              <w:keepLines w:val="0"/>
              <w:suppressLineNumbers w:val="0"/>
              <w:spacing w:before="0" w:beforeAutospacing="0" w:after="0" w:afterAutospacing="0" w:line="440" w:lineRule="exact"/>
              <w:ind w:left="0" w:right="0"/>
              <w:rPr>
                <w:rFonts w:hint="default" w:ascii="宋体" w:hAnsi="宋体"/>
                <w:sz w:val="24"/>
              </w:rPr>
            </w:pPr>
            <w:r>
              <w:rPr>
                <w:rFonts w:hint="default" w:ascii="宋体" w:hAnsi="宋体"/>
                <w:sz w:val="24"/>
              </w:rPr>
              <w:t>是否允许进口产品参与</w:t>
            </w:r>
            <w:r>
              <w:rPr>
                <w:rFonts w:hint="eastAsia" w:ascii="宋体" w:hAnsi="宋体"/>
                <w:sz w:val="24"/>
              </w:rPr>
              <w:t>响应（是☑  否□）</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68" w:hRule="atLeast"/>
          <w:jc w:val="center"/>
        </w:trPr>
        <w:tc>
          <w:tcPr>
            <w:tcW w:w="954" w:type="dxa"/>
            <w:vAlign w:val="center"/>
          </w:tcPr>
          <w:p>
            <w:pPr>
              <w:keepNext w:val="0"/>
              <w:keepLines w:val="0"/>
              <w:suppressLineNumbers w:val="0"/>
              <w:spacing w:before="0" w:beforeAutospacing="0" w:after="0" w:afterAutospacing="0" w:line="440" w:lineRule="exact"/>
              <w:ind w:left="0" w:right="0"/>
              <w:jc w:val="center"/>
              <w:rPr>
                <w:rFonts w:hint="default" w:ascii="宋体" w:hAnsi="宋体"/>
                <w:sz w:val="24"/>
              </w:rPr>
            </w:pPr>
            <w:r>
              <w:rPr>
                <w:rFonts w:hint="eastAsia" w:ascii="宋体" w:hAnsi="宋体"/>
                <w:sz w:val="24"/>
              </w:rPr>
              <w:t>1.3.</w:t>
            </w:r>
            <w:r>
              <w:rPr>
                <w:rFonts w:hint="default" w:ascii="宋体" w:hAnsi="宋体"/>
                <w:sz w:val="24"/>
              </w:rPr>
              <w:t>5</w:t>
            </w:r>
          </w:p>
        </w:tc>
        <w:tc>
          <w:tcPr>
            <w:tcW w:w="8093" w:type="dxa"/>
            <w:vAlign w:val="center"/>
          </w:tcPr>
          <w:p>
            <w:pPr>
              <w:keepNext w:val="0"/>
              <w:keepLines w:val="0"/>
              <w:suppressLineNumbers w:val="0"/>
              <w:spacing w:before="0" w:beforeAutospacing="0" w:after="0" w:afterAutospacing="0" w:line="440" w:lineRule="exact"/>
              <w:ind w:left="0" w:right="0"/>
              <w:rPr>
                <w:rFonts w:hint="default" w:ascii="宋体" w:hAnsi="宋体"/>
                <w:sz w:val="24"/>
              </w:rPr>
            </w:pPr>
            <w:r>
              <w:rPr>
                <w:rFonts w:hint="eastAsia" w:ascii="宋体" w:hAnsi="宋体"/>
                <w:sz w:val="24"/>
              </w:rPr>
              <w:t>是否为专门面向</w:t>
            </w:r>
            <w:r>
              <w:rPr>
                <w:rFonts w:hint="default" w:ascii="宋体" w:hAnsi="宋体"/>
                <w:sz w:val="24"/>
              </w:rPr>
              <w:t>中小企业采购</w:t>
            </w:r>
            <w:r>
              <w:rPr>
                <w:rFonts w:hint="eastAsia" w:ascii="宋体" w:hAnsi="宋体"/>
                <w:sz w:val="24"/>
              </w:rPr>
              <w:t>：（是□  否☑）</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68" w:hRule="atLeast"/>
          <w:jc w:val="center"/>
        </w:trPr>
        <w:tc>
          <w:tcPr>
            <w:tcW w:w="954" w:type="dxa"/>
            <w:vAlign w:val="center"/>
          </w:tcPr>
          <w:p>
            <w:pPr>
              <w:keepNext w:val="0"/>
              <w:keepLines w:val="0"/>
              <w:suppressLineNumbers w:val="0"/>
              <w:spacing w:before="0" w:beforeAutospacing="0" w:after="0" w:afterAutospacing="0" w:line="440" w:lineRule="exact"/>
              <w:ind w:left="0" w:right="0"/>
              <w:jc w:val="center"/>
              <w:rPr>
                <w:rFonts w:hint="default" w:ascii="宋体" w:hAnsi="宋体"/>
                <w:sz w:val="24"/>
              </w:rPr>
            </w:pPr>
            <w:r>
              <w:rPr>
                <w:rFonts w:hint="eastAsia" w:ascii="宋体" w:hAnsi="宋体"/>
                <w:sz w:val="24"/>
              </w:rPr>
              <w:t>1.3.6</w:t>
            </w:r>
          </w:p>
        </w:tc>
        <w:tc>
          <w:tcPr>
            <w:tcW w:w="8093" w:type="dxa"/>
            <w:vAlign w:val="center"/>
          </w:tcPr>
          <w:p>
            <w:pPr>
              <w:keepNext w:val="0"/>
              <w:keepLines w:val="0"/>
              <w:suppressLineNumbers w:val="0"/>
              <w:spacing w:before="0" w:beforeAutospacing="0" w:after="0" w:afterAutospacing="0" w:line="440" w:lineRule="exact"/>
              <w:ind w:left="0" w:right="0"/>
              <w:rPr>
                <w:rFonts w:hint="eastAsia" w:ascii="宋体" w:hAnsi="宋体" w:eastAsia="宋体"/>
                <w:sz w:val="24"/>
                <w:lang w:eastAsia="zh-CN"/>
              </w:rPr>
            </w:pPr>
            <w:r>
              <w:rPr>
                <w:rFonts w:hint="eastAsia" w:ascii="宋体" w:hAnsi="宋体"/>
                <w:sz w:val="24"/>
              </w:rPr>
              <w:t>采购标的所属行业：</w:t>
            </w:r>
            <w:r>
              <w:rPr>
                <w:rFonts w:hint="eastAsia" w:ascii="宋体" w:hAnsi="宋体"/>
                <w:sz w:val="24"/>
                <w:lang w:val="en-US" w:eastAsia="zh-CN"/>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68" w:hRule="atLeast"/>
          <w:jc w:val="center"/>
        </w:trPr>
        <w:tc>
          <w:tcPr>
            <w:tcW w:w="954" w:type="dxa"/>
            <w:vAlign w:val="center"/>
          </w:tcPr>
          <w:p>
            <w:pPr>
              <w:keepNext w:val="0"/>
              <w:keepLines w:val="0"/>
              <w:suppressLineNumbers w:val="0"/>
              <w:spacing w:before="0" w:beforeAutospacing="0" w:after="0" w:afterAutospacing="0" w:line="440" w:lineRule="exact"/>
              <w:ind w:left="0" w:right="0"/>
              <w:jc w:val="center"/>
              <w:rPr>
                <w:rFonts w:hint="default" w:ascii="宋体" w:hAnsi="宋体"/>
                <w:sz w:val="24"/>
              </w:rPr>
            </w:pPr>
            <w:r>
              <w:rPr>
                <w:rFonts w:hint="eastAsia" w:ascii="宋体" w:hAnsi="宋体"/>
                <w:sz w:val="24"/>
              </w:rPr>
              <w:t>1.4</w:t>
            </w:r>
          </w:p>
        </w:tc>
        <w:tc>
          <w:tcPr>
            <w:tcW w:w="8093" w:type="dxa"/>
            <w:vAlign w:val="center"/>
          </w:tcPr>
          <w:p>
            <w:pPr>
              <w:keepNext w:val="0"/>
              <w:keepLines w:val="0"/>
              <w:suppressLineNumbers w:val="0"/>
              <w:spacing w:before="0" w:beforeAutospacing="0" w:after="0" w:afterAutospacing="0" w:line="440" w:lineRule="exact"/>
              <w:ind w:left="0" w:right="0"/>
              <w:rPr>
                <w:rFonts w:hint="default" w:ascii="宋体" w:hAnsi="宋体"/>
                <w:sz w:val="24"/>
              </w:rPr>
            </w:pPr>
            <w:r>
              <w:rPr>
                <w:rFonts w:hint="eastAsia" w:ascii="宋体" w:hAnsi="宋体"/>
                <w:sz w:val="24"/>
              </w:rPr>
              <w:t>是否允许联合体响应：（是□  否☑）</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68" w:hRule="atLeast"/>
          <w:jc w:val="center"/>
        </w:trPr>
        <w:tc>
          <w:tcPr>
            <w:tcW w:w="954" w:type="dxa"/>
            <w:vAlign w:val="center"/>
          </w:tcPr>
          <w:p>
            <w:pPr>
              <w:keepNext w:val="0"/>
              <w:keepLines w:val="0"/>
              <w:suppressLineNumbers w:val="0"/>
              <w:spacing w:before="0" w:beforeAutospacing="0" w:after="0" w:afterAutospacing="0" w:line="440" w:lineRule="exact"/>
              <w:ind w:left="0" w:right="0"/>
              <w:jc w:val="center"/>
              <w:rPr>
                <w:rFonts w:hint="default" w:ascii="宋体" w:hAnsi="宋体"/>
                <w:sz w:val="24"/>
              </w:rPr>
            </w:pPr>
            <w:r>
              <w:rPr>
                <w:rFonts w:hint="eastAsia" w:ascii="宋体" w:hAnsi="宋体"/>
                <w:sz w:val="24"/>
              </w:rPr>
              <w:t>1.4.7</w:t>
            </w:r>
          </w:p>
        </w:tc>
        <w:tc>
          <w:tcPr>
            <w:tcW w:w="8093" w:type="dxa"/>
            <w:vAlign w:val="center"/>
          </w:tcPr>
          <w:p>
            <w:pPr>
              <w:keepNext w:val="0"/>
              <w:keepLines w:val="0"/>
              <w:suppressLineNumbers w:val="0"/>
              <w:spacing w:before="0" w:beforeAutospacing="0" w:after="0" w:afterAutospacing="0" w:line="440" w:lineRule="exact"/>
              <w:ind w:left="0" w:right="0"/>
              <w:rPr>
                <w:rFonts w:hint="default" w:ascii="宋体" w:hAnsi="宋体"/>
                <w:sz w:val="24"/>
              </w:rPr>
            </w:pPr>
            <w:r>
              <w:rPr>
                <w:rFonts w:hint="eastAsia" w:ascii="宋体" w:hAnsi="宋体"/>
                <w:sz w:val="24"/>
              </w:rPr>
              <w:t>联合体的其他资格要求：/</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01" w:hRule="atLeast"/>
          <w:jc w:val="center"/>
        </w:trPr>
        <w:tc>
          <w:tcPr>
            <w:tcW w:w="954" w:type="dxa"/>
            <w:vAlign w:val="center"/>
          </w:tcPr>
          <w:p>
            <w:pPr>
              <w:keepNext w:val="0"/>
              <w:keepLines w:val="0"/>
              <w:suppressLineNumbers w:val="0"/>
              <w:spacing w:before="0" w:beforeAutospacing="0" w:after="0" w:afterAutospacing="0" w:line="440" w:lineRule="exact"/>
              <w:ind w:left="0" w:right="0"/>
              <w:jc w:val="center"/>
              <w:rPr>
                <w:rFonts w:hint="default" w:ascii="宋体" w:hAnsi="宋体"/>
                <w:sz w:val="24"/>
              </w:rPr>
            </w:pPr>
            <w:r>
              <w:rPr>
                <w:rFonts w:hint="eastAsia" w:ascii="宋体" w:hAnsi="宋体"/>
                <w:sz w:val="24"/>
              </w:rPr>
              <w:t>2.2</w:t>
            </w:r>
          </w:p>
        </w:tc>
        <w:tc>
          <w:tcPr>
            <w:tcW w:w="8093" w:type="dxa"/>
            <w:vAlign w:val="center"/>
          </w:tcPr>
          <w:p>
            <w:pPr>
              <w:keepNext w:val="0"/>
              <w:keepLines w:val="0"/>
              <w:suppressLineNumbers w:val="0"/>
              <w:spacing w:before="0" w:beforeAutospacing="0" w:after="0" w:afterAutospacing="0" w:line="440" w:lineRule="exact"/>
              <w:ind w:left="0" w:right="0"/>
              <w:rPr>
                <w:rFonts w:hint="default" w:ascii="宋体" w:hAnsi="宋体"/>
                <w:sz w:val="24"/>
              </w:rPr>
            </w:pPr>
            <w:r>
              <w:rPr>
                <w:rFonts w:hint="eastAsia" w:ascii="宋体" w:hAnsi="宋体"/>
                <w:sz w:val="24"/>
              </w:rPr>
              <w:t xml:space="preserve">是否有分包：是 □  否 ☑ </w:t>
            </w:r>
          </w:p>
          <w:p>
            <w:pPr>
              <w:keepNext w:val="0"/>
              <w:keepLines w:val="0"/>
              <w:suppressLineNumbers w:val="0"/>
              <w:spacing w:before="0" w:beforeAutospacing="0" w:after="0" w:afterAutospacing="0" w:line="440" w:lineRule="exact"/>
              <w:ind w:left="0" w:right="0"/>
              <w:rPr>
                <w:rFonts w:hint="default" w:ascii="宋体" w:hAnsi="宋体"/>
                <w:sz w:val="24"/>
              </w:rPr>
            </w:pPr>
            <w:r>
              <w:rPr>
                <w:rFonts w:hint="eastAsia" w:ascii="宋体" w:hAnsi="宋体"/>
                <w:sz w:val="24"/>
              </w:rPr>
              <w:t>本项目预算额：68</w:t>
            </w:r>
            <w:r>
              <w:rPr>
                <w:rFonts w:hint="eastAsia" w:ascii="宋体" w:hAnsi="宋体"/>
                <w:sz w:val="24"/>
                <w:lang w:val="en-US" w:eastAsia="zh-CN"/>
              </w:rPr>
              <w:t>.00</w:t>
            </w:r>
            <w:r>
              <w:rPr>
                <w:rFonts w:hint="eastAsia" w:ascii="宋体" w:hAnsi="宋体"/>
                <w:sz w:val="24"/>
              </w:rPr>
              <w:t>万元</w:t>
            </w:r>
          </w:p>
          <w:p>
            <w:pPr>
              <w:keepNext w:val="0"/>
              <w:keepLines w:val="0"/>
              <w:suppressLineNumbers w:val="0"/>
              <w:spacing w:before="0" w:beforeAutospacing="0" w:after="0" w:afterAutospacing="0" w:line="440" w:lineRule="exact"/>
              <w:ind w:left="0" w:right="0"/>
              <w:rPr>
                <w:rFonts w:hint="default" w:ascii="宋体" w:hAnsi="宋体"/>
                <w:sz w:val="24"/>
              </w:rPr>
            </w:pPr>
            <w:r>
              <w:rPr>
                <w:rFonts w:hint="eastAsia" w:ascii="宋体" w:hAnsi="宋体"/>
                <w:sz w:val="24"/>
              </w:rPr>
              <w:t>本项目预算属于以下情形：</w:t>
            </w:r>
          </w:p>
          <w:p>
            <w:pPr>
              <w:keepNext w:val="0"/>
              <w:keepLines w:val="0"/>
              <w:suppressLineNumbers w:val="0"/>
              <w:spacing w:before="0" w:beforeAutospacing="0" w:after="0" w:afterAutospacing="0" w:line="440" w:lineRule="exact"/>
              <w:ind w:left="0" w:right="0"/>
              <w:rPr>
                <w:rFonts w:hint="default" w:ascii="宋体" w:hAnsi="宋体"/>
                <w:sz w:val="24"/>
              </w:rPr>
            </w:pPr>
            <w:r>
              <w:rPr>
                <w:rFonts w:hint="eastAsia" w:ascii="宋体" w:hAnsi="宋体"/>
                <w:sz w:val="24"/>
              </w:rPr>
              <w:t>(1)项目为非预采购项目☑  预采购项目□</w:t>
            </w:r>
          </w:p>
          <w:p>
            <w:pPr>
              <w:keepNext w:val="0"/>
              <w:keepLines w:val="0"/>
              <w:suppressLineNumbers w:val="0"/>
              <w:spacing w:before="0" w:beforeAutospacing="0" w:after="0" w:afterAutospacing="0" w:line="440" w:lineRule="exact"/>
              <w:ind w:left="0" w:right="0"/>
              <w:rPr>
                <w:rFonts w:hint="default" w:ascii="宋体" w:hAnsi="宋体"/>
                <w:sz w:val="24"/>
              </w:rPr>
            </w:pPr>
            <w:r>
              <w:rPr>
                <w:rFonts w:hint="eastAsia" w:ascii="宋体" w:hAnsi="宋体"/>
                <w:sz w:val="24"/>
              </w:rPr>
              <w:t>(2)项目为跨年度预采购项目，概算总金额 / 万元，采购年限为 /年，当年安排数 / 万元。</w:t>
            </w:r>
          </w:p>
          <w:p>
            <w:pPr>
              <w:keepNext w:val="0"/>
              <w:keepLines w:val="0"/>
              <w:suppressLineNumbers w:val="0"/>
              <w:spacing w:before="0" w:beforeAutospacing="0" w:after="0" w:afterAutospacing="0" w:line="440" w:lineRule="exact"/>
              <w:ind w:left="0" w:right="0"/>
              <w:rPr>
                <w:rFonts w:hint="default" w:ascii="宋体" w:hAnsi="宋体"/>
                <w:sz w:val="24"/>
              </w:rPr>
            </w:pPr>
            <w:r>
              <w:rPr>
                <w:rFonts w:hint="eastAsia" w:ascii="宋体" w:hAnsi="宋体"/>
                <w:sz w:val="24"/>
              </w:rPr>
              <w:t>根据《转发财政部关于做好政府采购信息公开工作的通知》（鲁财采﹝2015﹞33号）文件规定，预采购项目有取消和终止采购的可能。</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01" w:hRule="atLeast"/>
          <w:jc w:val="center"/>
        </w:trPr>
        <w:tc>
          <w:tcPr>
            <w:tcW w:w="954" w:type="dxa"/>
            <w:vAlign w:val="center"/>
          </w:tcPr>
          <w:p>
            <w:pPr>
              <w:keepNext w:val="0"/>
              <w:keepLines w:val="0"/>
              <w:suppressLineNumbers w:val="0"/>
              <w:spacing w:before="0" w:beforeAutospacing="0" w:after="0" w:afterAutospacing="0" w:line="440" w:lineRule="exact"/>
              <w:ind w:left="0" w:right="0"/>
              <w:jc w:val="center"/>
              <w:rPr>
                <w:rFonts w:hint="default" w:ascii="宋体" w:hAnsi="宋体"/>
                <w:sz w:val="24"/>
              </w:rPr>
            </w:pPr>
            <w:r>
              <w:rPr>
                <w:rFonts w:hint="eastAsia" w:ascii="宋体" w:hAnsi="宋体"/>
                <w:sz w:val="24"/>
              </w:rPr>
              <w:t>5.6</w:t>
            </w:r>
          </w:p>
        </w:tc>
        <w:tc>
          <w:tcPr>
            <w:tcW w:w="8093" w:type="dxa"/>
            <w:vAlign w:val="center"/>
          </w:tcPr>
          <w:p>
            <w:pPr>
              <w:keepNext w:val="0"/>
              <w:keepLines w:val="0"/>
              <w:suppressLineNumbers w:val="0"/>
              <w:spacing w:before="0" w:beforeAutospacing="0" w:after="0" w:afterAutospacing="0" w:line="440" w:lineRule="exact"/>
              <w:ind w:left="0" w:right="0"/>
              <w:rPr>
                <w:rFonts w:hint="default" w:ascii="宋体" w:hAnsi="宋体"/>
                <w:sz w:val="24"/>
              </w:rPr>
            </w:pPr>
            <w:r>
              <w:rPr>
                <w:rFonts w:hint="eastAsia" w:ascii="宋体" w:hAnsi="宋体"/>
                <w:sz w:val="24"/>
              </w:rPr>
              <w:t>是否现场踏勘：（是 □  否 ☑ ）</w:t>
            </w:r>
          </w:p>
          <w:p>
            <w:pPr>
              <w:keepNext w:val="0"/>
              <w:keepLines w:val="0"/>
              <w:suppressLineNumbers w:val="0"/>
              <w:spacing w:before="0" w:beforeAutospacing="0" w:after="0" w:afterAutospacing="0" w:line="440" w:lineRule="exact"/>
              <w:ind w:left="0" w:right="0"/>
              <w:rPr>
                <w:rFonts w:hint="default" w:ascii="宋体" w:hAnsi="宋体"/>
                <w:sz w:val="24"/>
              </w:rPr>
            </w:pPr>
            <w:r>
              <w:rPr>
                <w:rFonts w:hint="eastAsia" w:ascii="宋体" w:hAnsi="宋体"/>
                <w:sz w:val="24"/>
              </w:rPr>
              <w:t xml:space="preserve">现场踏勘描述：统一现场考察□       自行踏勘□ </w:t>
            </w:r>
          </w:p>
          <w:p>
            <w:pPr>
              <w:keepNext w:val="0"/>
              <w:keepLines w:val="0"/>
              <w:suppressLineNumbers w:val="0"/>
              <w:spacing w:before="0" w:beforeAutospacing="0" w:after="0" w:afterAutospacing="0" w:line="440" w:lineRule="exact"/>
              <w:ind w:left="0" w:right="0"/>
              <w:rPr>
                <w:rFonts w:hint="default" w:ascii="宋体" w:hAnsi="宋体"/>
                <w:sz w:val="24"/>
              </w:rPr>
            </w:pPr>
            <w:r>
              <w:rPr>
                <w:rFonts w:hint="eastAsia" w:ascii="宋体" w:hAnsi="宋体"/>
                <w:sz w:val="24"/>
              </w:rPr>
              <w:t>现场踏勘时间：   年   月   日至    年   月   日</w:t>
            </w:r>
          </w:p>
          <w:p>
            <w:pPr>
              <w:keepNext w:val="0"/>
              <w:keepLines w:val="0"/>
              <w:suppressLineNumbers w:val="0"/>
              <w:spacing w:before="0" w:beforeAutospacing="0" w:after="0" w:afterAutospacing="0" w:line="440" w:lineRule="exact"/>
              <w:ind w:left="0" w:right="0"/>
              <w:rPr>
                <w:rFonts w:hint="default" w:ascii="宋体" w:hAnsi="宋体"/>
                <w:sz w:val="24"/>
              </w:rPr>
            </w:pPr>
            <w:r>
              <w:rPr>
                <w:rFonts w:hint="eastAsia" w:ascii="宋体" w:hAnsi="宋体"/>
                <w:sz w:val="24"/>
              </w:rPr>
              <w:t xml:space="preserve">踏勘地点：/                                   </w:t>
            </w:r>
          </w:p>
          <w:p>
            <w:pPr>
              <w:keepNext w:val="0"/>
              <w:keepLines w:val="0"/>
              <w:suppressLineNumbers w:val="0"/>
              <w:spacing w:before="0" w:beforeAutospacing="0" w:after="0" w:afterAutospacing="0" w:line="440" w:lineRule="exact"/>
              <w:ind w:left="0" w:right="0"/>
              <w:rPr>
                <w:rFonts w:hint="default" w:ascii="宋体" w:hAnsi="宋体"/>
                <w:sz w:val="24"/>
              </w:rPr>
            </w:pPr>
            <w:r>
              <w:rPr>
                <w:rFonts w:hint="eastAsia" w:ascii="宋体" w:hAnsi="宋体"/>
                <w:sz w:val="24"/>
              </w:rPr>
              <w:t>联系人： /  联系电话：  /</w:t>
            </w:r>
          </w:p>
          <w:p>
            <w:pPr>
              <w:keepNext w:val="0"/>
              <w:keepLines w:val="0"/>
              <w:suppressLineNumbers w:val="0"/>
              <w:spacing w:before="0" w:beforeAutospacing="0" w:after="0" w:afterAutospacing="0" w:line="440" w:lineRule="exact"/>
              <w:ind w:left="0" w:right="0"/>
              <w:rPr>
                <w:rFonts w:hint="default" w:ascii="宋体" w:hAnsi="宋体"/>
                <w:sz w:val="24"/>
              </w:rPr>
            </w:pPr>
            <w:r>
              <w:rPr>
                <w:rFonts w:hint="eastAsia" w:ascii="宋体" w:hAnsi="宋体"/>
                <w:sz w:val="24"/>
              </w:rPr>
              <w:t>是否答疑会：（是□     否☑    ）</w:t>
            </w:r>
          </w:p>
          <w:p>
            <w:pPr>
              <w:keepNext w:val="0"/>
              <w:keepLines w:val="0"/>
              <w:suppressLineNumbers w:val="0"/>
              <w:spacing w:before="0" w:beforeAutospacing="0" w:after="0" w:afterAutospacing="0" w:line="440" w:lineRule="exact"/>
              <w:ind w:left="0" w:right="0"/>
              <w:rPr>
                <w:rFonts w:hint="default" w:ascii="宋体" w:hAnsi="宋体"/>
                <w:sz w:val="24"/>
              </w:rPr>
            </w:pPr>
            <w:r>
              <w:rPr>
                <w:rFonts w:hint="eastAsia" w:ascii="宋体" w:hAnsi="宋体"/>
                <w:sz w:val="24"/>
              </w:rPr>
              <w:t>答疑会描述：/</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94" w:hRule="atLeast"/>
          <w:jc w:val="center"/>
        </w:trPr>
        <w:tc>
          <w:tcPr>
            <w:tcW w:w="954" w:type="dxa"/>
            <w:vAlign w:val="center"/>
          </w:tcPr>
          <w:p>
            <w:pPr>
              <w:keepNext w:val="0"/>
              <w:keepLines w:val="0"/>
              <w:suppressLineNumbers w:val="0"/>
              <w:spacing w:before="0" w:beforeAutospacing="0" w:after="0" w:afterAutospacing="0" w:line="440" w:lineRule="exact"/>
              <w:ind w:left="0" w:right="0"/>
              <w:jc w:val="center"/>
              <w:rPr>
                <w:rFonts w:hint="default" w:ascii="宋体" w:hAnsi="宋体"/>
                <w:sz w:val="24"/>
              </w:rPr>
            </w:pPr>
            <w:r>
              <w:rPr>
                <w:rFonts w:hint="eastAsia" w:ascii="宋体" w:hAnsi="宋体"/>
                <w:sz w:val="24"/>
              </w:rPr>
              <w:t>10.1</w:t>
            </w:r>
          </w:p>
        </w:tc>
        <w:tc>
          <w:tcPr>
            <w:tcW w:w="8093" w:type="dxa"/>
            <w:vAlign w:val="center"/>
          </w:tcPr>
          <w:p>
            <w:pPr>
              <w:keepNext w:val="0"/>
              <w:keepLines w:val="0"/>
              <w:suppressLineNumbers w:val="0"/>
              <w:spacing w:before="0" w:beforeAutospacing="0" w:after="0" w:afterAutospacing="0" w:line="440" w:lineRule="exact"/>
              <w:ind w:left="0" w:right="0"/>
              <w:rPr>
                <w:rFonts w:hint="default" w:ascii="宋体" w:hAnsi="宋体"/>
                <w:sz w:val="24"/>
              </w:rPr>
            </w:pPr>
            <w:r>
              <w:rPr>
                <w:rFonts w:hint="eastAsia" w:ascii="宋体" w:hAnsi="宋体"/>
                <w:sz w:val="24"/>
              </w:rPr>
              <w:t>报价说明:本次采购采用二轮报价（最终报价)法，投标人递交的报价文件中的报价为第一轮报价，投标人的两轮投标报价均不能超出最高限价，否则按无效投标处理。</w:t>
            </w:r>
          </w:p>
          <w:p>
            <w:pPr>
              <w:keepNext w:val="0"/>
              <w:keepLines w:val="0"/>
              <w:suppressLineNumbers w:val="0"/>
              <w:spacing w:before="0" w:beforeAutospacing="0" w:after="0" w:afterAutospacing="0" w:line="440" w:lineRule="exact"/>
              <w:ind w:left="0" w:right="0"/>
              <w:rPr>
                <w:rFonts w:hint="default" w:ascii="宋体" w:hAnsi="宋体"/>
                <w:sz w:val="24"/>
              </w:rPr>
            </w:pPr>
            <w:r>
              <w:rPr>
                <w:rFonts w:hint="eastAsia" w:ascii="宋体" w:hAnsi="宋体"/>
                <w:sz w:val="24"/>
              </w:rPr>
              <w:t>1、所有报价均以人民币报价。</w:t>
            </w:r>
          </w:p>
          <w:p>
            <w:pPr>
              <w:keepNext w:val="0"/>
              <w:keepLines w:val="0"/>
              <w:suppressLineNumbers w:val="0"/>
              <w:spacing w:before="0" w:beforeAutospacing="0" w:after="0" w:afterAutospacing="0" w:line="440" w:lineRule="exact"/>
              <w:ind w:left="0" w:right="0"/>
              <w:rPr>
                <w:rFonts w:hint="default" w:ascii="宋体" w:hAnsi="宋体"/>
                <w:sz w:val="24"/>
              </w:rPr>
            </w:pPr>
            <w:r>
              <w:rPr>
                <w:rFonts w:hint="eastAsia" w:ascii="宋体" w:hAnsi="宋体"/>
                <w:sz w:val="24"/>
              </w:rPr>
              <w:t>2、本次报价为固定单价报价，所报货物综合单价为货物运至采购人指定地点的到场落地价格，所报价为送至指定地点安装调试完毕且检验验收合格后的价格，其内容包括但不仅限于：设备、配件、附件、接插件、备品备件、专用工具、耗品、辅材、连接线缆、包装、运输、装卸、安装、集成、调试、检测、验收、售后服务、协调、政策性文件规定及合同包含的所有风险责任的各项费用、技术指导、利润、税金等所有费用以及其他不可预见费用。本项目所发生的一切费用均应包括在总报价中。若有漏报或缺报，视为该项费用已包括在其它项目中，合同总价和单价不做调整。</w:t>
            </w:r>
          </w:p>
          <w:p>
            <w:pPr>
              <w:keepNext w:val="0"/>
              <w:keepLines w:val="0"/>
              <w:suppressLineNumbers w:val="0"/>
              <w:spacing w:before="0" w:beforeAutospacing="0" w:after="0" w:afterAutospacing="0" w:line="440" w:lineRule="exact"/>
              <w:ind w:left="0" w:right="0"/>
              <w:rPr>
                <w:rFonts w:hint="default" w:ascii="宋体" w:hAnsi="宋体"/>
                <w:sz w:val="24"/>
              </w:rPr>
            </w:pPr>
            <w:r>
              <w:rPr>
                <w:rFonts w:hint="eastAsia" w:ascii="宋体" w:hAnsi="宋体"/>
                <w:sz w:val="24"/>
              </w:rPr>
              <w:t>3、本项目不接受任何选择报价，只允许有一个报价提供一个方案，提供多个报价和方案将作为无效报价。本次投标报价包含采购人后期对方案修改、补充、调整、完善直至达到使用要求、交付使用为止的全部费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0" w:hRule="atLeast"/>
          <w:jc w:val="center"/>
        </w:trPr>
        <w:tc>
          <w:tcPr>
            <w:tcW w:w="954" w:type="dxa"/>
            <w:vAlign w:val="center"/>
          </w:tcPr>
          <w:p>
            <w:pPr>
              <w:keepNext w:val="0"/>
              <w:keepLines w:val="0"/>
              <w:suppressLineNumbers w:val="0"/>
              <w:spacing w:before="0" w:beforeAutospacing="0" w:after="0" w:afterAutospacing="0" w:line="440" w:lineRule="exact"/>
              <w:ind w:left="0" w:right="0"/>
              <w:jc w:val="center"/>
              <w:rPr>
                <w:rFonts w:hint="default" w:ascii="宋体" w:hAnsi="宋体"/>
                <w:sz w:val="24"/>
              </w:rPr>
            </w:pPr>
            <w:r>
              <w:rPr>
                <w:rFonts w:hint="eastAsia" w:ascii="宋体" w:hAnsi="宋体"/>
                <w:sz w:val="24"/>
              </w:rPr>
              <w:t>13.1</w:t>
            </w:r>
          </w:p>
        </w:tc>
        <w:tc>
          <w:tcPr>
            <w:tcW w:w="8093" w:type="dxa"/>
            <w:vAlign w:val="center"/>
          </w:tcPr>
          <w:p>
            <w:pPr>
              <w:keepNext w:val="0"/>
              <w:keepLines w:val="0"/>
              <w:suppressLineNumbers w:val="0"/>
              <w:spacing w:before="0" w:beforeAutospacing="0" w:after="0" w:afterAutospacing="0" w:line="440" w:lineRule="exact"/>
              <w:ind w:left="0" w:right="0"/>
              <w:rPr>
                <w:rFonts w:hint="default" w:ascii="宋体" w:hAnsi="宋体"/>
                <w:sz w:val="24"/>
                <w:u w:val="single"/>
              </w:rPr>
            </w:pPr>
            <w:r>
              <w:rPr>
                <w:rFonts w:hint="eastAsia" w:ascii="宋体" w:hAnsi="宋体"/>
                <w:sz w:val="24"/>
              </w:rPr>
              <w:t>响应有效期：</w:t>
            </w:r>
            <w:r>
              <w:rPr>
                <w:rFonts w:hint="eastAsia" w:ascii="宋体" w:hAnsi="宋体"/>
                <w:sz w:val="24"/>
                <w:u w:val="single"/>
              </w:rPr>
              <w:t>60</w:t>
            </w:r>
            <w:r>
              <w:rPr>
                <w:rFonts w:hint="eastAsia" w:ascii="宋体" w:hAnsi="宋体"/>
                <w:sz w:val="24"/>
              </w:rPr>
              <w:t>日历日</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0" w:hRule="atLeast"/>
          <w:jc w:val="center"/>
        </w:trPr>
        <w:tc>
          <w:tcPr>
            <w:tcW w:w="954" w:type="dxa"/>
            <w:vAlign w:val="center"/>
          </w:tcPr>
          <w:p>
            <w:pPr>
              <w:keepNext w:val="0"/>
              <w:keepLines w:val="0"/>
              <w:suppressLineNumbers w:val="0"/>
              <w:spacing w:before="0" w:beforeAutospacing="0" w:after="0" w:afterAutospacing="0" w:line="560" w:lineRule="exact"/>
              <w:ind w:left="0" w:right="0"/>
              <w:jc w:val="center"/>
              <w:rPr>
                <w:rFonts w:hint="default" w:ascii="宋体" w:hAnsi="宋体"/>
                <w:sz w:val="24"/>
              </w:rPr>
            </w:pPr>
            <w:r>
              <w:rPr>
                <w:rFonts w:hint="eastAsia" w:ascii="宋体" w:hAnsi="宋体"/>
                <w:sz w:val="24"/>
              </w:rPr>
              <w:t>16.1</w:t>
            </w:r>
          </w:p>
        </w:tc>
        <w:tc>
          <w:tcPr>
            <w:tcW w:w="8093" w:type="dxa"/>
            <w:vAlign w:val="center"/>
          </w:tcPr>
          <w:p>
            <w:pPr>
              <w:keepNext w:val="0"/>
              <w:keepLines w:val="0"/>
              <w:suppressLineNumbers w:val="0"/>
              <w:spacing w:before="0" w:beforeAutospacing="0" w:after="0" w:afterAutospacing="0" w:line="440" w:lineRule="exact"/>
              <w:ind w:left="0" w:right="0"/>
              <w:rPr>
                <w:rFonts w:hint="eastAsia" w:ascii="宋体" w:hAnsi="宋体"/>
                <w:sz w:val="24"/>
              </w:rPr>
            </w:pPr>
            <w:r>
              <w:rPr>
                <w:rFonts w:hint="eastAsia" w:ascii="宋体" w:hAnsi="宋体"/>
                <w:sz w:val="24"/>
              </w:rPr>
              <w:t>需自行上传的文件：加密电子响应文件1份。</w:t>
            </w:r>
          </w:p>
          <w:p>
            <w:pPr>
              <w:keepNext w:val="0"/>
              <w:keepLines w:val="0"/>
              <w:suppressLineNumbers w:val="0"/>
              <w:spacing w:before="0" w:beforeAutospacing="0" w:after="0" w:afterAutospacing="0" w:line="440" w:lineRule="exact"/>
              <w:ind w:left="0" w:right="0" w:firstLine="482" w:firstLineChars="200"/>
              <w:rPr>
                <w:rFonts w:hint="eastAsia" w:ascii="宋体" w:hAnsi="宋体"/>
                <w:b/>
                <w:bCs/>
                <w:sz w:val="24"/>
                <w:lang w:val="en-US" w:eastAsia="zh-CN"/>
              </w:rPr>
            </w:pPr>
            <w:r>
              <w:rPr>
                <w:rFonts w:hint="eastAsia" w:ascii="宋体" w:hAnsi="宋体"/>
                <w:b/>
                <w:bCs/>
                <w:sz w:val="24"/>
                <w:lang w:val="en-US" w:eastAsia="zh-CN"/>
              </w:rPr>
              <w:t xml:space="preserve">加密的电子响应文件(文件格式为. zbtf) </w:t>
            </w:r>
            <w:r>
              <w:rPr>
                <w:rFonts w:hint="eastAsia" w:ascii="宋体" w:hAnsi="宋体"/>
                <w:sz w:val="24"/>
                <w:lang w:val="en-US" w:eastAsia="zh-CN"/>
              </w:rPr>
              <w:t>,在投标截止时间前通过淄博市公共资源交易平台.上传</w:t>
            </w:r>
            <w:r>
              <w:rPr>
                <w:rFonts w:hint="eastAsia" w:ascii="宋体" w:hAnsi="宋体"/>
                <w:b/>
                <w:bCs/>
                <w:sz w:val="24"/>
                <w:lang w:val="en-US" w:eastAsia="zh-CN"/>
              </w:rPr>
              <w:t>(投标单位上传响应文件后，如遇CA锁续费,请投标单位及时撤销已上传响应文件,并用续费后的CA锁重新生成响应文件并上传) ;</w:t>
            </w:r>
          </w:p>
          <w:p>
            <w:pPr>
              <w:keepNext w:val="0"/>
              <w:keepLines w:val="0"/>
              <w:suppressLineNumbers w:val="0"/>
              <w:spacing w:before="0" w:beforeAutospacing="0" w:after="0" w:afterAutospacing="0" w:line="440" w:lineRule="exact"/>
              <w:ind w:left="0" w:right="0" w:firstLine="480" w:firstLineChars="200"/>
              <w:rPr>
                <w:rFonts w:hint="eastAsia" w:ascii="宋体" w:hAnsi="宋体"/>
                <w:sz w:val="24"/>
              </w:rPr>
            </w:pPr>
            <w:r>
              <w:rPr>
                <w:rFonts w:hint="eastAsia" w:ascii="宋体" w:hAnsi="宋体"/>
                <w:sz w:val="24"/>
                <w:lang w:val="en-US" w:eastAsia="zh-CN"/>
              </w:rPr>
              <w:t>注:加密的电子响应文件为使用淄博市公共资源交易网提供的电子响应文件制作工具(淄博市市公共资源交易网-下载中心-响应文件制作工具软件及相关插件下载)制作生成的加密版响应文件。</w:t>
            </w:r>
            <w:r>
              <w:rPr>
                <w:rFonts w:hint="eastAsia" w:ascii="宋体" w:hAnsi="宋体"/>
                <w:b/>
                <w:bCs/>
                <w:sz w:val="24"/>
                <w:lang w:val="en-US" w:eastAsia="zh-CN"/>
              </w:rPr>
              <w:t>【 备注:根据采购人要求，成交供应商应及时提供纸质版的响应文件一式叁份给代理机构，</w:t>
            </w:r>
            <w:r>
              <w:rPr>
                <w:rFonts w:hint="eastAsia" w:ascii="宋体" w:hAnsi="宋体"/>
                <w:sz w:val="24"/>
                <w:lang w:val="en-US" w:eastAsia="zh-CN"/>
              </w:rPr>
              <w:t>纸质版的响应文件由最终定稿生成的"未加密版响应文件”打印并装订(未加密的电子响应文件应为与加密的电子响应文件同时生成的版本) :应加盖单位公章、并由全权代表签字或盖章。】</w:t>
            </w:r>
            <w:r>
              <w:rPr>
                <w:rFonts w:hint="eastAsia" w:ascii="宋体" w:hAnsi="宋体"/>
                <w:b/>
                <w:bCs/>
                <w:sz w:val="24"/>
                <w:lang w:val="en-US" w:eastAsia="zh-CN"/>
              </w:rPr>
              <w:t>针对同一项目,不同供应商使用同一计算机制作并生成电子投标文件的视为文件制作机器码一致，不同供应商使用同-投标文件的过程稨制作并生成电子投标文件的视为文件创建标识码-致。上述两种情形，经发现，视为供应商相互串通投标，将导致投标均被拒绝且按串通投标处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50" w:hRule="atLeast"/>
          <w:jc w:val="center"/>
        </w:trPr>
        <w:tc>
          <w:tcPr>
            <w:tcW w:w="954" w:type="dxa"/>
            <w:vAlign w:val="center"/>
          </w:tcPr>
          <w:p>
            <w:pPr>
              <w:keepNext w:val="0"/>
              <w:keepLines w:val="0"/>
              <w:suppressLineNumbers w:val="0"/>
              <w:spacing w:before="0" w:beforeAutospacing="0" w:after="0" w:afterAutospacing="0" w:line="440" w:lineRule="exact"/>
              <w:ind w:left="0" w:right="0"/>
              <w:jc w:val="center"/>
              <w:rPr>
                <w:rFonts w:hint="default" w:ascii="仿宋_GB2312" w:eastAsia="仿宋_GB2312"/>
                <w:sz w:val="24"/>
              </w:rPr>
            </w:pPr>
            <w:r>
              <w:rPr>
                <w:rFonts w:hint="eastAsia" w:ascii="宋体" w:hAnsi="宋体" w:eastAsia="仿宋_GB2312"/>
                <w:sz w:val="24"/>
              </w:rPr>
              <w:t>18.1</w:t>
            </w:r>
          </w:p>
        </w:tc>
        <w:tc>
          <w:tcPr>
            <w:tcW w:w="8093" w:type="dxa"/>
            <w:vAlign w:val="center"/>
          </w:tcPr>
          <w:p>
            <w:pPr>
              <w:keepNext w:val="0"/>
              <w:keepLines w:val="0"/>
              <w:suppressLineNumbers w:val="0"/>
              <w:spacing w:before="0" w:beforeAutospacing="0" w:after="0" w:afterAutospacing="0" w:line="440" w:lineRule="exact"/>
              <w:ind w:left="0" w:right="0"/>
              <w:rPr>
                <w:rFonts w:hint="default" w:ascii="宋体" w:hAnsi="宋体"/>
                <w:sz w:val="24"/>
              </w:rPr>
            </w:pPr>
            <w:r>
              <w:rPr>
                <w:rFonts w:hint="eastAsia" w:ascii="宋体" w:hAnsi="宋体"/>
                <w:sz w:val="24"/>
              </w:rPr>
              <w:t>开启响应文件时间：</w:t>
            </w:r>
            <w:r>
              <w:rPr>
                <w:rFonts w:hint="eastAsia" w:ascii="宋体" w:hAnsi="宋体"/>
                <w:sz w:val="24"/>
                <w:u w:val="single"/>
              </w:rPr>
              <w:t>2022年</w:t>
            </w:r>
            <w:r>
              <w:rPr>
                <w:rFonts w:hint="eastAsia" w:ascii="宋体" w:hAnsi="宋体"/>
                <w:sz w:val="24"/>
                <w:u w:val="single"/>
                <w:lang w:val="en-US" w:eastAsia="zh-CN"/>
              </w:rPr>
              <w:t>8</w:t>
            </w:r>
            <w:r>
              <w:rPr>
                <w:rFonts w:hint="eastAsia" w:ascii="宋体" w:hAnsi="宋体"/>
                <w:sz w:val="24"/>
                <w:u w:val="single"/>
              </w:rPr>
              <w:t>月</w:t>
            </w:r>
            <w:r>
              <w:rPr>
                <w:rFonts w:hint="eastAsia" w:ascii="宋体" w:hAnsi="宋体"/>
                <w:sz w:val="24"/>
                <w:u w:val="single"/>
                <w:lang w:val="en-US" w:eastAsia="zh-CN"/>
              </w:rPr>
              <w:t>5</w:t>
            </w:r>
            <w:r>
              <w:rPr>
                <w:rFonts w:hint="eastAsia" w:ascii="宋体" w:hAnsi="宋体"/>
                <w:sz w:val="24"/>
                <w:u w:val="single"/>
              </w:rPr>
              <w:t>日</w:t>
            </w:r>
            <w:r>
              <w:rPr>
                <w:rFonts w:hint="eastAsia" w:ascii="宋体" w:hAnsi="宋体"/>
                <w:sz w:val="24"/>
                <w:u w:val="single"/>
                <w:lang w:val="en-US" w:eastAsia="zh-CN"/>
              </w:rPr>
              <w:t>09</w:t>
            </w:r>
            <w:r>
              <w:rPr>
                <w:rFonts w:hint="eastAsia" w:ascii="宋体" w:hAnsi="宋体"/>
                <w:sz w:val="24"/>
                <w:u w:val="single"/>
              </w:rPr>
              <w:t>时00分</w:t>
            </w:r>
          </w:p>
          <w:p>
            <w:pPr>
              <w:keepNext w:val="0"/>
              <w:keepLines w:val="0"/>
              <w:suppressLineNumbers w:val="0"/>
              <w:spacing w:before="0" w:beforeAutospacing="0" w:after="0" w:afterAutospacing="0" w:line="440" w:lineRule="exact"/>
              <w:ind w:left="0" w:right="0"/>
              <w:rPr>
                <w:rFonts w:hint="default" w:ascii="宋体" w:hAnsi="宋体"/>
                <w:sz w:val="24"/>
              </w:rPr>
            </w:pPr>
            <w:r>
              <w:rPr>
                <w:rFonts w:hint="eastAsia" w:ascii="宋体" w:hAnsi="宋体"/>
                <w:sz w:val="24"/>
              </w:rPr>
              <w:t xml:space="preserve">地点：淄博市公共资源交易网网上开标大厅 （http://ggzyjy.zibo.gov.cn/）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50" w:hRule="atLeast"/>
          <w:jc w:val="center"/>
        </w:trPr>
        <w:tc>
          <w:tcPr>
            <w:tcW w:w="954" w:type="dxa"/>
            <w:vAlign w:val="center"/>
          </w:tcPr>
          <w:p>
            <w:pPr>
              <w:keepNext w:val="0"/>
              <w:keepLines w:val="0"/>
              <w:suppressLineNumbers w:val="0"/>
              <w:spacing w:before="0" w:beforeAutospacing="0" w:after="0" w:afterAutospacing="0" w:line="500" w:lineRule="exact"/>
              <w:ind w:left="0" w:right="0"/>
              <w:jc w:val="center"/>
              <w:rPr>
                <w:rFonts w:hint="default" w:ascii="宋体" w:hAnsi="宋体"/>
                <w:sz w:val="24"/>
              </w:rPr>
            </w:pPr>
            <w:r>
              <w:rPr>
                <w:rFonts w:hint="eastAsia" w:ascii="宋体" w:hAnsi="宋体"/>
                <w:sz w:val="24"/>
              </w:rPr>
              <w:t>19.2</w:t>
            </w:r>
          </w:p>
        </w:tc>
        <w:tc>
          <w:tcPr>
            <w:tcW w:w="8093" w:type="dxa"/>
            <w:vAlign w:val="center"/>
          </w:tcPr>
          <w:p>
            <w:pPr>
              <w:keepNext w:val="0"/>
              <w:keepLines w:val="0"/>
              <w:suppressLineNumbers w:val="0"/>
              <w:spacing w:before="0" w:beforeAutospacing="0" w:after="0" w:afterAutospacing="0" w:line="500" w:lineRule="exact"/>
              <w:ind w:left="0" w:right="0"/>
              <w:rPr>
                <w:rFonts w:hint="default" w:ascii="宋体" w:hAnsi="宋体"/>
                <w:sz w:val="24"/>
              </w:rPr>
            </w:pPr>
            <w:r>
              <w:rPr>
                <w:rFonts w:hint="eastAsia" w:ascii="宋体" w:hAnsi="宋体" w:cs="宋体"/>
                <w:bCs/>
                <w:sz w:val="24"/>
              </w:rPr>
              <w:t>信用</w:t>
            </w:r>
            <w:r>
              <w:rPr>
                <w:rFonts w:hint="eastAsia" w:ascii="宋体" w:hAnsi="宋体" w:cs="宋体"/>
                <w:bCs/>
                <w:sz w:val="24"/>
                <w:lang w:eastAsia="zh-CN"/>
              </w:rPr>
              <w:t>查询</w:t>
            </w:r>
            <w:r>
              <w:rPr>
                <w:rFonts w:hint="eastAsia" w:ascii="宋体" w:hAnsi="宋体" w:cs="宋体"/>
                <w:bCs/>
                <w:sz w:val="24"/>
              </w:rPr>
              <w:t>时间：投标截止时间后评标会议开始前查询投标人信用记录。对列入失信被执行人、重大税收违法案件当事人名单、政府采购严重违法失信行为记录名单及其他不符合《中华人民共和国政府采购法》第二十二条规定条件的投标人，将拒绝其参与本次采购活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65" w:hRule="atLeast"/>
          <w:jc w:val="center"/>
        </w:trPr>
        <w:tc>
          <w:tcPr>
            <w:tcW w:w="954" w:type="dxa"/>
            <w:vMerge w:val="restart"/>
            <w:vAlign w:val="center"/>
          </w:tcPr>
          <w:p>
            <w:pPr>
              <w:keepNext w:val="0"/>
              <w:keepLines w:val="0"/>
              <w:suppressLineNumbers w:val="0"/>
              <w:spacing w:before="0" w:beforeAutospacing="0" w:after="0" w:afterAutospacing="0" w:line="500" w:lineRule="exact"/>
              <w:ind w:left="0" w:right="0"/>
              <w:jc w:val="center"/>
              <w:rPr>
                <w:rFonts w:hint="default" w:ascii="宋体" w:hAnsi="宋体"/>
                <w:sz w:val="24"/>
              </w:rPr>
            </w:pPr>
            <w:r>
              <w:rPr>
                <w:rFonts w:hint="eastAsia" w:ascii="宋体" w:hAnsi="宋体"/>
                <w:sz w:val="24"/>
              </w:rPr>
              <w:t>31</w:t>
            </w:r>
          </w:p>
        </w:tc>
        <w:tc>
          <w:tcPr>
            <w:tcW w:w="8093" w:type="dxa"/>
            <w:vAlign w:val="center"/>
          </w:tcPr>
          <w:p>
            <w:pPr>
              <w:keepNext w:val="0"/>
              <w:keepLines w:val="0"/>
              <w:suppressLineNumbers w:val="0"/>
              <w:spacing w:before="0" w:beforeAutospacing="0" w:after="0" w:afterAutospacing="0" w:line="500" w:lineRule="exact"/>
              <w:ind w:left="0" w:right="0"/>
              <w:rPr>
                <w:rFonts w:hint="default" w:ascii="宋体" w:hAnsi="宋体"/>
                <w:sz w:val="24"/>
              </w:rPr>
            </w:pPr>
            <w:r>
              <w:rPr>
                <w:rFonts w:hint="eastAsia" w:ascii="宋体" w:hAnsi="宋体"/>
                <w:sz w:val="24"/>
              </w:rPr>
              <w:t>是否提交履约保证：否☑ 是□</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jc w:val="center"/>
        </w:trPr>
        <w:tc>
          <w:tcPr>
            <w:tcW w:w="954" w:type="dxa"/>
            <w:vMerge w:val="continue"/>
            <w:vAlign w:val="center"/>
          </w:tcPr>
          <w:p>
            <w:pPr>
              <w:keepNext w:val="0"/>
              <w:keepLines w:val="0"/>
              <w:suppressLineNumbers w:val="0"/>
              <w:spacing w:before="0" w:beforeAutospacing="0" w:after="0" w:afterAutospacing="0" w:line="500" w:lineRule="exact"/>
              <w:ind w:left="0" w:right="0"/>
              <w:jc w:val="center"/>
              <w:rPr>
                <w:rFonts w:hint="default" w:ascii="宋体" w:hAnsi="宋体"/>
                <w:sz w:val="24"/>
              </w:rPr>
            </w:pPr>
          </w:p>
        </w:tc>
        <w:tc>
          <w:tcPr>
            <w:tcW w:w="8093" w:type="dxa"/>
            <w:vAlign w:val="center"/>
          </w:tcPr>
          <w:p>
            <w:pPr>
              <w:keepNext w:val="0"/>
              <w:keepLines w:val="0"/>
              <w:suppressLineNumbers w:val="0"/>
              <w:spacing w:before="0" w:beforeAutospacing="0" w:after="0" w:afterAutospacing="0" w:line="500" w:lineRule="exact"/>
              <w:ind w:left="0" w:right="0"/>
              <w:rPr>
                <w:rFonts w:hint="default" w:ascii="宋体" w:hAnsi="宋体"/>
                <w:sz w:val="24"/>
              </w:rPr>
            </w:pPr>
            <w:r>
              <w:rPr>
                <w:rFonts w:hint="eastAsia" w:ascii="宋体" w:hAnsi="宋体"/>
                <w:sz w:val="24"/>
              </w:rPr>
              <w:t>履约保证的形式：履约保证金（非现金形式）、履约保函、履约担保函。</w:t>
            </w:r>
          </w:p>
          <w:p>
            <w:pPr>
              <w:keepNext w:val="0"/>
              <w:keepLines w:val="0"/>
              <w:suppressLineNumbers w:val="0"/>
              <w:spacing w:before="0" w:beforeAutospacing="0" w:after="0" w:afterAutospacing="0" w:line="500" w:lineRule="exact"/>
              <w:ind w:left="0" w:right="0"/>
              <w:rPr>
                <w:rFonts w:hint="default" w:ascii="宋体" w:hAnsi="宋体"/>
                <w:sz w:val="24"/>
              </w:rPr>
            </w:pPr>
            <w:r>
              <w:rPr>
                <w:rFonts w:hint="eastAsia" w:ascii="宋体" w:hAnsi="宋体"/>
                <w:sz w:val="24"/>
              </w:rPr>
              <w:t>提交履约保证的时间：/</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954" w:type="dxa"/>
            <w:vMerge w:val="continue"/>
            <w:vAlign w:val="center"/>
          </w:tcPr>
          <w:p>
            <w:pPr>
              <w:keepNext w:val="0"/>
              <w:keepLines w:val="0"/>
              <w:suppressLineNumbers w:val="0"/>
              <w:spacing w:before="0" w:beforeAutospacing="0" w:after="0" w:afterAutospacing="0" w:line="500" w:lineRule="exact"/>
              <w:ind w:left="0" w:right="0"/>
              <w:jc w:val="center"/>
              <w:rPr>
                <w:rFonts w:hint="default" w:ascii="宋体" w:hAnsi="宋体"/>
                <w:sz w:val="24"/>
              </w:rPr>
            </w:pPr>
          </w:p>
        </w:tc>
        <w:tc>
          <w:tcPr>
            <w:tcW w:w="8093" w:type="dxa"/>
            <w:vAlign w:val="center"/>
          </w:tcPr>
          <w:p>
            <w:pPr>
              <w:keepNext w:val="0"/>
              <w:keepLines w:val="0"/>
              <w:suppressLineNumbers w:val="0"/>
              <w:spacing w:before="0" w:beforeAutospacing="0" w:after="0" w:afterAutospacing="0" w:line="500" w:lineRule="exact"/>
              <w:ind w:left="0" w:right="0"/>
              <w:rPr>
                <w:rFonts w:hint="default" w:ascii="宋体" w:hAnsi="宋体"/>
                <w:sz w:val="24"/>
              </w:rPr>
            </w:pPr>
            <w:r>
              <w:rPr>
                <w:rFonts w:hint="eastAsia" w:ascii="宋体" w:hAnsi="宋体"/>
                <w:sz w:val="24"/>
              </w:rPr>
              <w:t>履约保证金额：无</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12" w:hRule="atLeast"/>
          <w:jc w:val="center"/>
        </w:trPr>
        <w:tc>
          <w:tcPr>
            <w:tcW w:w="954" w:type="dxa"/>
            <w:vAlign w:val="center"/>
          </w:tcPr>
          <w:p>
            <w:pPr>
              <w:keepNext w:val="0"/>
              <w:keepLines w:val="0"/>
              <w:suppressLineNumbers w:val="0"/>
              <w:spacing w:before="0" w:beforeAutospacing="0" w:after="0" w:afterAutospacing="0" w:line="500" w:lineRule="exact"/>
              <w:ind w:left="0" w:right="0"/>
              <w:jc w:val="center"/>
              <w:rPr>
                <w:rFonts w:hint="default" w:ascii="宋体" w:hAnsi="宋体"/>
                <w:sz w:val="24"/>
              </w:rPr>
            </w:pPr>
            <w:r>
              <w:rPr>
                <w:rFonts w:hint="eastAsia" w:ascii="宋体" w:hAnsi="宋体"/>
                <w:sz w:val="24"/>
              </w:rPr>
              <w:t>33.1</w:t>
            </w:r>
          </w:p>
        </w:tc>
        <w:tc>
          <w:tcPr>
            <w:tcW w:w="8093" w:type="dxa"/>
            <w:vAlign w:val="center"/>
          </w:tcPr>
          <w:p>
            <w:pPr>
              <w:keepNext w:val="0"/>
              <w:keepLines w:val="0"/>
              <w:suppressLineNumbers w:val="0"/>
              <w:spacing w:before="0" w:beforeAutospacing="0" w:after="0" w:afterAutospacing="0" w:line="500" w:lineRule="exact"/>
              <w:ind w:left="0" w:right="0"/>
              <w:rPr>
                <w:rFonts w:hint="default" w:ascii="宋体" w:hAnsi="宋体"/>
                <w:sz w:val="24"/>
              </w:rPr>
            </w:pPr>
            <w:r>
              <w:rPr>
                <w:rFonts w:hint="eastAsia" w:ascii="宋体" w:hAnsi="宋体"/>
                <w:sz w:val="24"/>
              </w:rPr>
              <w:t>是否支付预付款：否☑   是□，预付款比例为：/</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12" w:hRule="atLeast"/>
          <w:jc w:val="center"/>
        </w:trPr>
        <w:tc>
          <w:tcPr>
            <w:tcW w:w="954" w:type="dxa"/>
            <w:vAlign w:val="center"/>
          </w:tcPr>
          <w:p>
            <w:pPr>
              <w:keepNext w:val="0"/>
              <w:keepLines w:val="0"/>
              <w:suppressLineNumbers w:val="0"/>
              <w:spacing w:before="0" w:beforeAutospacing="0" w:after="0" w:afterAutospacing="0" w:line="500" w:lineRule="exact"/>
              <w:ind w:left="0" w:right="0"/>
              <w:jc w:val="center"/>
              <w:rPr>
                <w:rFonts w:hint="default" w:ascii="宋体" w:hAnsi="宋体"/>
                <w:sz w:val="24"/>
              </w:rPr>
            </w:pPr>
            <w:r>
              <w:rPr>
                <w:rFonts w:hint="eastAsia" w:ascii="宋体" w:hAnsi="宋体"/>
                <w:sz w:val="24"/>
              </w:rPr>
              <w:t>34.3</w:t>
            </w:r>
          </w:p>
        </w:tc>
        <w:tc>
          <w:tcPr>
            <w:tcW w:w="8093" w:type="dxa"/>
            <w:vAlign w:val="center"/>
          </w:tcPr>
          <w:p>
            <w:pPr>
              <w:keepNext w:val="0"/>
              <w:keepLines w:val="0"/>
              <w:suppressLineNumbers w:val="0"/>
              <w:spacing w:before="0" w:beforeAutospacing="0" w:after="0" w:afterAutospacing="0" w:line="500" w:lineRule="exact"/>
              <w:ind w:left="0" w:right="0"/>
              <w:rPr>
                <w:rFonts w:hint="default" w:ascii="宋体" w:hAnsi="宋体"/>
                <w:sz w:val="24"/>
              </w:rPr>
            </w:pPr>
            <w:r>
              <w:rPr>
                <w:rFonts w:hint="eastAsia" w:ascii="宋体" w:hAnsi="宋体"/>
                <w:sz w:val="24"/>
              </w:rPr>
              <w:t>反腐倡廉监督电话/邮箱：/</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60" w:hRule="atLeast"/>
          <w:jc w:val="center"/>
        </w:trPr>
        <w:tc>
          <w:tcPr>
            <w:tcW w:w="954" w:type="dxa"/>
            <w:vAlign w:val="center"/>
          </w:tcPr>
          <w:p>
            <w:pPr>
              <w:keepNext w:val="0"/>
              <w:keepLines w:val="0"/>
              <w:suppressLineNumbers w:val="0"/>
              <w:spacing w:before="0" w:beforeAutospacing="0" w:after="0" w:afterAutospacing="0" w:line="440" w:lineRule="exact"/>
              <w:ind w:left="0" w:right="0"/>
              <w:jc w:val="center"/>
              <w:rPr>
                <w:rFonts w:hint="default" w:ascii="宋体" w:hAnsi="宋体"/>
                <w:sz w:val="24"/>
              </w:rPr>
            </w:pPr>
            <w:r>
              <w:rPr>
                <w:rFonts w:hint="eastAsia" w:ascii="宋体" w:hAnsi="宋体"/>
                <w:sz w:val="24"/>
              </w:rPr>
              <w:t>36.3</w:t>
            </w:r>
          </w:p>
        </w:tc>
        <w:tc>
          <w:tcPr>
            <w:tcW w:w="8093" w:type="dxa"/>
            <w:vAlign w:val="center"/>
          </w:tcPr>
          <w:p>
            <w:pPr>
              <w:keepNext w:val="0"/>
              <w:keepLines w:val="0"/>
              <w:suppressLineNumbers w:val="0"/>
              <w:spacing w:before="0" w:beforeAutospacing="0" w:after="0" w:afterAutospacing="0" w:line="440" w:lineRule="exact"/>
              <w:ind w:left="0" w:right="0"/>
              <w:rPr>
                <w:rFonts w:hint="default" w:ascii="宋体" w:hAnsi="宋体"/>
                <w:sz w:val="24"/>
              </w:rPr>
            </w:pPr>
            <w:r>
              <w:rPr>
                <w:rFonts w:hint="eastAsia" w:ascii="宋体" w:hAnsi="宋体"/>
                <w:sz w:val="24"/>
              </w:rPr>
              <w:t>质疑函接收部门、联系电话和通讯地址：</w:t>
            </w:r>
          </w:p>
          <w:p>
            <w:pPr>
              <w:keepNext w:val="0"/>
              <w:keepLines w:val="0"/>
              <w:suppressLineNumbers w:val="0"/>
              <w:spacing w:before="0" w:beforeAutospacing="0" w:after="0" w:afterAutospacing="0" w:line="440" w:lineRule="exact"/>
              <w:ind w:left="0" w:right="0"/>
              <w:rPr>
                <w:rFonts w:hint="default" w:ascii="宋体" w:hAnsi="宋体"/>
                <w:sz w:val="24"/>
              </w:rPr>
            </w:pPr>
            <w:r>
              <w:rPr>
                <w:rFonts w:hint="eastAsia" w:ascii="宋体" w:hAnsi="宋体"/>
                <w:sz w:val="24"/>
              </w:rPr>
              <w:t>采购人：</w:t>
            </w:r>
          </w:p>
          <w:p>
            <w:pPr>
              <w:keepNext w:val="0"/>
              <w:keepLines w:val="0"/>
              <w:suppressLineNumbers w:val="0"/>
              <w:spacing w:before="0" w:beforeAutospacing="0" w:after="0" w:afterAutospacing="0" w:line="440" w:lineRule="exact"/>
              <w:ind w:left="0" w:right="0"/>
              <w:rPr>
                <w:rFonts w:hint="default" w:ascii="宋体" w:hAnsi="宋体"/>
                <w:sz w:val="24"/>
              </w:rPr>
            </w:pPr>
            <w:r>
              <w:rPr>
                <w:rFonts w:hint="eastAsia" w:ascii="宋体" w:hAnsi="宋体"/>
                <w:sz w:val="24"/>
              </w:rPr>
              <w:t>联系部门：淄博市传染病医院</w:t>
            </w:r>
          </w:p>
          <w:p>
            <w:pPr>
              <w:keepNext w:val="0"/>
              <w:keepLines w:val="0"/>
              <w:suppressLineNumbers w:val="0"/>
              <w:spacing w:before="0" w:beforeAutospacing="0" w:after="0" w:afterAutospacing="0" w:line="440" w:lineRule="exact"/>
              <w:ind w:left="0" w:right="0"/>
              <w:rPr>
                <w:rFonts w:hint="default" w:ascii="宋体" w:hAnsi="宋体"/>
                <w:sz w:val="24"/>
              </w:rPr>
            </w:pPr>
            <w:r>
              <w:rPr>
                <w:rFonts w:hint="eastAsia" w:ascii="宋体" w:hAnsi="宋体"/>
                <w:sz w:val="24"/>
              </w:rPr>
              <w:t>联系电话：0533-2985084</w:t>
            </w:r>
          </w:p>
          <w:p>
            <w:pPr>
              <w:keepNext w:val="0"/>
              <w:keepLines w:val="0"/>
              <w:suppressLineNumbers w:val="0"/>
              <w:spacing w:before="0" w:beforeAutospacing="0" w:after="0" w:afterAutospacing="0" w:line="440" w:lineRule="exact"/>
              <w:ind w:left="0" w:right="0"/>
              <w:rPr>
                <w:rFonts w:hint="default" w:ascii="宋体" w:hAnsi="宋体"/>
                <w:sz w:val="24"/>
              </w:rPr>
            </w:pPr>
            <w:r>
              <w:rPr>
                <w:rFonts w:hint="eastAsia" w:ascii="宋体" w:hAnsi="宋体"/>
                <w:sz w:val="24"/>
              </w:rPr>
              <w:t>通讯地址：淄博市张店区山泉路210号</w:t>
            </w:r>
          </w:p>
          <w:p>
            <w:pPr>
              <w:keepNext w:val="0"/>
              <w:keepLines w:val="0"/>
              <w:suppressLineNumbers w:val="0"/>
              <w:spacing w:before="0" w:beforeAutospacing="0" w:after="0" w:afterAutospacing="0" w:line="440" w:lineRule="exact"/>
              <w:ind w:left="0" w:right="0"/>
              <w:rPr>
                <w:rFonts w:hint="default" w:ascii="宋体" w:hAnsi="宋体"/>
                <w:sz w:val="24"/>
              </w:rPr>
            </w:pPr>
            <w:r>
              <w:rPr>
                <w:rFonts w:hint="eastAsia" w:ascii="宋体" w:hAnsi="宋体"/>
                <w:sz w:val="24"/>
              </w:rPr>
              <w:t>采购代理机构：</w:t>
            </w:r>
          </w:p>
          <w:p>
            <w:pPr>
              <w:keepNext w:val="0"/>
              <w:keepLines w:val="0"/>
              <w:suppressLineNumbers w:val="0"/>
              <w:spacing w:before="0" w:beforeAutospacing="0" w:after="0" w:afterAutospacing="0" w:line="440" w:lineRule="exact"/>
              <w:ind w:left="0" w:right="0"/>
              <w:rPr>
                <w:rFonts w:hint="eastAsia" w:ascii="宋体" w:hAnsi="宋体" w:eastAsia="宋体"/>
                <w:sz w:val="24"/>
                <w:lang w:eastAsia="zh-CN"/>
              </w:rPr>
            </w:pPr>
            <w:r>
              <w:rPr>
                <w:rFonts w:hint="eastAsia" w:ascii="宋体" w:hAnsi="宋体"/>
                <w:sz w:val="24"/>
              </w:rPr>
              <w:t>联系部门：</w:t>
            </w:r>
            <w:r>
              <w:rPr>
                <w:rFonts w:hint="eastAsia" w:ascii="宋体" w:hAnsi="宋体"/>
                <w:sz w:val="24"/>
                <w:lang w:eastAsia="zh-CN"/>
              </w:rPr>
              <w:t>山东东成建设咨询有限公司淄博分公司</w:t>
            </w:r>
          </w:p>
          <w:p>
            <w:pPr>
              <w:keepNext w:val="0"/>
              <w:keepLines w:val="0"/>
              <w:suppressLineNumbers w:val="0"/>
              <w:spacing w:before="0" w:beforeAutospacing="0" w:after="0" w:afterAutospacing="0" w:line="440" w:lineRule="exact"/>
              <w:ind w:left="0" w:right="0"/>
              <w:rPr>
                <w:rFonts w:hint="default" w:ascii="宋体" w:hAnsi="宋体"/>
                <w:sz w:val="24"/>
              </w:rPr>
            </w:pPr>
            <w:r>
              <w:rPr>
                <w:rFonts w:hint="eastAsia" w:ascii="宋体" w:hAnsi="宋体"/>
                <w:sz w:val="24"/>
              </w:rPr>
              <w:t>联系电话：0533-8039552</w:t>
            </w:r>
          </w:p>
          <w:p>
            <w:pPr>
              <w:keepNext w:val="0"/>
              <w:keepLines w:val="0"/>
              <w:suppressLineNumbers w:val="0"/>
              <w:spacing w:before="0" w:beforeAutospacing="0" w:after="0" w:afterAutospacing="0" w:line="440" w:lineRule="exact"/>
              <w:ind w:left="0" w:right="0"/>
              <w:rPr>
                <w:rFonts w:hint="default" w:ascii="宋体" w:hAnsi="宋体"/>
                <w:sz w:val="24"/>
              </w:rPr>
            </w:pPr>
            <w:r>
              <w:rPr>
                <w:rFonts w:hint="eastAsia" w:ascii="宋体" w:hAnsi="宋体"/>
                <w:sz w:val="24"/>
              </w:rPr>
              <w:t>通讯地址：淄博高新区张桓路77号天行健大厦5楼</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954" w:type="dxa"/>
            <w:vAlign w:val="center"/>
          </w:tcPr>
          <w:p>
            <w:pPr>
              <w:keepNext w:val="0"/>
              <w:keepLines w:val="0"/>
              <w:suppressLineNumbers w:val="0"/>
              <w:spacing w:before="0" w:beforeAutospacing="0" w:after="0" w:afterAutospacing="0" w:line="440" w:lineRule="exact"/>
              <w:ind w:left="0" w:right="0"/>
              <w:jc w:val="center"/>
              <w:rPr>
                <w:rFonts w:hint="default" w:ascii="宋体" w:hAnsi="宋体"/>
                <w:sz w:val="24"/>
              </w:rPr>
            </w:pPr>
            <w:r>
              <w:rPr>
                <w:rFonts w:hint="eastAsia" w:ascii="宋体" w:hAnsi="宋体"/>
                <w:sz w:val="24"/>
              </w:rPr>
              <w:t>37.1</w:t>
            </w:r>
          </w:p>
        </w:tc>
        <w:tc>
          <w:tcPr>
            <w:tcW w:w="8093" w:type="dxa"/>
            <w:vAlign w:val="center"/>
          </w:tcPr>
          <w:p>
            <w:pPr>
              <w:keepNext w:val="0"/>
              <w:keepLines w:val="0"/>
              <w:suppressLineNumbers w:val="0"/>
              <w:spacing w:before="0" w:beforeAutospacing="0" w:after="0" w:afterAutospacing="0" w:line="440" w:lineRule="exact"/>
              <w:ind w:left="0" w:right="0"/>
              <w:jc w:val="left"/>
              <w:rPr>
                <w:rFonts w:hint="eastAsia" w:ascii="宋体" w:hAnsi="宋体"/>
                <w:sz w:val="24"/>
                <w:lang w:eastAsia="zh-CN"/>
              </w:rPr>
            </w:pPr>
            <w:r>
              <w:rPr>
                <w:rFonts w:hint="eastAsia" w:ascii="宋体" w:hAnsi="宋体"/>
                <w:sz w:val="24"/>
              </w:rPr>
              <w:t>中标服务费：招标代理服务费：采购代理机构按一定比例向成交人收取代理服务费，具体</w:t>
            </w:r>
            <w:r>
              <w:rPr>
                <w:rFonts w:hint="eastAsia" w:ascii="宋体" w:hAnsi="宋体"/>
                <w:sz w:val="24"/>
                <w:lang w:eastAsia="zh-CN"/>
              </w:rPr>
              <w:t>金额</w:t>
            </w:r>
            <w:r>
              <w:rPr>
                <w:rFonts w:hint="eastAsia" w:ascii="宋体" w:hAnsi="宋体"/>
                <w:sz w:val="24"/>
              </w:rPr>
              <w:t>为：</w:t>
            </w:r>
            <w:r>
              <w:rPr>
                <w:rFonts w:hint="eastAsia" w:ascii="宋体" w:hAnsi="宋体"/>
                <w:sz w:val="24"/>
                <w:lang w:eastAsia="zh-CN"/>
              </w:rPr>
              <w:t>陆仟元整</w:t>
            </w:r>
            <w:r>
              <w:rPr>
                <w:rFonts w:hint="eastAsia" w:ascii="宋体" w:hAnsi="宋体"/>
                <w:sz w:val="24"/>
                <w:lang w:val="en-US" w:eastAsia="zh-CN"/>
              </w:rPr>
              <w:t>。</w:t>
            </w:r>
          </w:p>
          <w:p>
            <w:pPr>
              <w:keepNext w:val="0"/>
              <w:keepLines w:val="0"/>
              <w:suppressLineNumbers w:val="0"/>
              <w:spacing w:before="0" w:beforeAutospacing="0" w:after="0" w:afterAutospacing="0" w:line="440" w:lineRule="exact"/>
              <w:ind w:left="0" w:right="0"/>
              <w:jc w:val="left"/>
              <w:rPr>
                <w:rFonts w:hint="eastAsia" w:ascii="宋体" w:hAnsi="宋体" w:eastAsia="宋体"/>
                <w:sz w:val="24"/>
                <w:lang w:eastAsia="zh-CN"/>
              </w:rPr>
            </w:pPr>
            <w:r>
              <w:rPr>
                <w:rFonts w:hint="eastAsia" w:ascii="宋体" w:hAnsi="宋体"/>
                <w:sz w:val="24"/>
              </w:rPr>
              <w:t>支付形式：电汇</w:t>
            </w:r>
            <w:r>
              <w:rPr>
                <w:rFonts w:hint="eastAsia" w:ascii="宋体" w:hAnsi="宋体"/>
                <w:sz w:val="24"/>
                <w:lang w:eastAsia="zh-CN"/>
              </w:rPr>
              <w:t>、现金</w:t>
            </w:r>
          </w:p>
          <w:p>
            <w:pPr>
              <w:keepNext w:val="0"/>
              <w:keepLines w:val="0"/>
              <w:suppressLineNumbers w:val="0"/>
              <w:spacing w:before="0" w:beforeAutospacing="0" w:after="0" w:afterAutospacing="0" w:line="440" w:lineRule="exact"/>
              <w:ind w:left="0" w:right="0"/>
              <w:jc w:val="left"/>
              <w:rPr>
                <w:rFonts w:hint="default" w:ascii="宋体" w:hAnsi="宋体"/>
                <w:sz w:val="24"/>
              </w:rPr>
            </w:pPr>
            <w:r>
              <w:rPr>
                <w:rFonts w:hint="eastAsia" w:ascii="宋体" w:hAnsi="宋体"/>
                <w:sz w:val="24"/>
              </w:rPr>
              <w:t>开户名：</w:t>
            </w:r>
            <w:r>
              <w:rPr>
                <w:rFonts w:hint="eastAsia" w:ascii="宋体" w:hAnsi="宋体"/>
                <w:sz w:val="24"/>
                <w:lang w:eastAsia="zh-CN"/>
              </w:rPr>
              <w:t>山东东成建设咨询有限公司淄博分公司</w:t>
            </w:r>
          </w:p>
          <w:p>
            <w:pPr>
              <w:keepNext w:val="0"/>
              <w:keepLines w:val="0"/>
              <w:suppressLineNumbers w:val="0"/>
              <w:spacing w:before="0" w:beforeAutospacing="0" w:after="0" w:afterAutospacing="0" w:line="440" w:lineRule="exact"/>
              <w:ind w:left="0" w:right="0"/>
              <w:jc w:val="left"/>
              <w:rPr>
                <w:rFonts w:hint="default" w:ascii="宋体" w:hAnsi="宋体"/>
                <w:sz w:val="24"/>
              </w:rPr>
            </w:pPr>
            <w:r>
              <w:rPr>
                <w:rFonts w:hint="eastAsia" w:ascii="宋体" w:hAnsi="宋体"/>
                <w:sz w:val="24"/>
              </w:rPr>
              <w:t>开户行：建设银行淄博分行张店支行</w:t>
            </w:r>
          </w:p>
          <w:p>
            <w:pPr>
              <w:keepNext w:val="0"/>
              <w:keepLines w:val="0"/>
              <w:suppressLineNumbers w:val="0"/>
              <w:spacing w:before="0" w:beforeAutospacing="0" w:after="0" w:afterAutospacing="0" w:line="440" w:lineRule="exact"/>
              <w:ind w:left="0" w:right="0"/>
              <w:jc w:val="left"/>
              <w:rPr>
                <w:rFonts w:hint="default" w:ascii="宋体" w:hAnsi="宋体"/>
                <w:sz w:val="24"/>
              </w:rPr>
            </w:pPr>
            <w:r>
              <w:rPr>
                <w:rFonts w:hint="eastAsia" w:ascii="宋体" w:hAnsi="宋体"/>
                <w:sz w:val="24"/>
              </w:rPr>
              <w:t>账 号：37001636141050149633</w:t>
            </w:r>
          </w:p>
          <w:p>
            <w:pPr>
              <w:keepNext w:val="0"/>
              <w:keepLines w:val="0"/>
              <w:suppressLineNumbers w:val="0"/>
              <w:spacing w:before="0" w:beforeAutospacing="0" w:after="0" w:afterAutospacing="0" w:line="440" w:lineRule="exact"/>
              <w:ind w:left="0" w:right="0"/>
              <w:jc w:val="left"/>
              <w:rPr>
                <w:rFonts w:hint="default" w:ascii="宋体" w:hAnsi="宋体"/>
                <w:sz w:val="24"/>
              </w:rPr>
            </w:pPr>
            <w:r>
              <w:rPr>
                <w:rFonts w:hint="eastAsia" w:ascii="宋体" w:hAnsi="宋体"/>
                <w:sz w:val="24"/>
              </w:rPr>
              <w:t>支付时间：</w:t>
            </w:r>
            <w:r>
              <w:rPr>
                <w:rFonts w:hint="eastAsia" w:ascii="宋体" w:hAnsi="宋体"/>
                <w:sz w:val="24"/>
                <w:lang w:val="zh-CN"/>
              </w:rPr>
              <w:t>本项目代理服务费在确定成交供应商3日内由成交供应商汇至.采购代理机构指定账号并注明项目名称。未按规定缴纳代理服务费的，采购代理机构将向采购监督部门反映将其失信行为纳入诚信记录。</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61" w:hRule="atLeast"/>
          <w:jc w:val="center"/>
        </w:trPr>
        <w:tc>
          <w:tcPr>
            <w:tcW w:w="954" w:type="dxa"/>
            <w:vAlign w:val="center"/>
          </w:tcPr>
          <w:p>
            <w:pPr>
              <w:keepNext w:val="0"/>
              <w:keepLines w:val="0"/>
              <w:suppressLineNumbers w:val="0"/>
              <w:spacing w:before="0" w:beforeAutospacing="0" w:after="0" w:afterAutospacing="0" w:line="440" w:lineRule="exact"/>
              <w:ind w:left="0" w:right="0"/>
              <w:jc w:val="center"/>
              <w:rPr>
                <w:rFonts w:hint="default" w:ascii="宋体" w:hAnsi="宋体"/>
                <w:sz w:val="24"/>
              </w:rPr>
            </w:pPr>
            <w:r>
              <w:rPr>
                <w:rFonts w:hint="eastAsia" w:ascii="宋体" w:hAnsi="宋体"/>
                <w:sz w:val="24"/>
              </w:rPr>
              <w:t>41</w:t>
            </w:r>
          </w:p>
        </w:tc>
        <w:tc>
          <w:tcPr>
            <w:tcW w:w="8093" w:type="dxa"/>
            <w:vAlign w:val="center"/>
          </w:tcPr>
          <w:p>
            <w:pPr>
              <w:keepNext w:val="0"/>
              <w:keepLines w:val="0"/>
              <w:suppressLineNumbers w:val="0"/>
              <w:spacing w:before="0" w:beforeAutospacing="0" w:after="0" w:afterAutospacing="0" w:line="440" w:lineRule="exact"/>
              <w:ind w:left="0" w:right="0"/>
              <w:rPr>
                <w:rFonts w:hint="default" w:ascii="宋体" w:hAnsi="宋体"/>
                <w:sz w:val="24"/>
              </w:rPr>
            </w:pPr>
            <w:r>
              <w:rPr>
                <w:rFonts w:hint="eastAsia" w:ascii="宋体" w:hAnsi="宋体"/>
                <w:sz w:val="24"/>
              </w:rPr>
              <w:t>单一来源采购文件解释权：</w:t>
            </w:r>
            <w:r>
              <w:rPr>
                <w:rFonts w:hint="eastAsia" w:ascii="宋体" w:hAnsi="宋体" w:cs="宋体"/>
                <w:color w:val="000000"/>
                <w:sz w:val="24"/>
              </w:rPr>
              <w:t>采购人及采购代理机构</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9047" w:type="dxa"/>
            <w:gridSpan w:val="2"/>
            <w:vAlign w:val="center"/>
          </w:tcPr>
          <w:p>
            <w:pPr>
              <w:keepNext w:val="0"/>
              <w:keepLines w:val="0"/>
              <w:suppressLineNumbers w:val="0"/>
              <w:spacing w:before="0" w:beforeAutospacing="0" w:after="0" w:afterAutospacing="0" w:line="440" w:lineRule="exact"/>
              <w:ind w:left="0" w:right="0"/>
              <w:jc w:val="center"/>
              <w:rPr>
                <w:rFonts w:hint="default" w:ascii="宋体" w:hAnsi="宋体"/>
                <w:sz w:val="24"/>
              </w:rPr>
            </w:pPr>
            <w:r>
              <w:rPr>
                <w:rFonts w:hint="eastAsia" w:ascii="宋体" w:hAnsi="宋体"/>
                <w:sz w:val="24"/>
              </w:rPr>
              <w:t>适用于本供应商须知的额外增加的变动：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954" w:type="dxa"/>
            <w:vAlign w:val="center"/>
          </w:tcPr>
          <w:p>
            <w:pPr>
              <w:keepNext w:val="0"/>
              <w:keepLines w:val="0"/>
              <w:suppressLineNumbers w:val="0"/>
              <w:spacing w:before="0" w:beforeAutospacing="0" w:after="0" w:afterAutospacing="0" w:line="440" w:lineRule="exact"/>
              <w:ind w:left="0" w:right="0"/>
              <w:jc w:val="center"/>
              <w:rPr>
                <w:rFonts w:hint="default" w:ascii="宋体" w:hAnsi="宋体"/>
                <w:sz w:val="24"/>
              </w:rPr>
            </w:pPr>
            <w:r>
              <w:rPr>
                <w:rFonts w:hint="eastAsia" w:ascii="宋体" w:hAnsi="宋体"/>
                <w:sz w:val="24"/>
              </w:rPr>
              <w:t>1</w:t>
            </w:r>
          </w:p>
        </w:tc>
        <w:tc>
          <w:tcPr>
            <w:tcW w:w="8093" w:type="dxa"/>
            <w:vAlign w:val="center"/>
          </w:tcPr>
          <w:p>
            <w:pPr>
              <w:keepNext w:val="0"/>
              <w:keepLines w:val="0"/>
              <w:suppressLineNumbers w:val="0"/>
              <w:spacing w:before="0" w:beforeAutospacing="0" w:after="0" w:afterAutospacing="0" w:line="440" w:lineRule="exact"/>
              <w:ind w:left="0" w:right="0"/>
              <w:rPr>
                <w:rFonts w:hint="default"/>
                <w:sz w:val="24"/>
              </w:rPr>
            </w:pPr>
            <w:bookmarkStart w:id="14" w:name="_Toc8395"/>
            <w:r>
              <w:rPr>
                <w:rFonts w:hint="eastAsia"/>
                <w:sz w:val="24"/>
              </w:rPr>
              <w:t>供应商资格条件（提供以下资料扫描件）：</w:t>
            </w:r>
            <w:bookmarkEnd w:id="14"/>
          </w:p>
          <w:p>
            <w:pPr>
              <w:keepNext w:val="0"/>
              <w:keepLines w:val="0"/>
              <w:suppressLineNumbers w:val="0"/>
              <w:spacing w:before="0" w:beforeAutospacing="0" w:after="0" w:afterAutospacing="0" w:line="440" w:lineRule="exact"/>
              <w:ind w:left="0" w:right="0"/>
              <w:rPr>
                <w:rFonts w:hint="default"/>
                <w:sz w:val="24"/>
              </w:rPr>
            </w:pPr>
            <w:r>
              <w:rPr>
                <w:rFonts w:hint="eastAsia"/>
                <w:sz w:val="24"/>
              </w:rPr>
              <w:t>1.</w:t>
            </w:r>
            <w:r>
              <w:rPr>
                <w:rFonts w:hint="eastAsia"/>
                <w:sz w:val="24"/>
                <w:lang w:val="zh-CN"/>
              </w:rPr>
              <w:t>具有统一社会信用代码的《营业执照》原件扫描件</w:t>
            </w:r>
            <w:r>
              <w:rPr>
                <w:rFonts w:hint="eastAsia"/>
                <w:sz w:val="24"/>
              </w:rPr>
              <w:t>；</w:t>
            </w:r>
          </w:p>
          <w:p>
            <w:pPr>
              <w:keepNext w:val="0"/>
              <w:keepLines w:val="0"/>
              <w:suppressLineNumbers w:val="0"/>
              <w:spacing w:before="0" w:beforeAutospacing="0" w:after="0" w:afterAutospacing="0" w:line="440" w:lineRule="exact"/>
              <w:ind w:left="0" w:right="0"/>
              <w:rPr>
                <w:rFonts w:hint="default"/>
                <w:sz w:val="24"/>
                <w:lang w:val="zh-CN"/>
              </w:rPr>
            </w:pPr>
            <w:r>
              <w:rPr>
                <w:rFonts w:hint="eastAsia"/>
                <w:sz w:val="24"/>
              </w:rPr>
              <w:t>2.</w:t>
            </w:r>
            <w:r>
              <w:rPr>
                <w:rFonts w:hint="eastAsia"/>
                <w:sz w:val="24"/>
                <w:lang w:val="zh-CN"/>
              </w:rPr>
              <w:t>供应商为代理商须具有产品所属类别的有效的《医疗器械经营备案凭证》或《医疗器械经营许可证》</w:t>
            </w:r>
            <w:r>
              <w:rPr>
                <w:rFonts w:hint="eastAsia"/>
                <w:sz w:val="24"/>
              </w:rPr>
              <w:t>原件扫描件</w:t>
            </w:r>
            <w:r>
              <w:rPr>
                <w:rFonts w:hint="eastAsia"/>
                <w:sz w:val="24"/>
                <w:lang w:val="zh-CN"/>
              </w:rPr>
              <w:t>；若供应商为生产厂家，须具有①有效的《医疗器械生产许可证》或《医疗器械生产产品登记表》</w:t>
            </w:r>
            <w:r>
              <w:rPr>
                <w:rFonts w:hint="eastAsia"/>
                <w:sz w:val="24"/>
              </w:rPr>
              <w:t>原件扫描件</w:t>
            </w:r>
            <w:r>
              <w:rPr>
                <w:rFonts w:hint="eastAsia"/>
                <w:sz w:val="24"/>
                <w:lang w:val="zh-CN"/>
              </w:rPr>
              <w:t>；②《医疗器械注册证》或备案凭证</w:t>
            </w:r>
            <w:r>
              <w:rPr>
                <w:rFonts w:hint="eastAsia"/>
                <w:sz w:val="24"/>
              </w:rPr>
              <w:t>原件扫描件</w:t>
            </w:r>
            <w:r>
              <w:rPr>
                <w:rFonts w:hint="eastAsia"/>
                <w:sz w:val="24"/>
                <w:lang w:val="zh-CN"/>
              </w:rPr>
              <w:t>；</w:t>
            </w:r>
          </w:p>
          <w:p>
            <w:pPr>
              <w:keepNext w:val="0"/>
              <w:keepLines w:val="0"/>
              <w:suppressLineNumbers w:val="0"/>
              <w:adjustRightInd w:val="0"/>
              <w:snapToGrid w:val="0"/>
              <w:spacing w:before="0" w:beforeAutospacing="0" w:after="0" w:afterAutospacing="0" w:line="440" w:lineRule="exact"/>
              <w:ind w:left="0" w:right="0"/>
              <w:jc w:val="left"/>
              <w:rPr>
                <w:rFonts w:hint="default"/>
                <w:sz w:val="24"/>
              </w:rPr>
            </w:pPr>
            <w:r>
              <w:rPr>
                <w:rFonts w:hint="eastAsia"/>
                <w:sz w:val="24"/>
              </w:rPr>
              <w:t>3、如法定代表人参加会议，须提供①“法定代表人身份证明书”原件扫描件，②法定代表人身份证原件扫描件；如被授权代表参加会议，须提供①“法定代表人授权委托书”原件扫描件；②被授权人身份证原件扫描件；达到国家法定退休年龄的需提供退休证原件扫描件；</w:t>
            </w:r>
          </w:p>
          <w:p>
            <w:pPr>
              <w:keepNext w:val="0"/>
              <w:keepLines w:val="0"/>
              <w:suppressLineNumbers w:val="0"/>
              <w:spacing w:before="0" w:beforeAutospacing="0" w:after="0" w:afterAutospacing="0" w:line="440" w:lineRule="exact"/>
              <w:ind w:left="0" w:right="0"/>
              <w:rPr>
                <w:rFonts w:hint="default"/>
                <w:sz w:val="24"/>
              </w:rPr>
            </w:pPr>
            <w:r>
              <w:rPr>
                <w:rFonts w:hint="eastAsia"/>
                <w:sz w:val="24"/>
              </w:rPr>
              <w:t>4、政府采购供应商信用承诺书原件扫描件：</w:t>
            </w:r>
          </w:p>
          <w:p>
            <w:pPr>
              <w:pStyle w:val="93"/>
              <w:keepNext w:val="0"/>
              <w:keepLines w:val="0"/>
              <w:suppressLineNumbers w:val="0"/>
              <w:tabs>
                <w:tab w:val="left" w:pos="975"/>
              </w:tabs>
              <w:spacing w:before="0" w:beforeAutospacing="0" w:after="0" w:afterAutospacing="0" w:line="440" w:lineRule="exact"/>
              <w:ind w:left="0" w:right="0"/>
              <w:rPr>
                <w:rFonts w:hint="default"/>
                <w:b/>
                <w:bCs/>
                <w:sz w:val="24"/>
                <w:lang w:val="en-US"/>
              </w:rPr>
            </w:pPr>
            <w:r>
              <w:rPr>
                <w:rFonts w:hint="eastAsia"/>
                <w:b/>
                <w:bCs/>
                <w:sz w:val="24"/>
                <w:lang w:val="en-US"/>
              </w:rPr>
              <w:t xml:space="preserve">注：①未按上述要求提供原件扫描件或提供原件扫描件不全者，则资格审查不合格，取消其报价资格。②若因年检等原因造成证件不全时，须持市级及以上受理机关出具的证明材料，其资格视为有效。 </w:t>
            </w:r>
          </w:p>
          <w:p>
            <w:pPr>
              <w:pStyle w:val="93"/>
              <w:keepNext w:val="0"/>
              <w:keepLines w:val="0"/>
              <w:suppressLineNumbers w:val="0"/>
              <w:tabs>
                <w:tab w:val="left" w:pos="975"/>
              </w:tabs>
              <w:spacing w:before="0" w:beforeAutospacing="0" w:after="0" w:afterAutospacing="0" w:line="440" w:lineRule="exact"/>
              <w:ind w:left="0" w:right="0"/>
              <w:rPr>
                <w:rFonts w:hint="default"/>
                <w:sz w:val="24"/>
              </w:rPr>
            </w:pPr>
            <w:r>
              <w:rPr>
                <w:rFonts w:hint="eastAsia"/>
                <w:b/>
                <w:bCs/>
                <w:sz w:val="24"/>
                <w:lang w:val="en-US"/>
              </w:rPr>
              <w:t>本项目实行网上资格审查，各供应商在制作响应文件时，务必在响应文件中资格审查材料部分准备资格审查材料原件扫描件用于资格审查，若因此造成的资格审查材料不全等问题，由供应商自行承担。</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87" w:hRule="atLeast"/>
          <w:jc w:val="center"/>
        </w:trPr>
        <w:tc>
          <w:tcPr>
            <w:tcW w:w="954" w:type="dxa"/>
            <w:vAlign w:val="center"/>
          </w:tcPr>
          <w:p>
            <w:pPr>
              <w:keepNext w:val="0"/>
              <w:keepLines w:val="0"/>
              <w:suppressLineNumbers w:val="0"/>
              <w:spacing w:before="0" w:beforeAutospacing="0" w:after="0" w:afterAutospacing="0" w:line="440" w:lineRule="exact"/>
              <w:ind w:left="0" w:right="0"/>
              <w:jc w:val="center"/>
              <w:rPr>
                <w:rFonts w:hint="default" w:ascii="宋体" w:hAnsi="宋体"/>
                <w:sz w:val="24"/>
              </w:rPr>
            </w:pPr>
            <w:r>
              <w:rPr>
                <w:rFonts w:hint="eastAsia" w:ascii="宋体" w:hAnsi="宋体"/>
                <w:sz w:val="24"/>
              </w:rPr>
              <w:t>2</w:t>
            </w:r>
          </w:p>
        </w:tc>
        <w:tc>
          <w:tcPr>
            <w:tcW w:w="8093" w:type="dxa"/>
            <w:vAlign w:val="center"/>
          </w:tcPr>
          <w:p>
            <w:pPr>
              <w:keepNext w:val="0"/>
              <w:keepLines w:val="0"/>
              <w:suppressLineNumbers w:val="0"/>
              <w:spacing w:before="0" w:beforeAutospacing="0" w:after="0" w:afterAutospacing="0" w:line="440" w:lineRule="exact"/>
              <w:ind w:left="0" w:right="0"/>
              <w:rPr>
                <w:rFonts w:hint="default" w:ascii="宋体" w:hAnsi="宋体"/>
                <w:kern w:val="0"/>
                <w:sz w:val="24"/>
              </w:rPr>
            </w:pPr>
            <w:r>
              <w:rPr>
                <w:rFonts w:hint="eastAsia" w:ascii="宋体" w:hAnsi="宋体"/>
                <w:kern w:val="0"/>
                <w:sz w:val="24"/>
              </w:rPr>
              <w:t>供应商应提交的其他文件：无</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87" w:hRule="atLeast"/>
          <w:jc w:val="center"/>
        </w:trPr>
        <w:tc>
          <w:tcPr>
            <w:tcW w:w="954" w:type="dxa"/>
            <w:vAlign w:val="center"/>
          </w:tcPr>
          <w:p>
            <w:pPr>
              <w:keepNext w:val="0"/>
              <w:keepLines w:val="0"/>
              <w:suppressLineNumbers w:val="0"/>
              <w:spacing w:before="0" w:beforeAutospacing="0" w:after="0" w:afterAutospacing="0" w:line="440" w:lineRule="exact"/>
              <w:ind w:left="0" w:right="0"/>
              <w:jc w:val="center"/>
              <w:rPr>
                <w:rFonts w:hint="default" w:ascii="宋体" w:hAnsi="宋体"/>
                <w:sz w:val="24"/>
              </w:rPr>
            </w:pPr>
            <w:r>
              <w:rPr>
                <w:rFonts w:hint="eastAsia" w:ascii="宋体" w:hAnsi="宋体"/>
                <w:sz w:val="24"/>
              </w:rPr>
              <w:t>3</w:t>
            </w:r>
          </w:p>
        </w:tc>
        <w:tc>
          <w:tcPr>
            <w:tcW w:w="8093" w:type="dxa"/>
            <w:vAlign w:val="center"/>
          </w:tcPr>
          <w:p>
            <w:pPr>
              <w:keepNext w:val="0"/>
              <w:keepLines w:val="0"/>
              <w:suppressLineNumbers w:val="0"/>
              <w:spacing w:before="0" w:beforeAutospacing="0" w:after="0" w:afterAutospacing="0" w:line="440" w:lineRule="exact"/>
              <w:ind w:left="0" w:right="0"/>
              <w:rPr>
                <w:rFonts w:hint="default" w:ascii="宋体" w:hAnsi="宋体"/>
                <w:kern w:val="0"/>
                <w:sz w:val="24"/>
              </w:rPr>
            </w:pPr>
            <w:r>
              <w:rPr>
                <w:rFonts w:hint="eastAsia" w:ascii="宋体" w:hAnsi="宋体"/>
                <w:kern w:val="0"/>
                <w:sz w:val="24"/>
              </w:rPr>
              <w:t>是否允许供应商将项目非主体、非关键性工作交由他人完成：是□ 否☑</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35" w:hRule="atLeast"/>
          <w:jc w:val="center"/>
        </w:trPr>
        <w:tc>
          <w:tcPr>
            <w:tcW w:w="9047" w:type="dxa"/>
            <w:gridSpan w:val="2"/>
            <w:vAlign w:val="center"/>
          </w:tcPr>
          <w:p>
            <w:pPr>
              <w:keepNext w:val="0"/>
              <w:keepLines w:val="0"/>
              <w:suppressLineNumbers w:val="0"/>
              <w:spacing w:before="0" w:beforeAutospacing="0" w:after="0" w:afterAutospacing="0" w:line="440" w:lineRule="exact"/>
              <w:ind w:left="0" w:right="0"/>
              <w:jc w:val="center"/>
              <w:rPr>
                <w:rFonts w:hint="default" w:ascii="宋体" w:hAnsi="宋体"/>
                <w:sz w:val="24"/>
              </w:rPr>
            </w:pPr>
            <w:r>
              <w:rPr>
                <w:rFonts w:hint="eastAsia" w:ascii="宋体" w:hAnsi="宋体"/>
                <w:sz w:val="24"/>
              </w:rPr>
              <w:t>其他</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25" w:hRule="atLeast"/>
          <w:jc w:val="center"/>
        </w:trPr>
        <w:tc>
          <w:tcPr>
            <w:tcW w:w="954" w:type="dxa"/>
            <w:vAlign w:val="center"/>
          </w:tcPr>
          <w:p>
            <w:pPr>
              <w:keepNext w:val="0"/>
              <w:keepLines w:val="0"/>
              <w:suppressLineNumbers w:val="0"/>
              <w:spacing w:before="0" w:beforeAutospacing="0" w:after="0" w:afterAutospacing="0" w:line="440" w:lineRule="exact"/>
              <w:ind w:left="0" w:right="0"/>
              <w:jc w:val="center"/>
              <w:rPr>
                <w:rFonts w:hint="default" w:ascii="宋体" w:hAnsi="宋体"/>
                <w:sz w:val="24"/>
              </w:rPr>
            </w:pPr>
            <w:r>
              <w:rPr>
                <w:rFonts w:hint="eastAsia" w:ascii="宋体" w:hAnsi="宋体"/>
                <w:sz w:val="24"/>
              </w:rPr>
              <w:t>1</w:t>
            </w:r>
          </w:p>
        </w:tc>
        <w:tc>
          <w:tcPr>
            <w:tcW w:w="8093" w:type="dxa"/>
            <w:vAlign w:val="center"/>
          </w:tcPr>
          <w:p>
            <w:pPr>
              <w:keepNext w:val="0"/>
              <w:keepLines w:val="0"/>
              <w:suppressLineNumbers w:val="0"/>
              <w:spacing w:before="0" w:beforeAutospacing="0" w:after="0" w:afterAutospacing="0" w:line="440" w:lineRule="exact"/>
              <w:ind w:left="0" w:right="0"/>
              <w:rPr>
                <w:rFonts w:hint="default" w:ascii="宋体" w:hAnsi="宋体"/>
                <w:sz w:val="24"/>
              </w:rPr>
            </w:pPr>
            <w:r>
              <w:rPr>
                <w:rFonts w:hint="eastAsia" w:ascii="宋体" w:hAnsi="宋体"/>
                <w:sz w:val="24"/>
              </w:rPr>
              <w:t>付款途径：</w:t>
            </w:r>
            <w:r>
              <w:rPr>
                <w:rFonts w:hint="eastAsia"/>
                <w:sz w:val="24"/>
              </w:rPr>
              <w:t>转账或电汇</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jc w:val="center"/>
        </w:trPr>
        <w:tc>
          <w:tcPr>
            <w:tcW w:w="954" w:type="dxa"/>
            <w:vAlign w:val="center"/>
          </w:tcPr>
          <w:p>
            <w:pPr>
              <w:keepNext w:val="0"/>
              <w:keepLines w:val="0"/>
              <w:suppressLineNumbers w:val="0"/>
              <w:spacing w:before="0" w:beforeAutospacing="0" w:after="0" w:afterAutospacing="0" w:line="440" w:lineRule="exact"/>
              <w:ind w:left="0" w:right="0"/>
              <w:jc w:val="center"/>
              <w:rPr>
                <w:rFonts w:hint="default" w:ascii="宋体" w:hAnsi="宋体"/>
                <w:sz w:val="24"/>
                <w:highlight w:val="none"/>
              </w:rPr>
            </w:pPr>
            <w:r>
              <w:rPr>
                <w:rFonts w:hint="eastAsia" w:ascii="宋体" w:hAnsi="宋体"/>
                <w:sz w:val="24"/>
                <w:highlight w:val="none"/>
              </w:rPr>
              <w:t>2</w:t>
            </w:r>
          </w:p>
        </w:tc>
        <w:tc>
          <w:tcPr>
            <w:tcW w:w="8093" w:type="dxa"/>
            <w:shd w:val="clear" w:color="auto" w:fill="auto"/>
            <w:vAlign w:val="center"/>
          </w:tcPr>
          <w:p>
            <w:pPr>
              <w:keepNext w:val="0"/>
              <w:keepLines w:val="0"/>
              <w:suppressLineNumbers w:val="0"/>
              <w:spacing w:before="0" w:beforeAutospacing="0" w:after="0" w:afterAutospacing="0" w:line="440" w:lineRule="exact"/>
              <w:ind w:left="0" w:right="0"/>
              <w:rPr>
                <w:rFonts w:hint="default"/>
                <w:sz w:val="24"/>
                <w:highlight w:val="none"/>
              </w:rPr>
            </w:pPr>
            <w:r>
              <w:rPr>
                <w:rFonts w:hint="eastAsia"/>
                <w:sz w:val="24"/>
                <w:highlight w:val="none"/>
              </w:rPr>
              <w:t>付款方式:货物安装验收合格，付合同总价款的60%</w:t>
            </w:r>
            <w:r>
              <w:rPr>
                <w:rFonts w:hint="eastAsia"/>
                <w:sz w:val="24"/>
                <w:highlight w:val="none"/>
                <w:lang w:eastAsia="zh-CN"/>
              </w:rPr>
              <w:t>，</w:t>
            </w:r>
            <w:r>
              <w:rPr>
                <w:rFonts w:hint="eastAsia"/>
                <w:sz w:val="24"/>
                <w:highlight w:val="none"/>
              </w:rPr>
              <w:t>正常运行6个月后，付合同总价款的</w:t>
            </w:r>
            <w:r>
              <w:rPr>
                <w:rFonts w:hint="eastAsia"/>
                <w:sz w:val="24"/>
                <w:highlight w:val="none"/>
                <w:lang w:val="en-US" w:eastAsia="zh-CN"/>
              </w:rPr>
              <w:t>30</w:t>
            </w:r>
            <w:r>
              <w:rPr>
                <w:rFonts w:hint="eastAsia"/>
                <w:sz w:val="24"/>
                <w:highlight w:val="none"/>
              </w:rPr>
              <w:t>%，质保期满，货物无质量问题无息付清10%余款;如遇甲方因特殊原因不能如期付款，双方另行约定。</w:t>
            </w:r>
          </w:p>
          <w:p>
            <w:pPr>
              <w:keepNext w:val="0"/>
              <w:keepLines w:val="0"/>
              <w:suppressLineNumbers w:val="0"/>
              <w:spacing w:before="0" w:beforeAutospacing="0" w:after="0" w:afterAutospacing="0" w:line="440" w:lineRule="exact"/>
              <w:ind w:left="0" w:right="0"/>
              <w:rPr>
                <w:rFonts w:hint="default"/>
                <w:sz w:val="24"/>
                <w:highlight w:val="none"/>
              </w:rPr>
            </w:pPr>
            <w:r>
              <w:rPr>
                <w:rFonts w:hint="eastAsia"/>
                <w:b/>
                <w:bCs/>
                <w:sz w:val="24"/>
                <w:highlight w:val="none"/>
              </w:rPr>
              <w:t>甲方付款前，乙方需向甲方出具与合同业务相符的增值税全额发票，否则甲方有权拒绝付款，并不承担违约责任。</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33" w:hRule="atLeast"/>
          <w:jc w:val="center"/>
        </w:trPr>
        <w:tc>
          <w:tcPr>
            <w:tcW w:w="954" w:type="dxa"/>
            <w:vAlign w:val="center"/>
          </w:tcPr>
          <w:p>
            <w:pPr>
              <w:keepNext w:val="0"/>
              <w:keepLines w:val="0"/>
              <w:suppressLineNumbers w:val="0"/>
              <w:spacing w:before="0" w:beforeAutospacing="0" w:after="0" w:afterAutospacing="0" w:line="440" w:lineRule="exact"/>
              <w:ind w:left="0" w:right="0"/>
              <w:jc w:val="center"/>
              <w:rPr>
                <w:rFonts w:hint="default" w:ascii="宋体" w:hAnsi="宋体"/>
                <w:sz w:val="24"/>
              </w:rPr>
            </w:pPr>
            <w:r>
              <w:rPr>
                <w:rFonts w:hint="eastAsia" w:ascii="宋体" w:hAnsi="宋体"/>
                <w:sz w:val="24"/>
              </w:rPr>
              <w:t>3</w:t>
            </w:r>
          </w:p>
        </w:tc>
        <w:tc>
          <w:tcPr>
            <w:tcW w:w="8093" w:type="dxa"/>
            <w:shd w:val="clear" w:color="auto" w:fill="auto"/>
            <w:vAlign w:val="center"/>
          </w:tcPr>
          <w:p>
            <w:pPr>
              <w:keepNext w:val="0"/>
              <w:keepLines w:val="0"/>
              <w:suppressLineNumbers w:val="0"/>
              <w:spacing w:before="0" w:beforeAutospacing="0" w:after="0" w:afterAutospacing="0" w:line="440" w:lineRule="exact"/>
              <w:ind w:left="0" w:right="0"/>
              <w:rPr>
                <w:rFonts w:hint="default" w:ascii="宋体" w:hAnsi="宋体"/>
                <w:sz w:val="24"/>
              </w:rPr>
            </w:pPr>
            <w:r>
              <w:rPr>
                <w:rFonts w:hint="eastAsia" w:ascii="宋体" w:hAnsi="宋体"/>
                <w:sz w:val="24"/>
              </w:rPr>
              <w:t>供货期：45日历天</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33" w:hRule="atLeast"/>
          <w:jc w:val="center"/>
        </w:trPr>
        <w:tc>
          <w:tcPr>
            <w:tcW w:w="954" w:type="dxa"/>
            <w:vAlign w:val="center"/>
          </w:tcPr>
          <w:p>
            <w:pPr>
              <w:keepNext w:val="0"/>
              <w:keepLines w:val="0"/>
              <w:suppressLineNumbers w:val="0"/>
              <w:spacing w:before="0" w:beforeAutospacing="0" w:after="0" w:afterAutospacing="0" w:line="440" w:lineRule="exact"/>
              <w:ind w:left="0" w:right="0"/>
              <w:jc w:val="center"/>
              <w:rPr>
                <w:rFonts w:hint="default" w:ascii="宋体" w:hAnsi="宋体"/>
                <w:sz w:val="24"/>
              </w:rPr>
            </w:pPr>
            <w:r>
              <w:rPr>
                <w:rFonts w:hint="eastAsia" w:ascii="宋体" w:hAnsi="宋体"/>
                <w:sz w:val="24"/>
              </w:rPr>
              <w:t>4</w:t>
            </w:r>
          </w:p>
        </w:tc>
        <w:tc>
          <w:tcPr>
            <w:tcW w:w="8093" w:type="dxa"/>
            <w:vAlign w:val="center"/>
          </w:tcPr>
          <w:p>
            <w:pPr>
              <w:keepNext w:val="0"/>
              <w:keepLines w:val="0"/>
              <w:widowControl/>
              <w:suppressLineNumbers w:val="0"/>
              <w:spacing w:before="0" w:beforeAutospacing="0" w:after="0" w:afterAutospacing="0"/>
              <w:ind w:left="0" w:right="0"/>
              <w:jc w:val="left"/>
              <w:rPr>
                <w:rFonts w:hint="default" w:ascii="宋体" w:hAnsi="宋体"/>
                <w:sz w:val="24"/>
                <w:highlight w:val="yellow"/>
              </w:rPr>
            </w:pPr>
            <w:r>
              <w:rPr>
                <w:rFonts w:hint="eastAsia" w:ascii="宋体" w:hAnsi="宋体"/>
                <w:sz w:val="24"/>
              </w:rPr>
              <w:t>交付地点：</w:t>
            </w:r>
            <w:r>
              <w:rPr>
                <w:rFonts w:hint="eastAsia" w:ascii="宋体" w:hAnsi="宋体" w:cs="宋体"/>
                <w:color w:val="000000"/>
                <w:kern w:val="0"/>
                <w:sz w:val="24"/>
                <w:lang w:bidi="ar"/>
              </w:rPr>
              <w:t>采购人指定地点。</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800" w:hRule="atLeast"/>
          <w:jc w:val="center"/>
        </w:trPr>
        <w:tc>
          <w:tcPr>
            <w:tcW w:w="954" w:type="dxa"/>
            <w:vAlign w:val="center"/>
          </w:tcPr>
          <w:p>
            <w:pPr>
              <w:keepNext w:val="0"/>
              <w:keepLines w:val="0"/>
              <w:suppressLineNumbers w:val="0"/>
              <w:spacing w:before="0" w:beforeAutospacing="0" w:after="0" w:afterAutospacing="0" w:line="440" w:lineRule="exact"/>
              <w:ind w:left="0" w:right="0"/>
              <w:jc w:val="center"/>
              <w:rPr>
                <w:rFonts w:hint="default" w:ascii="宋体" w:hAnsi="宋体"/>
                <w:sz w:val="24"/>
              </w:rPr>
            </w:pPr>
            <w:r>
              <w:rPr>
                <w:rFonts w:hint="eastAsia" w:ascii="宋体" w:hAnsi="宋体"/>
                <w:sz w:val="24"/>
              </w:rPr>
              <w:t>5</w:t>
            </w:r>
          </w:p>
        </w:tc>
        <w:tc>
          <w:tcPr>
            <w:tcW w:w="8093" w:type="dxa"/>
            <w:vAlign w:val="center"/>
          </w:tcPr>
          <w:p>
            <w:pPr>
              <w:keepNext w:val="0"/>
              <w:keepLines w:val="0"/>
              <w:widowControl/>
              <w:suppressLineNumbers w:val="0"/>
              <w:spacing w:before="0" w:beforeAutospacing="0" w:after="0" w:afterAutospacing="0" w:line="400" w:lineRule="exact"/>
              <w:ind w:left="0" w:right="0"/>
              <w:jc w:val="left"/>
              <w:rPr>
                <w:rFonts w:hint="default" w:ascii="宋体" w:hAnsi="宋体"/>
                <w:sz w:val="24"/>
                <w:highlight w:val="yellow"/>
              </w:rPr>
            </w:pPr>
            <w:r>
              <w:rPr>
                <w:rFonts w:hint="eastAsia" w:ascii="宋体" w:hAnsi="宋体"/>
                <w:sz w:val="24"/>
              </w:rPr>
              <w:t>质保期：自供货安装调试完毕并验收合格之日起1年，供应商可自报更优惠条件。</w:t>
            </w:r>
          </w:p>
        </w:tc>
      </w:tr>
      <w:bookmarkEnd w:id="0"/>
      <w:bookmarkEnd w:id="1"/>
      <w:bookmarkEnd w:id="2"/>
      <w:bookmarkEnd w:id="13"/>
    </w:tbl>
    <w:p>
      <w:pPr>
        <w:numPr>
          <w:ilvl w:val="0"/>
          <w:numId w:val="0"/>
        </w:numPr>
      </w:pPr>
      <w:bookmarkStart w:id="15" w:name="_Toc520356143"/>
      <w:bookmarkStart w:id="16" w:name="_Toc216582805"/>
      <w:bookmarkStart w:id="17" w:name="_Toc515647757"/>
      <w:bookmarkStart w:id="18" w:name="_Toc21215"/>
      <w:bookmarkStart w:id="19" w:name="_Toc21015"/>
    </w:p>
    <w:bookmarkEnd w:id="15"/>
    <w:bookmarkEnd w:id="16"/>
    <w:bookmarkEnd w:id="17"/>
    <w:p>
      <w:pPr>
        <w:pStyle w:val="4"/>
        <w:spacing w:before="0" w:line="360" w:lineRule="auto"/>
        <w:jc w:val="both"/>
        <w:rPr>
          <w:rFonts w:ascii="宋体" w:hAnsi="宋体" w:eastAsia="宋体"/>
          <w:sz w:val="28"/>
        </w:rPr>
      </w:pPr>
      <w:bookmarkStart w:id="20" w:name="_Toc4454"/>
    </w:p>
    <w:p>
      <w:pPr>
        <w:pStyle w:val="4"/>
        <w:spacing w:before="0" w:line="360" w:lineRule="auto"/>
        <w:jc w:val="both"/>
        <w:rPr>
          <w:rFonts w:ascii="宋体" w:hAnsi="宋体" w:eastAsia="宋体"/>
          <w:sz w:val="28"/>
        </w:rPr>
      </w:pPr>
    </w:p>
    <w:p/>
    <w:p>
      <w:pPr>
        <w:rPr>
          <w:rFonts w:ascii="宋体" w:hAnsi="宋体"/>
          <w:sz w:val="28"/>
        </w:rPr>
      </w:pPr>
      <w:r>
        <w:rPr>
          <w:rFonts w:hint="eastAsia" w:ascii="宋体" w:hAnsi="宋体"/>
          <w:sz w:val="28"/>
        </w:rPr>
        <w:br w:type="page"/>
      </w:r>
    </w:p>
    <w:p>
      <w:pPr>
        <w:pStyle w:val="4"/>
        <w:spacing w:before="0" w:line="360" w:lineRule="auto"/>
        <w:rPr>
          <w:rFonts w:ascii="宋体" w:hAnsi="宋体" w:eastAsia="宋体"/>
          <w:sz w:val="28"/>
        </w:rPr>
      </w:pPr>
      <w:bookmarkStart w:id="21" w:name="_Toc20447"/>
      <w:r>
        <w:rPr>
          <w:rFonts w:hint="eastAsia" w:ascii="宋体" w:hAnsi="宋体" w:eastAsia="宋体"/>
          <w:sz w:val="28"/>
        </w:rPr>
        <w:t>一   总 则</w:t>
      </w:r>
      <w:bookmarkEnd w:id="18"/>
      <w:bookmarkEnd w:id="19"/>
      <w:bookmarkEnd w:id="20"/>
      <w:bookmarkEnd w:id="21"/>
    </w:p>
    <w:p>
      <w:pPr>
        <w:spacing w:before="0" w:after="0" w:line="360" w:lineRule="auto"/>
        <w:outlineLvl w:val="9"/>
        <w:rPr>
          <w:rFonts w:hAnsi="宋体"/>
          <w:b/>
          <w:bCs/>
          <w:sz w:val="24"/>
          <w:szCs w:val="24"/>
          <w:u w:val="none"/>
        </w:rPr>
      </w:pPr>
      <w:bookmarkStart w:id="22" w:name="_Toc520356144"/>
      <w:bookmarkStart w:id="23" w:name="_Toc515647758"/>
      <w:bookmarkStart w:id="24" w:name="_Toc20709"/>
      <w:bookmarkStart w:id="25" w:name="_Toc32623"/>
      <w:bookmarkStart w:id="26" w:name="_Toc32189"/>
      <w:r>
        <w:rPr>
          <w:rFonts w:hint="eastAsia" w:hAnsi="宋体"/>
          <w:b/>
          <w:bCs/>
          <w:sz w:val="24"/>
          <w:szCs w:val="24"/>
          <w:u w:val="none"/>
        </w:rPr>
        <w:t>1.采购人、采购代理机构及</w:t>
      </w:r>
      <w:bookmarkEnd w:id="22"/>
      <w:r>
        <w:rPr>
          <w:rFonts w:hint="eastAsia" w:hAnsi="宋体"/>
          <w:b/>
          <w:bCs/>
          <w:sz w:val="24"/>
          <w:szCs w:val="24"/>
          <w:u w:val="none"/>
        </w:rPr>
        <w:t>供应商</w:t>
      </w:r>
      <w:bookmarkEnd w:id="23"/>
      <w:bookmarkEnd w:id="24"/>
      <w:bookmarkEnd w:id="25"/>
      <w:bookmarkEnd w:id="26"/>
    </w:p>
    <w:p>
      <w:pPr>
        <w:tabs>
          <w:tab w:val="left" w:pos="0"/>
        </w:tabs>
        <w:spacing w:line="360" w:lineRule="auto"/>
        <w:ind w:left="2" w:firstLine="480" w:firstLineChars="200"/>
        <w:rPr>
          <w:rFonts w:ascii="宋体" w:hAnsi="宋体"/>
          <w:sz w:val="24"/>
        </w:rPr>
      </w:pPr>
      <w:r>
        <w:rPr>
          <w:rFonts w:hint="eastAsia" w:ascii="宋体" w:hAnsi="宋体"/>
          <w:sz w:val="24"/>
        </w:rPr>
        <w:t>1.1采购人：是指</w:t>
      </w:r>
      <w:r>
        <w:rPr>
          <w:rFonts w:ascii="宋体" w:hAnsi="宋体"/>
          <w:sz w:val="24"/>
        </w:rPr>
        <w:t>依法</w:t>
      </w:r>
      <w:r>
        <w:rPr>
          <w:rFonts w:hint="eastAsia" w:ascii="宋体" w:hAnsi="宋体"/>
          <w:sz w:val="24"/>
        </w:rPr>
        <w:t>开展</w:t>
      </w:r>
      <w:r>
        <w:rPr>
          <w:rFonts w:ascii="宋体" w:hAnsi="宋体"/>
          <w:sz w:val="24"/>
        </w:rPr>
        <w:t>政府采购</w:t>
      </w:r>
      <w:r>
        <w:rPr>
          <w:rFonts w:hint="eastAsia" w:ascii="宋体" w:hAnsi="宋体"/>
          <w:sz w:val="24"/>
        </w:rPr>
        <w:t>活动</w:t>
      </w:r>
      <w:r>
        <w:rPr>
          <w:rFonts w:ascii="宋体" w:hAnsi="宋体"/>
          <w:sz w:val="24"/>
        </w:rPr>
        <w:t>的国家机</w:t>
      </w:r>
      <w:r>
        <w:rPr>
          <w:rFonts w:hint="eastAsia" w:ascii="宋体" w:hAnsi="宋体"/>
          <w:sz w:val="24"/>
        </w:rPr>
        <w:t>关</w:t>
      </w:r>
      <w:r>
        <w:rPr>
          <w:rFonts w:ascii="宋体" w:hAnsi="宋体"/>
          <w:sz w:val="24"/>
        </w:rPr>
        <w:t>、事业单位、团体组织</w:t>
      </w:r>
      <w:r>
        <w:rPr>
          <w:rFonts w:hint="eastAsia" w:ascii="宋体" w:hAnsi="宋体"/>
          <w:sz w:val="24"/>
        </w:rPr>
        <w:t>。本项目的采购人见</w:t>
      </w:r>
      <w:r>
        <w:rPr>
          <w:rFonts w:hint="eastAsia" w:ascii="宋体" w:hAnsi="宋体"/>
          <w:sz w:val="24"/>
          <w:u w:val="single"/>
        </w:rPr>
        <w:t>供应商须知资料表</w:t>
      </w:r>
      <w:r>
        <w:rPr>
          <w:rFonts w:hint="eastAsia" w:ascii="宋体" w:hAnsi="宋体"/>
          <w:sz w:val="24"/>
        </w:rPr>
        <w:t>。</w:t>
      </w:r>
    </w:p>
    <w:p>
      <w:pPr>
        <w:tabs>
          <w:tab w:val="left" w:pos="0"/>
        </w:tabs>
        <w:spacing w:line="360" w:lineRule="auto"/>
        <w:ind w:left="2" w:firstLine="480" w:firstLineChars="200"/>
        <w:rPr>
          <w:rFonts w:ascii="宋体" w:hAnsi="宋体"/>
          <w:sz w:val="24"/>
        </w:rPr>
      </w:pPr>
      <w:r>
        <w:rPr>
          <w:rFonts w:hint="eastAsia" w:ascii="宋体" w:hAnsi="宋体"/>
          <w:sz w:val="24"/>
        </w:rPr>
        <w:t>1.2</w:t>
      </w:r>
      <w:r>
        <w:rPr>
          <w:rFonts w:hint="eastAsia" w:ascii="宋体" w:hAnsi="宋体"/>
          <w:sz w:val="24"/>
          <w:lang w:val="zh-CN"/>
        </w:rPr>
        <w:t>采购代理机构：</w:t>
      </w:r>
      <w:r>
        <w:rPr>
          <w:rFonts w:hint="eastAsia" w:ascii="宋体" w:hAnsi="宋体"/>
          <w:sz w:val="24"/>
        </w:rPr>
        <w:t>是指集中采购机构或从事采购代理业务的社会中介机构。本项目的采购代理机构见</w:t>
      </w:r>
      <w:r>
        <w:rPr>
          <w:rFonts w:hint="eastAsia" w:ascii="宋体" w:hAnsi="宋体"/>
          <w:sz w:val="24"/>
          <w:u w:val="single"/>
        </w:rPr>
        <w:t>供应商须知资料表</w:t>
      </w:r>
      <w:r>
        <w:rPr>
          <w:rFonts w:hint="eastAsia" w:ascii="宋体" w:hAnsi="宋体"/>
          <w:sz w:val="24"/>
        </w:rPr>
        <w:t>。</w:t>
      </w:r>
    </w:p>
    <w:p>
      <w:pPr>
        <w:tabs>
          <w:tab w:val="left" w:pos="0"/>
        </w:tabs>
        <w:spacing w:line="360" w:lineRule="auto"/>
        <w:ind w:left="2" w:firstLine="480" w:firstLineChars="200"/>
        <w:rPr>
          <w:rFonts w:ascii="宋体" w:hAnsi="宋体"/>
          <w:sz w:val="24"/>
        </w:rPr>
      </w:pPr>
      <w:bookmarkStart w:id="27" w:name="_Toc5286"/>
      <w:bookmarkStart w:id="28" w:name="_Toc515647759"/>
      <w:bookmarkStart w:id="29" w:name="_Toc12139"/>
      <w:r>
        <w:rPr>
          <w:rFonts w:hint="eastAsia" w:ascii="宋体" w:hAnsi="宋体"/>
          <w:sz w:val="24"/>
        </w:rPr>
        <w:t>1.3供应商</w:t>
      </w:r>
      <w:r>
        <w:rPr>
          <w:rFonts w:ascii="宋体" w:hAnsi="宋体"/>
          <w:sz w:val="24"/>
        </w:rPr>
        <w:t>：是指</w:t>
      </w:r>
      <w:r>
        <w:rPr>
          <w:rFonts w:hint="eastAsia" w:ascii="宋体" w:hAnsi="宋体"/>
          <w:sz w:val="24"/>
        </w:rPr>
        <w:t>响应单一来源采购</w:t>
      </w:r>
      <w:r>
        <w:rPr>
          <w:rFonts w:ascii="宋体" w:hAnsi="宋体"/>
          <w:sz w:val="24"/>
        </w:rPr>
        <w:t>、参加</w:t>
      </w:r>
      <w:r>
        <w:rPr>
          <w:rFonts w:hint="eastAsia" w:ascii="宋体" w:hAnsi="宋体"/>
          <w:sz w:val="24"/>
        </w:rPr>
        <w:t>报价</w:t>
      </w:r>
      <w:r>
        <w:rPr>
          <w:rFonts w:ascii="宋体" w:hAnsi="宋体"/>
          <w:sz w:val="24"/>
        </w:rPr>
        <w:t>竞争的法人、其他组织或者自然人。</w:t>
      </w:r>
      <w:r>
        <w:rPr>
          <w:rFonts w:hint="eastAsia" w:ascii="宋体" w:hAnsi="宋体"/>
          <w:sz w:val="24"/>
        </w:rPr>
        <w:t>潜在供应商</w:t>
      </w:r>
      <w:r>
        <w:rPr>
          <w:rFonts w:ascii="宋体" w:hAnsi="宋体"/>
          <w:sz w:val="24"/>
        </w:rPr>
        <w:t>：</w:t>
      </w:r>
      <w:r>
        <w:rPr>
          <w:rFonts w:hint="eastAsia" w:ascii="宋体" w:hAnsi="宋体"/>
          <w:sz w:val="24"/>
        </w:rPr>
        <w:t>以单一来源规定</w:t>
      </w:r>
      <w:r>
        <w:rPr>
          <w:rFonts w:ascii="宋体" w:hAnsi="宋体"/>
          <w:sz w:val="24"/>
        </w:rPr>
        <w:t>的方式</w:t>
      </w:r>
      <w:r>
        <w:rPr>
          <w:rFonts w:hint="eastAsia" w:ascii="宋体" w:hAnsi="宋体"/>
          <w:sz w:val="24"/>
        </w:rPr>
        <w:t>获取本项目单一来源采购文件</w:t>
      </w:r>
      <w:r>
        <w:rPr>
          <w:rFonts w:ascii="宋体" w:hAnsi="宋体"/>
          <w:sz w:val="24"/>
        </w:rPr>
        <w:t>的法人、其他组织或者自然人。</w:t>
      </w:r>
    </w:p>
    <w:p>
      <w:pPr>
        <w:spacing w:line="360" w:lineRule="auto"/>
        <w:ind w:firstLine="480" w:firstLineChars="200"/>
        <w:rPr>
          <w:rFonts w:ascii="宋体" w:hAnsi="宋体"/>
          <w:sz w:val="24"/>
        </w:rPr>
      </w:pPr>
      <w:r>
        <w:rPr>
          <w:rFonts w:hint="eastAsia" w:ascii="宋体" w:hAnsi="宋体"/>
          <w:sz w:val="24"/>
        </w:rPr>
        <w:t>本项目</w:t>
      </w:r>
      <w:r>
        <w:rPr>
          <w:rFonts w:ascii="宋体" w:hAnsi="宋体"/>
          <w:sz w:val="24"/>
        </w:rPr>
        <w:t>的</w:t>
      </w:r>
      <w:r>
        <w:rPr>
          <w:rFonts w:hint="eastAsia" w:ascii="宋体" w:hAnsi="宋体"/>
          <w:sz w:val="24"/>
        </w:rPr>
        <w:t>供应商须满足以下条件：</w:t>
      </w:r>
    </w:p>
    <w:p>
      <w:pPr>
        <w:tabs>
          <w:tab w:val="left" w:pos="0"/>
        </w:tabs>
        <w:spacing w:line="360" w:lineRule="auto"/>
        <w:ind w:left="2" w:firstLine="480" w:firstLineChars="200"/>
        <w:rPr>
          <w:rFonts w:ascii="宋体" w:hAnsi="宋体"/>
          <w:bCs/>
          <w:sz w:val="24"/>
        </w:rPr>
      </w:pPr>
      <w:r>
        <w:rPr>
          <w:rFonts w:hint="eastAsia" w:ascii="宋体" w:hAnsi="宋体"/>
          <w:sz w:val="24"/>
        </w:rPr>
        <w:t>1.</w:t>
      </w:r>
      <w:r>
        <w:rPr>
          <w:rFonts w:ascii="宋体" w:hAnsi="宋体"/>
          <w:sz w:val="24"/>
        </w:rPr>
        <w:t>3.1</w:t>
      </w:r>
      <w:r>
        <w:rPr>
          <w:rFonts w:hint="eastAsia" w:ascii="宋体" w:hAnsi="宋体"/>
          <w:bCs/>
          <w:sz w:val="24"/>
        </w:rPr>
        <w:t>在中华人民共和国境内注册，能够独立承担民事责任的供应商。</w:t>
      </w:r>
    </w:p>
    <w:p>
      <w:pPr>
        <w:tabs>
          <w:tab w:val="left" w:pos="0"/>
        </w:tabs>
        <w:spacing w:line="360" w:lineRule="auto"/>
        <w:ind w:left="2" w:firstLine="480" w:firstLineChars="200"/>
        <w:jc w:val="left"/>
        <w:rPr>
          <w:rFonts w:ascii="宋体" w:hAnsi="宋体"/>
          <w:bCs/>
          <w:sz w:val="24"/>
        </w:rPr>
      </w:pPr>
      <w:r>
        <w:rPr>
          <w:rFonts w:ascii="宋体" w:hAnsi="宋体"/>
          <w:bCs/>
          <w:sz w:val="24"/>
        </w:rPr>
        <w:t>1.3.2</w:t>
      </w:r>
      <w:r>
        <w:rPr>
          <w:rFonts w:hint="eastAsia" w:ascii="宋体" w:hAnsi="宋体"/>
          <w:bCs/>
          <w:sz w:val="24"/>
        </w:rPr>
        <w:t>具备《中华人民共和国政府采购法》第二十二条关于供应商条件的规定，遵守本项目采购人本级</w:t>
      </w:r>
      <w:r>
        <w:rPr>
          <w:rFonts w:ascii="宋体" w:hAnsi="宋体"/>
          <w:bCs/>
          <w:sz w:val="24"/>
        </w:rPr>
        <w:t>和上级财政部门</w:t>
      </w:r>
      <w:r>
        <w:rPr>
          <w:rFonts w:hint="eastAsia" w:ascii="宋体" w:hAnsi="宋体"/>
          <w:bCs/>
          <w:sz w:val="24"/>
        </w:rPr>
        <w:t>政府采购的有关规定。</w:t>
      </w:r>
    </w:p>
    <w:p>
      <w:pPr>
        <w:tabs>
          <w:tab w:val="left" w:pos="0"/>
        </w:tabs>
        <w:spacing w:line="360" w:lineRule="auto"/>
        <w:ind w:left="2" w:firstLine="480" w:firstLineChars="200"/>
        <w:jc w:val="left"/>
        <w:rPr>
          <w:rFonts w:ascii="宋体" w:hAnsi="宋体"/>
          <w:bCs/>
          <w:sz w:val="24"/>
        </w:rPr>
      </w:pPr>
      <w:r>
        <w:rPr>
          <w:rFonts w:hint="eastAsia" w:ascii="宋体" w:hAnsi="宋体"/>
          <w:bCs/>
          <w:sz w:val="24"/>
        </w:rPr>
        <w:t>1.</w:t>
      </w:r>
      <w:r>
        <w:rPr>
          <w:rFonts w:ascii="宋体" w:hAnsi="宋体"/>
          <w:bCs/>
          <w:sz w:val="24"/>
        </w:rPr>
        <w:t>3</w:t>
      </w:r>
      <w:r>
        <w:rPr>
          <w:rFonts w:hint="eastAsia" w:ascii="宋体" w:hAnsi="宋体"/>
          <w:bCs/>
          <w:sz w:val="24"/>
        </w:rPr>
        <w:t>.3以单一来源规定</w:t>
      </w:r>
      <w:r>
        <w:rPr>
          <w:rFonts w:ascii="宋体" w:hAnsi="宋体"/>
          <w:bCs/>
          <w:sz w:val="24"/>
        </w:rPr>
        <w:t>的方式</w:t>
      </w:r>
      <w:r>
        <w:rPr>
          <w:rFonts w:hint="eastAsia" w:ascii="宋体" w:hAnsi="宋体"/>
          <w:bCs/>
          <w:sz w:val="24"/>
        </w:rPr>
        <w:t>获得了本项目的单一来源采购文件。</w:t>
      </w:r>
    </w:p>
    <w:p>
      <w:pPr>
        <w:tabs>
          <w:tab w:val="left" w:pos="0"/>
        </w:tabs>
        <w:spacing w:line="360" w:lineRule="auto"/>
        <w:ind w:left="2" w:firstLine="480" w:firstLineChars="200"/>
        <w:jc w:val="left"/>
        <w:rPr>
          <w:rFonts w:ascii="宋体" w:hAnsi="宋体"/>
          <w:bCs/>
          <w:sz w:val="24"/>
        </w:rPr>
      </w:pPr>
      <w:r>
        <w:rPr>
          <w:rFonts w:hint="eastAsia" w:ascii="宋体" w:hAnsi="宋体"/>
          <w:bCs/>
          <w:sz w:val="24"/>
        </w:rPr>
        <w:t>1.</w:t>
      </w:r>
      <w:r>
        <w:rPr>
          <w:rFonts w:ascii="宋体" w:hAnsi="宋体"/>
          <w:bCs/>
          <w:sz w:val="24"/>
        </w:rPr>
        <w:t>3</w:t>
      </w:r>
      <w:r>
        <w:rPr>
          <w:rFonts w:hint="eastAsia" w:ascii="宋体" w:hAnsi="宋体"/>
          <w:bCs/>
          <w:sz w:val="24"/>
        </w:rPr>
        <w:t>.4符合</w:t>
      </w:r>
      <w:r>
        <w:rPr>
          <w:rFonts w:hint="eastAsia" w:ascii="宋体" w:hAnsi="宋体"/>
          <w:bCs/>
          <w:sz w:val="24"/>
          <w:u w:val="single"/>
        </w:rPr>
        <w:t>供应商须知资料表</w:t>
      </w:r>
      <w:r>
        <w:rPr>
          <w:rFonts w:hint="eastAsia" w:ascii="宋体" w:hAnsi="宋体"/>
          <w:bCs/>
          <w:sz w:val="24"/>
        </w:rPr>
        <w:t>中规定的其他资格要求。</w:t>
      </w:r>
    </w:p>
    <w:p>
      <w:pPr>
        <w:spacing w:line="360" w:lineRule="auto"/>
        <w:ind w:firstLine="480" w:firstLineChars="200"/>
        <w:rPr>
          <w:rFonts w:ascii="宋体" w:hAnsi="宋体" w:cs="宋体"/>
          <w:bCs/>
          <w:sz w:val="24"/>
        </w:rPr>
      </w:pPr>
      <w:r>
        <w:rPr>
          <w:rFonts w:hint="eastAsia" w:ascii="宋体" w:hAnsi="宋体" w:cs="宋体"/>
          <w:bCs/>
          <w:sz w:val="24"/>
        </w:rPr>
        <w:t>1.3.5 若</w:t>
      </w:r>
      <w:r>
        <w:rPr>
          <w:rFonts w:hint="eastAsia" w:ascii="宋体" w:hAnsi="宋体" w:cs="宋体"/>
          <w:bCs/>
          <w:sz w:val="24"/>
          <w:u w:val="single"/>
        </w:rPr>
        <w:t>供应商须知资料表</w:t>
      </w:r>
      <w:r>
        <w:rPr>
          <w:rFonts w:hint="eastAsia" w:ascii="宋体" w:hAnsi="宋体" w:cs="宋体"/>
          <w:bCs/>
          <w:sz w:val="24"/>
        </w:rPr>
        <w:t>中写明专门面向中小企业采购的，如供应商为非中小企业，其响应文件将被认定为无效响应。</w:t>
      </w:r>
    </w:p>
    <w:p>
      <w:pPr>
        <w:spacing w:line="360" w:lineRule="auto"/>
        <w:ind w:firstLine="480" w:firstLineChars="200"/>
        <w:rPr>
          <w:rFonts w:ascii="宋体" w:hAnsi="宋体"/>
          <w:bCs/>
          <w:sz w:val="24"/>
        </w:rPr>
      </w:pPr>
      <w:r>
        <w:rPr>
          <w:rFonts w:hint="eastAsia" w:ascii="宋体" w:hAnsi="宋体"/>
          <w:bCs/>
          <w:sz w:val="24"/>
        </w:rPr>
        <w:t>1.3.6 本次采购标的所属行业</w:t>
      </w:r>
      <w:r>
        <w:rPr>
          <w:rFonts w:hint="eastAsia" w:hAnsi="宋体"/>
          <w:bCs/>
          <w:sz w:val="24"/>
        </w:rPr>
        <w:t>详</w:t>
      </w:r>
      <w:r>
        <w:rPr>
          <w:rFonts w:hint="eastAsia" w:ascii="宋体" w:hAnsi="宋体"/>
          <w:bCs/>
          <w:sz w:val="24"/>
        </w:rPr>
        <w:t>见</w:t>
      </w:r>
      <w:r>
        <w:rPr>
          <w:rFonts w:hint="eastAsia" w:hAnsi="宋体"/>
          <w:bCs/>
          <w:sz w:val="24"/>
          <w:u w:val="single"/>
        </w:rPr>
        <w:t>供应商</w:t>
      </w:r>
      <w:r>
        <w:rPr>
          <w:rFonts w:hint="eastAsia" w:ascii="宋体" w:hAnsi="宋体"/>
          <w:bCs/>
          <w:sz w:val="24"/>
          <w:u w:val="single"/>
        </w:rPr>
        <w:t>须知资料表</w:t>
      </w:r>
      <w:r>
        <w:rPr>
          <w:rFonts w:hint="eastAsia" w:ascii="宋体" w:hAnsi="宋体"/>
          <w:bCs/>
          <w:sz w:val="24"/>
        </w:rPr>
        <w:t>。</w:t>
      </w:r>
    </w:p>
    <w:p>
      <w:pPr>
        <w:spacing w:line="360" w:lineRule="auto"/>
        <w:ind w:firstLine="480" w:firstLineChars="200"/>
        <w:jc w:val="left"/>
      </w:pPr>
      <w:r>
        <w:rPr>
          <w:rFonts w:hint="eastAsia" w:ascii="宋体" w:hAnsi="宋体"/>
          <w:bCs/>
          <w:sz w:val="24"/>
        </w:rPr>
        <w:t>1.</w:t>
      </w:r>
      <w:r>
        <w:rPr>
          <w:rFonts w:ascii="宋体" w:hAnsi="宋体"/>
          <w:bCs/>
          <w:sz w:val="24"/>
        </w:rPr>
        <w:t>3</w:t>
      </w:r>
      <w:r>
        <w:rPr>
          <w:rFonts w:hint="eastAsia" w:ascii="宋体" w:hAnsi="宋体"/>
          <w:bCs/>
          <w:sz w:val="24"/>
        </w:rPr>
        <w:t>.7进口产品：是指通过中国海关报关验放进入中国境内且产自关境外的产品。若供应商须知资料表中写明允许采购进口产品，供应商应当保证所投产品可履行合法报通关手续进入中国关境内。若</w:t>
      </w:r>
      <w:r>
        <w:rPr>
          <w:rFonts w:hint="eastAsia" w:ascii="宋体" w:hAnsi="宋体"/>
          <w:bCs/>
          <w:sz w:val="24"/>
          <w:u w:val="single"/>
        </w:rPr>
        <w:t>供应商须知资料表</w:t>
      </w:r>
      <w:r>
        <w:rPr>
          <w:rFonts w:hint="eastAsia" w:ascii="宋体" w:hAnsi="宋体"/>
          <w:bCs/>
          <w:sz w:val="24"/>
        </w:rPr>
        <w:t>中未写明允许采购进口产品，如供应商所投产品为进口产品，其响应将被认定为响应无效。</w:t>
      </w:r>
    </w:p>
    <w:p>
      <w:pPr>
        <w:tabs>
          <w:tab w:val="left" w:pos="0"/>
        </w:tabs>
        <w:spacing w:line="360" w:lineRule="auto"/>
        <w:ind w:left="2" w:firstLine="480" w:firstLineChars="200"/>
        <w:jc w:val="left"/>
        <w:rPr>
          <w:rFonts w:ascii="宋体" w:hAnsi="宋体" w:cs="宋体"/>
          <w:sz w:val="24"/>
        </w:rPr>
      </w:pPr>
      <w:r>
        <w:rPr>
          <w:rFonts w:hint="eastAsia" w:ascii="宋体" w:hAnsi="宋体" w:cs="宋体"/>
          <w:sz w:val="24"/>
        </w:rPr>
        <w:t>1.4如</w:t>
      </w:r>
      <w:r>
        <w:rPr>
          <w:rFonts w:hint="eastAsia" w:ascii="宋体" w:hAnsi="宋体" w:cs="宋体"/>
          <w:sz w:val="24"/>
          <w:u w:val="single"/>
        </w:rPr>
        <w:t>供应商须知资料表</w:t>
      </w:r>
      <w:r>
        <w:rPr>
          <w:rFonts w:hint="eastAsia" w:ascii="宋体" w:hAnsi="宋体" w:cs="宋体"/>
          <w:sz w:val="24"/>
        </w:rPr>
        <w:t>中允许联合体进行响应，对联合体规定如下：</w:t>
      </w:r>
    </w:p>
    <w:p>
      <w:pPr>
        <w:tabs>
          <w:tab w:val="left" w:pos="0"/>
        </w:tabs>
        <w:spacing w:line="360" w:lineRule="auto"/>
        <w:ind w:left="2" w:firstLine="480" w:firstLineChars="200"/>
        <w:jc w:val="left"/>
        <w:rPr>
          <w:rFonts w:ascii="宋体" w:hAnsi="宋体" w:cs="宋体"/>
          <w:sz w:val="24"/>
        </w:rPr>
      </w:pPr>
      <w:r>
        <w:rPr>
          <w:rFonts w:hint="eastAsia" w:ascii="宋体" w:hAnsi="宋体" w:cs="宋体"/>
          <w:sz w:val="24"/>
        </w:rPr>
        <w:t>1.4.1两个以上供应商可以组成一个联合体，以一个供应商的身份响应。</w:t>
      </w:r>
    </w:p>
    <w:p>
      <w:pPr>
        <w:tabs>
          <w:tab w:val="left" w:pos="0"/>
        </w:tabs>
        <w:spacing w:line="360" w:lineRule="auto"/>
        <w:ind w:left="2" w:firstLine="480" w:firstLineChars="200"/>
        <w:jc w:val="left"/>
        <w:rPr>
          <w:rFonts w:ascii="宋体" w:hAnsi="宋体" w:cs="宋体"/>
          <w:sz w:val="24"/>
        </w:rPr>
      </w:pPr>
      <w:r>
        <w:rPr>
          <w:rFonts w:hint="eastAsia" w:ascii="宋体" w:hAnsi="宋体" w:cs="宋体"/>
          <w:sz w:val="24"/>
        </w:rPr>
        <w:t>1.4.2联合体各方均应符合1.3.2规定。</w:t>
      </w:r>
    </w:p>
    <w:p>
      <w:pPr>
        <w:tabs>
          <w:tab w:val="left" w:pos="0"/>
        </w:tabs>
        <w:spacing w:line="360" w:lineRule="auto"/>
        <w:ind w:left="2" w:firstLine="480" w:firstLineChars="200"/>
        <w:jc w:val="left"/>
        <w:rPr>
          <w:rFonts w:ascii="宋体" w:hAnsi="宋体" w:cs="宋体"/>
          <w:sz w:val="24"/>
        </w:rPr>
      </w:pPr>
      <w:r>
        <w:rPr>
          <w:rFonts w:hint="eastAsia" w:ascii="宋体" w:hAnsi="宋体" w:cs="宋体"/>
          <w:sz w:val="24"/>
        </w:rPr>
        <w:t>1.4.3采购人根据采购项目对供应商的特殊要求，联合体中至少应当有一方符合相关规定。</w:t>
      </w:r>
    </w:p>
    <w:p>
      <w:pPr>
        <w:tabs>
          <w:tab w:val="left" w:pos="0"/>
        </w:tabs>
        <w:spacing w:line="360" w:lineRule="auto"/>
        <w:ind w:left="2" w:firstLine="480" w:firstLineChars="200"/>
        <w:jc w:val="left"/>
        <w:rPr>
          <w:rFonts w:ascii="宋体" w:hAnsi="宋体" w:cs="宋体"/>
          <w:sz w:val="24"/>
        </w:rPr>
      </w:pPr>
      <w:r>
        <w:rPr>
          <w:rFonts w:hint="eastAsia" w:ascii="宋体" w:hAnsi="宋体" w:cs="宋体"/>
          <w:sz w:val="24"/>
        </w:rPr>
        <w:t>1.4.4联合体各方应签订共同响应协议，明确约定联合体各方承担的工作和相应的责任，并将共同响应协议连同响应文件一并提交，否则其响应文件将被认定为无效。</w:t>
      </w:r>
    </w:p>
    <w:p>
      <w:pPr>
        <w:spacing w:line="360" w:lineRule="auto"/>
        <w:ind w:firstLine="480" w:firstLineChars="200"/>
        <w:rPr>
          <w:rFonts w:ascii="宋体" w:hAnsi="宋体" w:cs="宋体"/>
          <w:sz w:val="24"/>
        </w:rPr>
      </w:pPr>
      <w:r>
        <w:rPr>
          <w:rFonts w:hint="eastAsia" w:ascii="宋体" w:hAnsi="宋体" w:cs="宋体"/>
          <w:sz w:val="24"/>
        </w:rPr>
        <w:t>1.4.5 大中型企业、其他自然人、法人或者其他组织与小型、微型企业组成联合体共同参加响应，共同响应协议中应写明小型、微型企业的协议合同金额占到共同响应协议响应总金额的比例。</w:t>
      </w:r>
    </w:p>
    <w:p>
      <w:pPr>
        <w:spacing w:line="360" w:lineRule="auto"/>
        <w:ind w:firstLine="480" w:firstLineChars="200"/>
        <w:rPr>
          <w:rFonts w:ascii="宋体" w:hAnsi="宋体" w:cs="宋体"/>
          <w:bCs/>
          <w:sz w:val="24"/>
        </w:rPr>
      </w:pPr>
      <w:r>
        <w:rPr>
          <w:rFonts w:hint="eastAsia" w:ascii="宋体" w:hAnsi="宋体" w:cs="宋体"/>
          <w:sz w:val="24"/>
        </w:rPr>
        <w:t>1.4.6 以联合体形式参加政府采购活动的，联合体各方不得再单独参加或者与其他供应商另外组成联合体参加本项目，否则其响应文件将被认定为</w:t>
      </w:r>
      <w:r>
        <w:rPr>
          <w:rFonts w:hint="eastAsia" w:ascii="宋体" w:hAnsi="宋体" w:cs="宋体"/>
          <w:bCs/>
          <w:sz w:val="24"/>
        </w:rPr>
        <w:t>响应文件无效。</w:t>
      </w:r>
    </w:p>
    <w:p>
      <w:pPr>
        <w:tabs>
          <w:tab w:val="left" w:pos="0"/>
        </w:tabs>
        <w:spacing w:line="360" w:lineRule="auto"/>
        <w:ind w:left="2" w:firstLine="480" w:firstLineChars="200"/>
        <w:jc w:val="left"/>
        <w:rPr>
          <w:rFonts w:ascii="宋体" w:hAnsi="宋体" w:cs="宋体"/>
          <w:bCs/>
          <w:sz w:val="24"/>
        </w:rPr>
      </w:pPr>
      <w:r>
        <w:rPr>
          <w:rFonts w:hint="eastAsia" w:ascii="宋体" w:hAnsi="宋体" w:cs="宋体"/>
          <w:bCs/>
          <w:sz w:val="24"/>
        </w:rPr>
        <w:t>1.4.7对联合体响应的其他资格要求见供应商须知资料表。</w:t>
      </w:r>
    </w:p>
    <w:p>
      <w:pPr>
        <w:tabs>
          <w:tab w:val="left" w:pos="0"/>
        </w:tabs>
        <w:spacing w:line="360" w:lineRule="auto"/>
        <w:ind w:left="2" w:firstLine="480" w:firstLineChars="200"/>
        <w:jc w:val="left"/>
        <w:rPr>
          <w:rFonts w:ascii="宋体" w:hAnsi="宋体" w:cs="宋体"/>
          <w:bCs/>
          <w:sz w:val="24"/>
        </w:rPr>
      </w:pPr>
      <w:r>
        <w:rPr>
          <w:rFonts w:hint="eastAsia" w:ascii="宋体" w:hAnsi="宋体" w:cs="宋体"/>
          <w:bCs/>
          <w:sz w:val="24"/>
        </w:rPr>
        <w:t>1.5货物：系指供应商按单一来源采购文件和合同的要求，向采购人提供所需的设备。</w:t>
      </w:r>
    </w:p>
    <w:p>
      <w:pPr>
        <w:tabs>
          <w:tab w:val="left" w:pos="0"/>
        </w:tabs>
        <w:spacing w:line="360" w:lineRule="auto"/>
        <w:ind w:left="2" w:firstLine="480" w:firstLineChars="200"/>
        <w:jc w:val="left"/>
        <w:rPr>
          <w:rFonts w:ascii="宋体" w:hAnsi="宋体" w:cs="宋体"/>
          <w:bCs/>
          <w:sz w:val="24"/>
        </w:rPr>
      </w:pPr>
      <w:r>
        <w:rPr>
          <w:rFonts w:hint="eastAsia" w:ascii="宋体" w:hAnsi="宋体" w:cs="宋体"/>
          <w:bCs/>
          <w:sz w:val="24"/>
        </w:rPr>
        <w:t>1.6单位负责人为同一人或者存在直接控股、管理关系的不同供应商，不得参加同一合同项下的政府采购活动，否则其相关响应文件均将被认定为响应文件无效。</w:t>
      </w:r>
    </w:p>
    <w:p>
      <w:pPr>
        <w:spacing w:line="360" w:lineRule="auto"/>
        <w:ind w:firstLine="480" w:firstLineChars="200"/>
        <w:rPr>
          <w:bCs/>
        </w:rPr>
      </w:pPr>
      <w:r>
        <w:rPr>
          <w:rFonts w:hint="eastAsia" w:ascii="宋体" w:hAnsi="宋体" w:cs="宋体"/>
          <w:bCs/>
          <w:sz w:val="24"/>
        </w:rPr>
        <w:t>1.7 供应商在协商过程中不得向采购人提供、给予任何有价值的物品，影响其正常决策行为。一经发现，其将被认定为响应文件无效。</w:t>
      </w:r>
    </w:p>
    <w:p>
      <w:pPr>
        <w:spacing w:before="0" w:after="0" w:line="360" w:lineRule="auto"/>
        <w:outlineLvl w:val="9"/>
        <w:rPr>
          <w:rFonts w:hAnsi="宋体"/>
          <w:b/>
          <w:bCs/>
          <w:sz w:val="24"/>
          <w:szCs w:val="24"/>
          <w:u w:val="none"/>
        </w:rPr>
      </w:pPr>
      <w:bookmarkStart w:id="30" w:name="_Toc17187"/>
      <w:r>
        <w:rPr>
          <w:rFonts w:hint="eastAsia" w:hAnsi="宋体"/>
          <w:b/>
          <w:bCs/>
          <w:sz w:val="24"/>
          <w:szCs w:val="24"/>
          <w:u w:val="none"/>
        </w:rPr>
        <w:t>2.资金来源</w:t>
      </w:r>
      <w:bookmarkEnd w:id="27"/>
      <w:bookmarkEnd w:id="28"/>
      <w:bookmarkEnd w:id="29"/>
      <w:bookmarkEnd w:id="30"/>
    </w:p>
    <w:p>
      <w:pPr>
        <w:tabs>
          <w:tab w:val="left" w:pos="0"/>
        </w:tabs>
        <w:spacing w:line="360" w:lineRule="auto"/>
        <w:ind w:left="2" w:firstLine="480" w:firstLineChars="200"/>
        <w:rPr>
          <w:rFonts w:ascii="宋体" w:hAnsi="宋体"/>
          <w:sz w:val="24"/>
        </w:rPr>
      </w:pPr>
      <w:r>
        <w:rPr>
          <w:rFonts w:hint="eastAsia" w:ascii="宋体" w:hAnsi="宋体"/>
          <w:sz w:val="24"/>
        </w:rPr>
        <w:t>2</w:t>
      </w:r>
      <w:r>
        <w:rPr>
          <w:rFonts w:ascii="宋体" w:hAnsi="宋体"/>
          <w:sz w:val="24"/>
        </w:rPr>
        <w:t>.1</w:t>
      </w:r>
      <w:r>
        <w:rPr>
          <w:rFonts w:hint="eastAsia" w:ascii="宋体" w:hAnsi="宋体"/>
          <w:sz w:val="24"/>
        </w:rPr>
        <w:t>本项目的采购人已获得足以支付本次协商后所签订的合同项下的资金（包括财政性资金和本项目采购</w:t>
      </w:r>
      <w:r>
        <w:rPr>
          <w:rFonts w:ascii="宋体" w:hAnsi="宋体"/>
          <w:sz w:val="24"/>
        </w:rPr>
        <w:t>中无法</w:t>
      </w:r>
      <w:r>
        <w:rPr>
          <w:rFonts w:hint="eastAsia" w:ascii="宋体" w:hAnsi="宋体"/>
          <w:sz w:val="24"/>
        </w:rPr>
        <w:t>与</w:t>
      </w:r>
      <w:r>
        <w:rPr>
          <w:rFonts w:ascii="宋体" w:hAnsi="宋体"/>
          <w:sz w:val="24"/>
        </w:rPr>
        <w:t>财政性资金分割的非财政性资金</w:t>
      </w:r>
      <w:r>
        <w:rPr>
          <w:rFonts w:hint="eastAsia" w:ascii="宋体" w:hAnsi="宋体"/>
          <w:sz w:val="24"/>
        </w:rPr>
        <w:t>，预采购项目除外）。</w:t>
      </w:r>
    </w:p>
    <w:p>
      <w:pPr>
        <w:tabs>
          <w:tab w:val="left" w:pos="0"/>
        </w:tabs>
        <w:spacing w:line="360" w:lineRule="auto"/>
        <w:ind w:left="2" w:firstLine="480" w:firstLineChars="200"/>
        <w:rPr>
          <w:rFonts w:ascii="宋体" w:hAnsi="宋体"/>
          <w:sz w:val="24"/>
        </w:rPr>
      </w:pPr>
      <w:r>
        <w:rPr>
          <w:rFonts w:hint="eastAsia" w:ascii="宋体" w:hAnsi="宋体"/>
          <w:sz w:val="24"/>
        </w:rPr>
        <w:t>2.2项目预算金额和分项或分包最高限价</w:t>
      </w:r>
      <w:r>
        <w:rPr>
          <w:rFonts w:hint="eastAsia" w:ascii="宋体" w:hAnsi="宋体"/>
          <w:sz w:val="24"/>
          <w:u w:val="single"/>
        </w:rPr>
        <w:t>见供应商须知资料表</w:t>
      </w:r>
      <w:r>
        <w:rPr>
          <w:rFonts w:hint="eastAsia" w:ascii="宋体" w:hAnsi="宋体"/>
          <w:sz w:val="24"/>
        </w:rPr>
        <w:t>。</w:t>
      </w:r>
    </w:p>
    <w:p>
      <w:pPr>
        <w:spacing w:before="0" w:after="0" w:line="360" w:lineRule="auto"/>
        <w:outlineLvl w:val="9"/>
        <w:rPr>
          <w:rFonts w:hAnsi="宋体"/>
          <w:b/>
          <w:bCs/>
          <w:sz w:val="24"/>
          <w:szCs w:val="24"/>
          <w:u w:val="none"/>
        </w:rPr>
      </w:pPr>
      <w:bookmarkStart w:id="31" w:name="_Toc520356145"/>
      <w:bookmarkStart w:id="32" w:name="_Toc15936"/>
      <w:bookmarkStart w:id="33" w:name="_Toc27685"/>
      <w:bookmarkStart w:id="34" w:name="_Toc515647760"/>
      <w:bookmarkStart w:id="35" w:name="_Toc20526"/>
      <w:r>
        <w:rPr>
          <w:rFonts w:hint="eastAsia" w:hAnsi="宋体"/>
          <w:b/>
          <w:bCs/>
          <w:sz w:val="24"/>
          <w:szCs w:val="24"/>
          <w:u w:val="none"/>
        </w:rPr>
        <w:t>3.响应费用</w:t>
      </w:r>
      <w:bookmarkEnd w:id="31"/>
      <w:bookmarkEnd w:id="32"/>
      <w:bookmarkEnd w:id="33"/>
      <w:bookmarkEnd w:id="34"/>
      <w:bookmarkEnd w:id="35"/>
    </w:p>
    <w:p>
      <w:pPr>
        <w:tabs>
          <w:tab w:val="left" w:pos="0"/>
        </w:tabs>
        <w:spacing w:line="360" w:lineRule="auto"/>
        <w:ind w:left="2" w:firstLine="480" w:firstLineChars="200"/>
        <w:rPr>
          <w:rFonts w:ascii="宋体" w:hAnsi="宋体"/>
          <w:sz w:val="24"/>
        </w:rPr>
      </w:pPr>
      <w:r>
        <w:rPr>
          <w:rFonts w:hint="eastAsia" w:ascii="宋体" w:hAnsi="宋体"/>
          <w:sz w:val="24"/>
        </w:rPr>
        <w:t>不论响应的结果如何，供应商应承担所有与准备和参加响应有关的费用。</w:t>
      </w:r>
    </w:p>
    <w:p>
      <w:pPr>
        <w:spacing w:before="0" w:after="0" w:line="360" w:lineRule="auto"/>
        <w:outlineLvl w:val="9"/>
        <w:rPr>
          <w:rFonts w:hAnsi="宋体"/>
          <w:b/>
          <w:bCs/>
          <w:sz w:val="24"/>
          <w:szCs w:val="24"/>
          <w:u w:val="none"/>
        </w:rPr>
      </w:pPr>
      <w:bookmarkStart w:id="36" w:name="_Toc6116"/>
      <w:bookmarkStart w:id="37" w:name="_Toc31769"/>
      <w:bookmarkStart w:id="38" w:name="_Toc4463"/>
      <w:bookmarkStart w:id="39" w:name="_Toc515647761"/>
      <w:r>
        <w:rPr>
          <w:rFonts w:hint="eastAsia" w:hAnsi="宋体"/>
          <w:b/>
          <w:bCs/>
          <w:sz w:val="24"/>
          <w:szCs w:val="24"/>
          <w:u w:val="none"/>
        </w:rPr>
        <w:t>4.适用法律</w:t>
      </w:r>
      <w:bookmarkEnd w:id="36"/>
      <w:bookmarkEnd w:id="37"/>
      <w:bookmarkEnd w:id="38"/>
      <w:bookmarkEnd w:id="39"/>
    </w:p>
    <w:p>
      <w:pPr>
        <w:tabs>
          <w:tab w:val="left" w:pos="0"/>
        </w:tabs>
        <w:spacing w:line="360" w:lineRule="auto"/>
        <w:ind w:left="2" w:firstLine="480" w:firstLineChars="200"/>
        <w:rPr>
          <w:rFonts w:ascii="宋体" w:hAnsi="宋体"/>
          <w:sz w:val="24"/>
        </w:rPr>
      </w:pPr>
      <w:r>
        <w:rPr>
          <w:rFonts w:hint="eastAsia" w:ascii="宋体" w:hAnsi="宋体"/>
          <w:sz w:val="24"/>
        </w:rPr>
        <w:t>本项目采购人、采购代理机构、供应商、专业人员小组的相关行为均受《中华人民共和国政府采购法》、《</w:t>
      </w:r>
      <w:r>
        <w:rPr>
          <w:rFonts w:ascii="宋体" w:hAnsi="宋体"/>
          <w:sz w:val="24"/>
        </w:rPr>
        <w:t>中华人民共和国政府采购法实施条例》</w:t>
      </w:r>
      <w:r>
        <w:rPr>
          <w:rFonts w:hint="eastAsia" w:ascii="宋体" w:hAnsi="宋体"/>
          <w:sz w:val="24"/>
        </w:rPr>
        <w:t>、《政府采购非招标采购方式管理办法》及本项目本级</w:t>
      </w:r>
      <w:r>
        <w:rPr>
          <w:rFonts w:ascii="宋体" w:hAnsi="宋体"/>
          <w:sz w:val="24"/>
        </w:rPr>
        <w:t>和上级财政部门</w:t>
      </w:r>
      <w:r>
        <w:rPr>
          <w:rFonts w:hint="eastAsia" w:ascii="宋体" w:hAnsi="宋体"/>
          <w:sz w:val="24"/>
        </w:rPr>
        <w:t>政府采购有关规定的约束和保护。</w:t>
      </w:r>
      <w:bookmarkStart w:id="40" w:name="_Toc21566"/>
      <w:bookmarkStart w:id="41" w:name="_Toc515647762"/>
      <w:bookmarkStart w:id="42" w:name="_Toc520356146"/>
      <w:bookmarkStart w:id="43" w:name="_Toc4365"/>
      <w:bookmarkStart w:id="44" w:name="_Toc216582806"/>
      <w:bookmarkStart w:id="45" w:name="_Toc19648"/>
    </w:p>
    <w:p>
      <w:pPr>
        <w:pStyle w:val="48"/>
      </w:pPr>
    </w:p>
    <w:p>
      <w:pPr>
        <w:pStyle w:val="4"/>
        <w:tabs>
          <w:tab w:val="left" w:pos="900"/>
        </w:tabs>
        <w:spacing w:before="0" w:line="360" w:lineRule="auto"/>
        <w:ind w:left="565" w:leftChars="12" w:hanging="540"/>
        <w:rPr>
          <w:rFonts w:ascii="宋体" w:hAnsi="宋体" w:eastAsia="宋体"/>
          <w:sz w:val="28"/>
        </w:rPr>
      </w:pPr>
      <w:bookmarkStart w:id="46" w:name="_Toc27090"/>
      <w:r>
        <w:rPr>
          <w:rFonts w:hint="eastAsia" w:ascii="宋体" w:hAnsi="宋体" w:eastAsia="宋体"/>
          <w:sz w:val="28"/>
        </w:rPr>
        <w:t>二</w:t>
      </w:r>
      <w:bookmarkEnd w:id="40"/>
      <w:bookmarkEnd w:id="41"/>
      <w:bookmarkEnd w:id="42"/>
      <w:bookmarkEnd w:id="43"/>
      <w:bookmarkEnd w:id="44"/>
      <w:r>
        <w:rPr>
          <w:rFonts w:hint="eastAsia" w:ascii="宋体" w:hAnsi="宋体" w:eastAsia="宋体"/>
          <w:sz w:val="28"/>
        </w:rPr>
        <w:t>、单一来源采购文件</w:t>
      </w:r>
      <w:bookmarkEnd w:id="45"/>
      <w:bookmarkEnd w:id="46"/>
    </w:p>
    <w:p>
      <w:pPr>
        <w:spacing w:before="0" w:after="0" w:line="360" w:lineRule="auto"/>
        <w:outlineLvl w:val="9"/>
        <w:rPr>
          <w:rFonts w:hAnsi="宋体"/>
          <w:b/>
          <w:bCs/>
          <w:sz w:val="24"/>
          <w:szCs w:val="24"/>
          <w:u w:val="none"/>
        </w:rPr>
      </w:pPr>
      <w:bookmarkStart w:id="47" w:name="_Toc515647763"/>
      <w:bookmarkStart w:id="48" w:name="_Toc520356147"/>
      <w:bookmarkStart w:id="49" w:name="_Toc25743"/>
      <w:bookmarkStart w:id="50" w:name="_Toc13554"/>
      <w:bookmarkStart w:id="51" w:name="_Toc14084"/>
      <w:r>
        <w:rPr>
          <w:rFonts w:hint="eastAsia" w:hAnsi="宋体"/>
          <w:b/>
          <w:bCs/>
          <w:sz w:val="24"/>
          <w:szCs w:val="24"/>
          <w:u w:val="none"/>
        </w:rPr>
        <w:t>5.单一来源采购文件构成</w:t>
      </w:r>
      <w:bookmarkEnd w:id="47"/>
      <w:bookmarkEnd w:id="48"/>
      <w:bookmarkEnd w:id="49"/>
      <w:bookmarkEnd w:id="50"/>
      <w:bookmarkEnd w:id="51"/>
    </w:p>
    <w:p>
      <w:pPr>
        <w:tabs>
          <w:tab w:val="left" w:pos="0"/>
        </w:tabs>
        <w:spacing w:line="360" w:lineRule="auto"/>
        <w:ind w:left="2" w:firstLine="480" w:firstLineChars="200"/>
        <w:rPr>
          <w:rFonts w:ascii="宋体" w:hAnsi="宋体"/>
          <w:sz w:val="24"/>
        </w:rPr>
      </w:pPr>
      <w:r>
        <w:rPr>
          <w:rFonts w:hint="eastAsia" w:ascii="宋体" w:hAnsi="宋体"/>
          <w:sz w:val="24"/>
        </w:rPr>
        <w:t>5.1单一来源采购文件共六章，内容如下：</w:t>
      </w:r>
    </w:p>
    <w:p>
      <w:pPr>
        <w:spacing w:line="360" w:lineRule="auto"/>
        <w:ind w:left="741" w:leftChars="353"/>
        <w:rPr>
          <w:rFonts w:ascii="宋体" w:hAnsi="宋体"/>
          <w:sz w:val="24"/>
        </w:rPr>
      </w:pPr>
      <w:r>
        <w:rPr>
          <w:rFonts w:hint="eastAsia" w:ascii="宋体" w:hAnsi="宋体"/>
          <w:sz w:val="24"/>
        </w:rPr>
        <w:t>第一章 采购邀请</w:t>
      </w:r>
    </w:p>
    <w:p>
      <w:pPr>
        <w:spacing w:line="360" w:lineRule="auto"/>
        <w:ind w:left="741" w:leftChars="353"/>
        <w:rPr>
          <w:rFonts w:ascii="宋体" w:hAnsi="宋体"/>
          <w:sz w:val="24"/>
        </w:rPr>
      </w:pPr>
      <w:r>
        <w:rPr>
          <w:rFonts w:hint="eastAsia" w:ascii="宋体" w:hAnsi="宋体"/>
          <w:sz w:val="24"/>
        </w:rPr>
        <w:t>第二章 供应商须知</w:t>
      </w:r>
    </w:p>
    <w:p>
      <w:pPr>
        <w:spacing w:line="360" w:lineRule="auto"/>
        <w:ind w:left="741" w:leftChars="353"/>
        <w:rPr>
          <w:rFonts w:ascii="宋体" w:hAnsi="宋体" w:cs="宋体"/>
          <w:sz w:val="24"/>
        </w:rPr>
      </w:pPr>
      <w:r>
        <w:rPr>
          <w:rFonts w:hint="eastAsia" w:ascii="宋体" w:hAnsi="宋体"/>
          <w:sz w:val="24"/>
        </w:rPr>
        <w:t xml:space="preserve">第三章 </w:t>
      </w:r>
      <w:r>
        <w:rPr>
          <w:rFonts w:hint="eastAsia" w:ascii="宋体" w:hAnsi="宋体" w:cs="宋体"/>
          <w:sz w:val="24"/>
        </w:rPr>
        <w:t>货物需求</w:t>
      </w:r>
    </w:p>
    <w:p>
      <w:pPr>
        <w:spacing w:line="360" w:lineRule="auto"/>
        <w:ind w:left="741" w:leftChars="353"/>
        <w:rPr>
          <w:sz w:val="24"/>
        </w:rPr>
      </w:pPr>
      <w:r>
        <w:rPr>
          <w:rFonts w:hint="eastAsia" w:ascii="宋体" w:hAnsi="宋体"/>
          <w:sz w:val="24"/>
        </w:rPr>
        <w:t xml:space="preserve">第四章 </w:t>
      </w:r>
      <w:r>
        <w:rPr>
          <w:rFonts w:hint="eastAsia" w:ascii="宋体" w:hAnsi="宋体" w:cs="宋体"/>
          <w:sz w:val="24"/>
        </w:rPr>
        <w:t>评审方法和标准</w:t>
      </w:r>
    </w:p>
    <w:p>
      <w:pPr>
        <w:spacing w:line="360" w:lineRule="auto"/>
        <w:ind w:left="741" w:leftChars="353"/>
        <w:rPr>
          <w:rFonts w:ascii="宋体" w:hAnsi="宋体"/>
          <w:sz w:val="24"/>
        </w:rPr>
      </w:pPr>
      <w:r>
        <w:rPr>
          <w:rFonts w:hint="eastAsia" w:ascii="宋体" w:hAnsi="宋体"/>
          <w:sz w:val="24"/>
        </w:rPr>
        <w:t xml:space="preserve">第五章 响应文件格式  </w:t>
      </w:r>
    </w:p>
    <w:p>
      <w:pPr>
        <w:spacing w:line="360" w:lineRule="auto"/>
        <w:ind w:left="741" w:leftChars="353"/>
        <w:rPr>
          <w:rFonts w:ascii="宋体" w:hAnsi="宋体"/>
          <w:sz w:val="24"/>
        </w:rPr>
      </w:pPr>
      <w:r>
        <w:rPr>
          <w:rFonts w:hint="eastAsia" w:ascii="宋体" w:hAnsi="宋体"/>
          <w:sz w:val="24"/>
        </w:rPr>
        <w:t xml:space="preserve">第六章 </w:t>
      </w:r>
      <w:r>
        <w:rPr>
          <w:rFonts w:hint="eastAsia" w:hAnsi="宋体"/>
          <w:sz w:val="24"/>
        </w:rPr>
        <w:t>政府采购合同格式</w:t>
      </w:r>
    </w:p>
    <w:p>
      <w:pPr>
        <w:tabs>
          <w:tab w:val="left" w:pos="0"/>
        </w:tabs>
        <w:spacing w:line="360" w:lineRule="auto"/>
        <w:ind w:left="2" w:firstLine="480" w:firstLineChars="200"/>
        <w:rPr>
          <w:rFonts w:ascii="宋体" w:hAnsi="宋体"/>
          <w:sz w:val="24"/>
        </w:rPr>
      </w:pPr>
      <w:r>
        <w:rPr>
          <w:rFonts w:hint="eastAsia" w:ascii="宋体" w:hAnsi="宋体"/>
          <w:sz w:val="24"/>
        </w:rPr>
        <w:t>5.2单一来源采购文件中有不一致的，有澄清的部分以最终的澄清更正内容为准；未澄清的，以</w:t>
      </w:r>
      <w:r>
        <w:rPr>
          <w:rFonts w:hint="eastAsia" w:ascii="宋体" w:hAnsi="宋体"/>
          <w:sz w:val="24"/>
          <w:u w:val="single"/>
        </w:rPr>
        <w:t>供应商须知资料</w:t>
      </w:r>
      <w:r>
        <w:rPr>
          <w:rFonts w:hint="eastAsia" w:ascii="宋体" w:hAnsi="宋体"/>
          <w:sz w:val="24"/>
        </w:rPr>
        <w:t>表为准；供应商须知资料表不涉及的内容，以编排在后的描述为准。</w:t>
      </w:r>
    </w:p>
    <w:p>
      <w:pPr>
        <w:tabs>
          <w:tab w:val="left" w:pos="0"/>
        </w:tabs>
        <w:spacing w:line="360" w:lineRule="auto"/>
        <w:ind w:left="2" w:firstLine="480" w:firstLineChars="200"/>
        <w:rPr>
          <w:rFonts w:ascii="宋体" w:hAnsi="宋体"/>
          <w:sz w:val="24"/>
        </w:rPr>
      </w:pPr>
      <w:r>
        <w:rPr>
          <w:rFonts w:hint="eastAsia" w:ascii="宋体" w:hAnsi="宋体"/>
          <w:sz w:val="24"/>
        </w:rPr>
        <w:t>注：如有最新的答疑后单一来源采购文件（文件格式为</w:t>
      </w:r>
      <w:r>
        <w:rPr>
          <w:rFonts w:ascii="宋体" w:hAnsi="宋体"/>
          <w:sz w:val="24"/>
        </w:rPr>
        <w:t>.</w:t>
      </w:r>
      <w:r>
        <w:rPr>
          <w:rFonts w:hint="eastAsia" w:ascii="宋体" w:hAnsi="宋体"/>
          <w:sz w:val="24"/>
        </w:rPr>
        <w:t>zbcf，供应商必须下载并使用该文件制作电子响应文件，否则将无法完成上传、参与响应。</w:t>
      </w:r>
    </w:p>
    <w:p>
      <w:pPr>
        <w:tabs>
          <w:tab w:val="left" w:pos="0"/>
        </w:tabs>
        <w:spacing w:line="360" w:lineRule="auto"/>
        <w:ind w:left="2" w:firstLine="480" w:firstLineChars="200"/>
        <w:rPr>
          <w:rFonts w:ascii="宋体" w:hAnsi="宋体"/>
          <w:sz w:val="24"/>
        </w:rPr>
      </w:pPr>
      <w:r>
        <w:rPr>
          <w:rFonts w:hint="eastAsia" w:ascii="宋体" w:hAnsi="宋体"/>
          <w:sz w:val="24"/>
        </w:rPr>
        <w:t>5.3供应商应认真阅读单一来源采购文件所有的事项、格式、条款和技术规范等。如供应商没有按照单一来源采购文件要求提交全部资料，或者响应文件没有对单一来源采购文件在各方面都做出实质性响应，</w:t>
      </w:r>
      <w:r>
        <w:rPr>
          <w:rFonts w:hint="eastAsia" w:ascii="宋体" w:hAnsi="宋体" w:cs="宋体"/>
          <w:sz w:val="24"/>
        </w:rPr>
        <w:t>会导致其响应文件将被认定为无效，该风险由供应商承担</w:t>
      </w:r>
      <w:r>
        <w:rPr>
          <w:rFonts w:hint="eastAsia" w:ascii="宋体" w:hAnsi="宋体"/>
          <w:sz w:val="24"/>
        </w:rPr>
        <w:t>。</w:t>
      </w:r>
    </w:p>
    <w:p>
      <w:pPr>
        <w:tabs>
          <w:tab w:val="left" w:pos="0"/>
        </w:tabs>
        <w:spacing w:line="360" w:lineRule="auto"/>
        <w:ind w:left="2" w:firstLine="480" w:firstLineChars="200"/>
        <w:rPr>
          <w:rFonts w:ascii="宋体" w:hAnsi="宋体"/>
          <w:sz w:val="24"/>
        </w:rPr>
      </w:pPr>
      <w:r>
        <w:rPr>
          <w:rFonts w:hint="eastAsia" w:ascii="宋体" w:hAnsi="宋体"/>
          <w:sz w:val="24"/>
        </w:rPr>
        <w:t>5.4 单一来源采购文件以中文编印，且以中文为准。</w:t>
      </w:r>
    </w:p>
    <w:p>
      <w:pPr>
        <w:spacing w:line="360" w:lineRule="auto"/>
        <w:ind w:firstLine="480" w:firstLineChars="200"/>
        <w:jc w:val="left"/>
      </w:pPr>
      <w:r>
        <w:rPr>
          <w:rFonts w:hint="eastAsia" w:ascii="宋体" w:hAnsi="宋体"/>
          <w:sz w:val="24"/>
        </w:rPr>
        <w:t>5.5除非有特殊要求，单一来源采购文件不单独提供货物实施地的自然环境、气候条件、公用设施等情况，供应商被视为熟悉上述与履行合同有关的一切情况。</w:t>
      </w:r>
    </w:p>
    <w:p>
      <w:pPr>
        <w:tabs>
          <w:tab w:val="left" w:pos="0"/>
        </w:tabs>
        <w:spacing w:line="360" w:lineRule="auto"/>
        <w:ind w:left="2" w:firstLine="480" w:firstLineChars="200"/>
        <w:rPr>
          <w:rFonts w:ascii="宋体" w:hAnsi="宋体" w:cs="宋体"/>
          <w:sz w:val="24"/>
        </w:rPr>
      </w:pPr>
      <w:r>
        <w:rPr>
          <w:rFonts w:hint="eastAsia" w:ascii="宋体" w:hAnsi="宋体" w:cs="宋体"/>
          <w:sz w:val="24"/>
        </w:rPr>
        <w:t>5.6现场考察或者答疑会及相关事项见</w:t>
      </w:r>
      <w:r>
        <w:rPr>
          <w:rFonts w:hint="eastAsia" w:ascii="宋体" w:hAnsi="宋体" w:cs="宋体"/>
          <w:sz w:val="24"/>
          <w:u w:val="single"/>
        </w:rPr>
        <w:t>供应商须知资料表</w:t>
      </w:r>
      <w:r>
        <w:rPr>
          <w:rFonts w:hint="eastAsia" w:ascii="宋体" w:hAnsi="宋体" w:cs="宋体"/>
          <w:sz w:val="24"/>
        </w:rPr>
        <w:t>。</w:t>
      </w:r>
    </w:p>
    <w:p>
      <w:pPr>
        <w:tabs>
          <w:tab w:val="left" w:pos="0"/>
        </w:tabs>
        <w:spacing w:line="360" w:lineRule="auto"/>
        <w:ind w:left="2" w:firstLine="480" w:firstLineChars="200"/>
        <w:rPr>
          <w:rFonts w:ascii="宋体" w:hAnsi="宋体" w:cs="宋体"/>
          <w:sz w:val="24"/>
        </w:rPr>
      </w:pPr>
      <w:r>
        <w:rPr>
          <w:rFonts w:hint="eastAsia" w:ascii="宋体" w:hAnsi="宋体" w:cs="宋体"/>
          <w:sz w:val="24"/>
        </w:rPr>
        <w:t>5.6.1单一来源采购文件“供应商须知资料表”规定组织踏勘现场的，采购人将按规定的时间、地点组织供应商踏勘项目现场，踏勘现场所发生的费用由供应商自行承担。</w:t>
      </w:r>
    </w:p>
    <w:p>
      <w:pPr>
        <w:tabs>
          <w:tab w:val="left" w:pos="0"/>
        </w:tabs>
        <w:spacing w:line="360" w:lineRule="auto"/>
        <w:ind w:left="2" w:firstLine="480" w:firstLineChars="200"/>
        <w:rPr>
          <w:rFonts w:ascii="宋体" w:hAnsi="宋体" w:cs="宋体"/>
          <w:sz w:val="24"/>
        </w:rPr>
      </w:pPr>
      <w:r>
        <w:rPr>
          <w:rFonts w:hint="eastAsia" w:ascii="宋体" w:hAnsi="宋体" w:cs="宋体"/>
          <w:sz w:val="24"/>
        </w:rPr>
        <w:t>5.6.2 采购人向供应商提供的有关现场的资料和数据，是采购人现有的能使供应商利用的资料，采购人对供应商由此而做出的推论、理解和结论概不负责。</w:t>
      </w:r>
    </w:p>
    <w:p>
      <w:pPr>
        <w:tabs>
          <w:tab w:val="left" w:pos="0"/>
        </w:tabs>
        <w:spacing w:line="360" w:lineRule="auto"/>
        <w:ind w:left="2" w:firstLine="480" w:firstLineChars="200"/>
        <w:rPr>
          <w:rFonts w:ascii="宋体" w:hAnsi="宋体" w:cs="宋体"/>
          <w:sz w:val="24"/>
        </w:rPr>
      </w:pPr>
      <w:r>
        <w:rPr>
          <w:rFonts w:hint="eastAsia" w:ascii="宋体" w:hAnsi="宋体" w:cs="宋体"/>
          <w:sz w:val="24"/>
        </w:rPr>
        <w:t>5.6.3 供应商经过采购人的允许，可进入项目现场踏勘，对施工现场及其范围环境进行考察，以获取有关编制响应文件和签署实施合同所需的各项资料，但供应商及其人员不得因此使采购人及其人员承担有关的责任和蒙受损失。供应商并应对由此次踏勘现场而造成的死亡、人身伤害、财产损失、损害以及任何其它损失、损害和引起的费用和开支承担责任。</w:t>
      </w:r>
    </w:p>
    <w:p>
      <w:pPr>
        <w:tabs>
          <w:tab w:val="left" w:pos="0"/>
        </w:tabs>
        <w:spacing w:line="360" w:lineRule="auto"/>
        <w:ind w:left="2" w:firstLine="480" w:firstLineChars="200"/>
        <w:rPr>
          <w:rFonts w:ascii="宋体" w:hAnsi="宋体" w:cs="宋体"/>
          <w:sz w:val="24"/>
        </w:rPr>
      </w:pPr>
      <w:r>
        <w:rPr>
          <w:rFonts w:hint="eastAsia" w:ascii="宋体" w:hAnsi="宋体" w:cs="宋体"/>
          <w:sz w:val="24"/>
        </w:rPr>
        <w:t>5.7除单一来源采购文件中另有规定外，单一来源采购文件所使用的时间单位“天”、“日”均指日历天，且所有时刻均为北京时间。</w:t>
      </w:r>
    </w:p>
    <w:p>
      <w:pPr>
        <w:spacing w:line="360" w:lineRule="auto"/>
        <w:ind w:firstLine="480" w:firstLineChars="200"/>
      </w:pPr>
      <w:r>
        <w:rPr>
          <w:rFonts w:hint="eastAsia" w:ascii="宋体" w:hAnsi="宋体" w:cs="宋体"/>
          <w:sz w:val="24"/>
        </w:rPr>
        <w:t>5.8参与单一来源采购活动的各方应对单一来源采购文件和响应文件中的商业和技术等秘密保密，违者应对由此造成的后果承担法律责任。</w:t>
      </w:r>
    </w:p>
    <w:p>
      <w:pPr>
        <w:tabs>
          <w:tab w:val="left" w:pos="0"/>
        </w:tabs>
        <w:spacing w:line="360" w:lineRule="auto"/>
        <w:ind w:left="2" w:firstLine="480" w:firstLineChars="200"/>
        <w:rPr>
          <w:rFonts w:ascii="宋体" w:hAnsi="宋体" w:cs="宋体"/>
          <w:sz w:val="24"/>
        </w:rPr>
      </w:pPr>
      <w:r>
        <w:rPr>
          <w:rFonts w:hint="eastAsia" w:ascii="宋体" w:hAnsi="宋体" w:cs="宋体"/>
          <w:sz w:val="24"/>
        </w:rPr>
        <w:t>5.9供应商应自行承担其准备和参加响应文件活动发生的所有费用。不论响应文件结果如何，采购人及采购代理机构在任何情况下无义务也无责任承担这些费用。</w:t>
      </w:r>
    </w:p>
    <w:p>
      <w:pPr>
        <w:spacing w:line="360" w:lineRule="auto"/>
        <w:jc w:val="left"/>
        <w:outlineLvl w:val="9"/>
        <w:rPr>
          <w:rFonts w:ascii="宋体" w:hAnsi="宋体" w:cs="宋体"/>
          <w:b/>
          <w:bCs/>
          <w:kern w:val="0"/>
          <w:sz w:val="24"/>
          <w:szCs w:val="24"/>
        </w:rPr>
      </w:pPr>
      <w:r>
        <w:rPr>
          <w:rFonts w:hint="eastAsia" w:ascii="宋体" w:hAnsi="宋体" w:cs="宋体"/>
          <w:b/>
          <w:bCs/>
          <w:kern w:val="0"/>
          <w:sz w:val="24"/>
          <w:szCs w:val="24"/>
        </w:rPr>
        <w:t>6.响应文件的澄清与修改</w:t>
      </w:r>
    </w:p>
    <w:p>
      <w:pPr>
        <w:spacing w:line="360" w:lineRule="auto"/>
        <w:ind w:firstLine="480" w:firstLineChars="200"/>
        <w:jc w:val="left"/>
        <w:rPr>
          <w:rFonts w:ascii="宋体" w:hAnsi="宋体"/>
          <w:sz w:val="24"/>
        </w:rPr>
      </w:pPr>
      <w:r>
        <w:rPr>
          <w:rFonts w:hint="eastAsia" w:ascii="宋体" w:hAnsi="宋体" w:cs="宋体"/>
          <w:kern w:val="0"/>
          <w:sz w:val="24"/>
        </w:rPr>
        <w:t>6.1</w:t>
      </w:r>
      <w:r>
        <w:rPr>
          <w:rFonts w:hint="eastAsia" w:ascii="宋体" w:hAnsi="宋体"/>
          <w:sz w:val="24"/>
        </w:rPr>
        <w:t>采购人可主动或在解答供应商提出的澄清问题时对单一来源采购文件澄清</w:t>
      </w:r>
      <w:r>
        <w:rPr>
          <w:rFonts w:ascii="宋体" w:hAnsi="宋体"/>
          <w:sz w:val="24"/>
        </w:rPr>
        <w:t>或</w:t>
      </w:r>
      <w:r>
        <w:rPr>
          <w:rFonts w:hint="eastAsia" w:ascii="宋体" w:hAnsi="宋体"/>
          <w:sz w:val="24"/>
        </w:rPr>
        <w:t>修改。</w:t>
      </w:r>
      <w:r>
        <w:rPr>
          <w:rFonts w:ascii="宋体" w:hAnsi="宋体"/>
          <w:sz w:val="24"/>
        </w:rPr>
        <w:t>采购</w:t>
      </w:r>
      <w:r>
        <w:rPr>
          <w:rFonts w:hint="eastAsia" w:ascii="宋体" w:hAnsi="宋体"/>
          <w:sz w:val="24"/>
        </w:rPr>
        <w:t>代理机构将澄清或修改内容以电子形式上传至系统中，澄清或修改</w:t>
      </w:r>
      <w:r>
        <w:rPr>
          <w:rFonts w:ascii="宋体" w:hAnsi="宋体"/>
          <w:sz w:val="24"/>
        </w:rPr>
        <w:t>内容</w:t>
      </w:r>
      <w:r>
        <w:rPr>
          <w:rFonts w:hint="eastAsia" w:ascii="宋体" w:hAnsi="宋体"/>
          <w:sz w:val="24"/>
        </w:rPr>
        <w:t>作</w:t>
      </w:r>
      <w:r>
        <w:rPr>
          <w:rFonts w:ascii="宋体" w:hAnsi="宋体"/>
          <w:sz w:val="24"/>
        </w:rPr>
        <w:t>为</w:t>
      </w:r>
      <w:r>
        <w:rPr>
          <w:rFonts w:hint="eastAsia" w:ascii="宋体" w:hAnsi="宋体"/>
          <w:sz w:val="24"/>
        </w:rPr>
        <w:t>单一来源采购</w:t>
      </w:r>
      <w:r>
        <w:rPr>
          <w:rFonts w:ascii="宋体" w:hAnsi="宋体"/>
          <w:sz w:val="24"/>
        </w:rPr>
        <w:t>文件</w:t>
      </w:r>
      <w:r>
        <w:rPr>
          <w:rFonts w:hint="eastAsia" w:ascii="宋体" w:hAnsi="宋体"/>
          <w:sz w:val="24"/>
        </w:rPr>
        <w:t>的</w:t>
      </w:r>
      <w:r>
        <w:rPr>
          <w:rFonts w:ascii="宋体" w:hAnsi="宋体"/>
          <w:sz w:val="24"/>
        </w:rPr>
        <w:t>组成部分</w:t>
      </w:r>
      <w:r>
        <w:rPr>
          <w:rFonts w:hint="eastAsia" w:ascii="宋体" w:hAnsi="宋体"/>
          <w:sz w:val="24"/>
        </w:rPr>
        <w:t>。</w:t>
      </w:r>
    </w:p>
    <w:p>
      <w:pPr>
        <w:pStyle w:val="11"/>
        <w:spacing w:line="360" w:lineRule="auto"/>
        <w:ind w:firstLine="480" w:firstLineChars="200"/>
        <w:rPr>
          <w:rFonts w:hAnsi="宋体" w:cs="仿宋_GB2312"/>
          <w:szCs w:val="24"/>
        </w:rPr>
      </w:pPr>
      <w:r>
        <w:rPr>
          <w:rFonts w:hint="eastAsia" w:hAnsi="宋体"/>
        </w:rPr>
        <w:t>6.2供应商可登录系统查看澄清或修改内容。</w:t>
      </w:r>
      <w:r>
        <w:rPr>
          <w:rFonts w:hint="eastAsia" w:hAnsi="宋体" w:cs="仿宋_GB2312"/>
          <w:szCs w:val="24"/>
        </w:rPr>
        <w:t>因潜在供应商原因或通讯线路故障导致逾期送达或无法送达，采购代理机构不因此承担任何责任，有关采购活动可以继续有效进行。</w:t>
      </w:r>
    </w:p>
    <w:p>
      <w:pPr>
        <w:spacing w:line="360" w:lineRule="auto"/>
        <w:ind w:firstLine="480" w:firstLineChars="200"/>
        <w:rPr>
          <w:rFonts w:ascii="宋体" w:hAnsi="宋体" w:cs="宋体"/>
          <w:kern w:val="0"/>
          <w:sz w:val="24"/>
        </w:rPr>
      </w:pPr>
      <w:r>
        <w:rPr>
          <w:rFonts w:hint="eastAsia" w:ascii="宋体" w:hAnsi="宋体" w:cs="宋体"/>
          <w:kern w:val="0"/>
          <w:sz w:val="24"/>
        </w:rPr>
        <w:t>6.3供应商认为</w:t>
      </w:r>
      <w:r>
        <w:rPr>
          <w:rFonts w:hint="eastAsia" w:ascii="宋体" w:hAnsi="宋体" w:cs="宋体"/>
          <w:sz w:val="24"/>
        </w:rPr>
        <w:t>单一来源采购</w:t>
      </w:r>
      <w:r>
        <w:rPr>
          <w:rFonts w:hint="eastAsia" w:ascii="宋体" w:hAnsi="宋体" w:cs="宋体"/>
          <w:kern w:val="0"/>
          <w:sz w:val="24"/>
        </w:rPr>
        <w:t>文件存在歧视性条款或不合理要求等需要澄清的，应在规定时间内提出。供应商可登录淄博市公共资源交易网“企业会员系统”使用“网上提问”中的“新增提问”提出异议。如在规定时间内，供应商对</w:t>
      </w:r>
      <w:r>
        <w:rPr>
          <w:rFonts w:hint="eastAsia" w:ascii="宋体" w:hAnsi="宋体"/>
          <w:sz w:val="24"/>
        </w:rPr>
        <w:t>单一来源采购</w:t>
      </w:r>
      <w:r>
        <w:rPr>
          <w:rFonts w:hint="eastAsia" w:ascii="宋体" w:hAnsi="宋体" w:cs="宋体"/>
          <w:sz w:val="24"/>
        </w:rPr>
        <w:t>文件</w:t>
      </w:r>
      <w:r>
        <w:rPr>
          <w:rFonts w:hint="eastAsia" w:ascii="宋体" w:hAnsi="宋体" w:cs="宋体"/>
          <w:kern w:val="0"/>
          <w:sz w:val="24"/>
        </w:rPr>
        <w:t>中的各项条款未提出异议，即认为同意和接受单一来源采购文件。</w:t>
      </w:r>
    </w:p>
    <w:p>
      <w:pPr>
        <w:pStyle w:val="4"/>
        <w:tabs>
          <w:tab w:val="left" w:pos="900"/>
        </w:tabs>
        <w:spacing w:before="0" w:line="360" w:lineRule="auto"/>
        <w:rPr>
          <w:rFonts w:ascii="宋体" w:hAnsi="宋体" w:eastAsia="宋体"/>
          <w:sz w:val="28"/>
        </w:rPr>
      </w:pPr>
      <w:bookmarkStart w:id="52" w:name="_Toc516367020"/>
      <w:bookmarkStart w:id="53" w:name="_Toc515647766"/>
      <w:bookmarkStart w:id="54" w:name="_Toc7636"/>
      <w:bookmarkStart w:id="55" w:name="_Toc520356150"/>
      <w:bookmarkStart w:id="56" w:name="_Toc6874"/>
      <w:bookmarkStart w:id="57" w:name="_Toc216582807"/>
      <w:bookmarkStart w:id="58" w:name="_Toc30808"/>
      <w:r>
        <w:rPr>
          <w:rFonts w:hint="eastAsia" w:ascii="宋体" w:hAnsi="宋体" w:eastAsia="宋体"/>
          <w:sz w:val="28"/>
        </w:rPr>
        <w:t xml:space="preserve"> </w:t>
      </w:r>
      <w:bookmarkStart w:id="59" w:name="_Toc15337"/>
      <w:r>
        <w:rPr>
          <w:rFonts w:hint="eastAsia" w:ascii="宋体" w:hAnsi="宋体" w:eastAsia="宋体"/>
          <w:sz w:val="28"/>
        </w:rPr>
        <w:t>三、响应文件</w:t>
      </w:r>
      <w:bookmarkEnd w:id="52"/>
      <w:r>
        <w:rPr>
          <w:rFonts w:hint="eastAsia" w:ascii="宋体" w:hAnsi="宋体" w:eastAsia="宋体"/>
          <w:sz w:val="28"/>
        </w:rPr>
        <w:t>的编制</w:t>
      </w:r>
      <w:bookmarkEnd w:id="53"/>
      <w:bookmarkEnd w:id="54"/>
      <w:bookmarkEnd w:id="55"/>
      <w:bookmarkEnd w:id="56"/>
      <w:bookmarkEnd w:id="57"/>
      <w:bookmarkEnd w:id="58"/>
      <w:bookmarkEnd w:id="59"/>
    </w:p>
    <w:p>
      <w:pPr>
        <w:tabs>
          <w:tab w:val="left" w:pos="900"/>
        </w:tabs>
        <w:spacing w:before="0" w:after="0" w:line="360" w:lineRule="auto"/>
        <w:outlineLvl w:val="9"/>
        <w:rPr>
          <w:rFonts w:hAnsi="宋体" w:cs="宋体"/>
          <w:b/>
          <w:bCs/>
          <w:sz w:val="24"/>
          <w:szCs w:val="24"/>
          <w:u w:val="none"/>
        </w:rPr>
      </w:pPr>
      <w:bookmarkStart w:id="60" w:name="_Toc51176589"/>
      <w:bookmarkStart w:id="61" w:name="_Toc62323777"/>
      <w:bookmarkStart w:id="62" w:name="_Toc18140"/>
      <w:r>
        <w:rPr>
          <w:rFonts w:hint="eastAsia" w:hAnsi="宋体" w:cs="宋体"/>
          <w:b/>
          <w:bCs/>
          <w:sz w:val="24"/>
          <w:szCs w:val="24"/>
          <w:u w:val="none"/>
        </w:rPr>
        <w:t>7.编制要求</w:t>
      </w:r>
      <w:bookmarkEnd w:id="60"/>
      <w:bookmarkEnd w:id="61"/>
      <w:bookmarkEnd w:id="62"/>
    </w:p>
    <w:p>
      <w:pPr>
        <w:spacing w:line="360" w:lineRule="auto"/>
        <w:ind w:firstLine="480" w:firstLineChars="200"/>
        <w:rPr>
          <w:rFonts w:cs="宋体" w:asciiTheme="minorEastAsia" w:hAnsiTheme="minorEastAsia" w:eastAsiaTheme="minorEastAsia"/>
          <w:bCs/>
          <w:sz w:val="24"/>
        </w:rPr>
      </w:pPr>
      <w:r>
        <w:rPr>
          <w:rFonts w:hint="eastAsia" w:cs="宋体" w:asciiTheme="minorEastAsia" w:hAnsiTheme="minorEastAsia" w:eastAsiaTheme="minorEastAsia"/>
          <w:sz w:val="24"/>
        </w:rPr>
        <w:t>7.1 供应商应仔细阅读</w:t>
      </w:r>
      <w:r>
        <w:rPr>
          <w:rFonts w:hint="eastAsia" w:ascii="宋体" w:hAnsi="宋体"/>
          <w:sz w:val="24"/>
        </w:rPr>
        <w:t>单一来源采购</w:t>
      </w:r>
      <w:r>
        <w:rPr>
          <w:rFonts w:hint="eastAsia" w:cs="宋体" w:asciiTheme="minorEastAsia" w:hAnsiTheme="minorEastAsia" w:eastAsiaTheme="minorEastAsia"/>
          <w:sz w:val="24"/>
        </w:rPr>
        <w:t>文件的所有内容，按照</w:t>
      </w:r>
      <w:r>
        <w:rPr>
          <w:rFonts w:hint="eastAsia" w:ascii="宋体" w:hAnsi="宋体"/>
          <w:sz w:val="24"/>
        </w:rPr>
        <w:t>单一来源采购</w:t>
      </w:r>
      <w:r>
        <w:rPr>
          <w:rFonts w:hint="eastAsia" w:cs="宋体" w:asciiTheme="minorEastAsia" w:hAnsiTheme="minorEastAsia" w:eastAsiaTheme="minorEastAsia"/>
          <w:sz w:val="24"/>
        </w:rPr>
        <w:t>文件的要求及格式编制响应文件，并保证其真实性。若供应商没有按照</w:t>
      </w:r>
      <w:r>
        <w:rPr>
          <w:rFonts w:hint="eastAsia" w:ascii="宋体" w:hAnsi="宋体"/>
          <w:sz w:val="24"/>
        </w:rPr>
        <w:t>单一来源采购文件</w:t>
      </w:r>
      <w:r>
        <w:rPr>
          <w:rFonts w:hint="eastAsia" w:cs="宋体" w:asciiTheme="minorEastAsia" w:hAnsiTheme="minorEastAsia" w:eastAsiaTheme="minorEastAsia"/>
          <w:sz w:val="24"/>
        </w:rPr>
        <w:t>要求提交全部实质性要求资料或对实质性要求未作响应，其</w:t>
      </w:r>
      <w:r>
        <w:rPr>
          <w:rFonts w:hint="eastAsia" w:cs="宋体" w:asciiTheme="minorEastAsia" w:hAnsiTheme="minorEastAsia" w:eastAsiaTheme="minorEastAsia"/>
          <w:bCs/>
          <w:sz w:val="24"/>
        </w:rPr>
        <w:t>响应文件将会被拒绝。</w:t>
      </w:r>
    </w:p>
    <w:p>
      <w:pPr>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7.2 供应商对多个分包进行响应的，应以分包为单位编制响应文件，每一包响应文件均需满足本</w:t>
      </w:r>
      <w:r>
        <w:rPr>
          <w:rFonts w:hint="eastAsia" w:ascii="宋体" w:hAnsi="宋体"/>
          <w:sz w:val="24"/>
        </w:rPr>
        <w:t>单一来源采购文件</w:t>
      </w:r>
      <w:r>
        <w:rPr>
          <w:rFonts w:hint="eastAsia" w:cs="宋体" w:asciiTheme="minorEastAsia" w:hAnsiTheme="minorEastAsia" w:eastAsiaTheme="minorEastAsia"/>
          <w:sz w:val="24"/>
        </w:rPr>
        <w:t>对响应文件的签署要求。</w:t>
      </w:r>
    </w:p>
    <w:p>
      <w:pPr>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7.3电子响应文件应按照统一的“电子投标文件制作工具”以及</w:t>
      </w:r>
      <w:r>
        <w:rPr>
          <w:rFonts w:hint="eastAsia" w:ascii="宋体" w:hAnsi="宋体"/>
          <w:sz w:val="24"/>
        </w:rPr>
        <w:t>单一来源采购文件</w:t>
      </w:r>
      <w:r>
        <w:rPr>
          <w:rFonts w:hint="eastAsia" w:cs="宋体" w:asciiTheme="minorEastAsia" w:hAnsiTheme="minorEastAsia" w:eastAsiaTheme="minorEastAsia"/>
          <w:sz w:val="24"/>
        </w:rPr>
        <w:t>要求进行制作编制。</w:t>
      </w:r>
    </w:p>
    <w:p>
      <w:pPr>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7.4供应商应按</w:t>
      </w:r>
      <w:r>
        <w:rPr>
          <w:rFonts w:hint="eastAsia" w:ascii="宋体" w:hAnsi="宋体"/>
          <w:sz w:val="24"/>
        </w:rPr>
        <w:t>单一来源采购文件</w:t>
      </w:r>
      <w:r>
        <w:rPr>
          <w:rFonts w:hint="eastAsia" w:cs="宋体" w:asciiTheme="minorEastAsia" w:hAnsiTheme="minorEastAsia" w:eastAsiaTheme="minorEastAsia"/>
          <w:sz w:val="24"/>
        </w:rPr>
        <w:t>的要求及格式编写其响应文件；不得缺少或留空任何响应文件要求填写的表格或资料。</w:t>
      </w:r>
    </w:p>
    <w:p>
      <w:pPr>
        <w:spacing w:line="360" w:lineRule="auto"/>
        <w:ind w:firstLine="480" w:firstLineChars="200"/>
        <w:rPr>
          <w:rFonts w:ascii="宋体" w:hAnsi="宋体"/>
          <w:sz w:val="24"/>
        </w:rPr>
      </w:pPr>
      <w:r>
        <w:rPr>
          <w:rFonts w:hint="eastAsia" w:ascii="宋体" w:hAnsi="宋体"/>
          <w:sz w:val="24"/>
        </w:rPr>
        <w:t>7.5 供应商应编制响应文件目录、内容。</w:t>
      </w:r>
    </w:p>
    <w:p>
      <w:pPr>
        <w:spacing w:line="360" w:lineRule="auto"/>
        <w:ind w:firstLine="480" w:firstLineChars="200"/>
        <w:jc w:val="left"/>
        <w:rPr>
          <w:rFonts w:ascii="宋体" w:hAnsi="宋体"/>
          <w:sz w:val="24"/>
        </w:rPr>
      </w:pPr>
      <w:r>
        <w:rPr>
          <w:rFonts w:hint="eastAsia" w:ascii="宋体" w:hAnsi="宋体"/>
          <w:sz w:val="24"/>
        </w:rPr>
        <w:t>7.6响应文件中提供的扫描件应当真实、完整、清晰，如因扫描件不清晰导致不予认可，由此一切后果由供应商自行承担。</w:t>
      </w:r>
    </w:p>
    <w:p>
      <w:pPr>
        <w:tabs>
          <w:tab w:val="left" w:pos="900"/>
        </w:tabs>
        <w:spacing w:before="0" w:after="0" w:line="360" w:lineRule="auto"/>
        <w:outlineLvl w:val="9"/>
        <w:rPr>
          <w:rFonts w:hAnsi="宋体"/>
          <w:b/>
          <w:bCs/>
          <w:sz w:val="24"/>
          <w:szCs w:val="24"/>
          <w:u w:val="none"/>
        </w:rPr>
      </w:pPr>
      <w:bookmarkStart w:id="63" w:name="_Toc516367021"/>
      <w:bookmarkStart w:id="64" w:name="_Toc7786"/>
      <w:bookmarkStart w:id="65" w:name="_Toc520356151"/>
      <w:bookmarkStart w:id="66" w:name="_Toc15895"/>
      <w:bookmarkStart w:id="67" w:name="_Toc3553"/>
      <w:bookmarkStart w:id="68" w:name="_Toc515647767"/>
      <w:r>
        <w:rPr>
          <w:rFonts w:hint="eastAsia" w:hAnsi="宋体"/>
          <w:b/>
          <w:bCs/>
          <w:sz w:val="24"/>
          <w:szCs w:val="24"/>
          <w:u w:val="none"/>
        </w:rPr>
        <w:t>8</w:t>
      </w:r>
      <w:r>
        <w:rPr>
          <w:rFonts w:hAnsi="宋体"/>
          <w:b/>
          <w:bCs/>
          <w:sz w:val="24"/>
          <w:szCs w:val="24"/>
          <w:u w:val="none"/>
        </w:rPr>
        <w:t>.</w:t>
      </w:r>
      <w:r>
        <w:rPr>
          <w:rFonts w:hint="eastAsia" w:hAnsi="宋体"/>
          <w:b/>
          <w:bCs/>
          <w:sz w:val="24"/>
          <w:szCs w:val="24"/>
          <w:u w:val="none"/>
        </w:rPr>
        <w:t>响应范围及响应文件中标准和计量单位的使用</w:t>
      </w:r>
      <w:bookmarkEnd w:id="63"/>
      <w:bookmarkEnd w:id="64"/>
      <w:bookmarkEnd w:id="65"/>
      <w:bookmarkEnd w:id="66"/>
      <w:bookmarkEnd w:id="67"/>
      <w:bookmarkEnd w:id="68"/>
    </w:p>
    <w:p>
      <w:pPr>
        <w:tabs>
          <w:tab w:val="left" w:pos="0"/>
        </w:tabs>
        <w:spacing w:line="360" w:lineRule="auto"/>
        <w:ind w:left="2" w:firstLine="480" w:firstLineChars="200"/>
        <w:rPr>
          <w:rFonts w:ascii="宋体" w:hAnsi="宋体"/>
          <w:sz w:val="24"/>
        </w:rPr>
      </w:pPr>
      <w:bookmarkStart w:id="69" w:name="_Toc516367022"/>
      <w:bookmarkStart w:id="70" w:name="_Ref467306676"/>
      <w:bookmarkStart w:id="71" w:name="_Ref467306195"/>
      <w:bookmarkStart w:id="72" w:name="_Toc10364"/>
      <w:bookmarkStart w:id="73" w:name="_Toc28307"/>
      <w:bookmarkStart w:id="74" w:name="_Toc520356152"/>
      <w:bookmarkStart w:id="75" w:name="_Toc515647768"/>
      <w:r>
        <w:rPr>
          <w:rFonts w:hint="eastAsia" w:ascii="宋体" w:hAnsi="宋体"/>
          <w:sz w:val="24"/>
        </w:rPr>
        <w:t>8</w:t>
      </w:r>
      <w:r>
        <w:rPr>
          <w:rFonts w:ascii="宋体" w:hAnsi="宋体"/>
          <w:sz w:val="24"/>
        </w:rPr>
        <w:t>.</w:t>
      </w:r>
      <w:r>
        <w:rPr>
          <w:rFonts w:hint="eastAsia" w:ascii="宋体" w:hAnsi="宋体"/>
          <w:sz w:val="24"/>
        </w:rPr>
        <w:t>1供应商应当</w:t>
      </w:r>
      <w:r>
        <w:rPr>
          <w:rFonts w:ascii="宋体" w:hAnsi="宋体"/>
          <w:sz w:val="24"/>
        </w:rPr>
        <w:t>对所</w:t>
      </w:r>
      <w:r>
        <w:rPr>
          <w:rFonts w:hint="eastAsia" w:ascii="宋体" w:hAnsi="宋体"/>
          <w:sz w:val="24"/>
        </w:rPr>
        <w:t>响应标包中“</w:t>
      </w:r>
      <w:r>
        <w:rPr>
          <w:rFonts w:hint="eastAsia" w:ascii="宋体" w:hAnsi="宋体" w:cs="宋体"/>
          <w:sz w:val="24"/>
        </w:rPr>
        <w:t>货物需求</w:t>
      </w:r>
      <w:r>
        <w:rPr>
          <w:rFonts w:hint="eastAsia" w:ascii="宋体" w:hAnsi="宋体"/>
          <w:sz w:val="24"/>
        </w:rPr>
        <w:t>”所列的所有内容进行响应，</w:t>
      </w:r>
      <w:r>
        <w:rPr>
          <w:rFonts w:ascii="宋体" w:hAnsi="宋体"/>
          <w:sz w:val="24"/>
        </w:rPr>
        <w:t>如</w:t>
      </w:r>
      <w:r>
        <w:rPr>
          <w:rFonts w:hint="eastAsia" w:ascii="宋体" w:hAnsi="宋体"/>
          <w:sz w:val="24"/>
        </w:rPr>
        <w:t>仅</w:t>
      </w:r>
      <w:r>
        <w:rPr>
          <w:rFonts w:ascii="宋体" w:hAnsi="宋体"/>
          <w:sz w:val="24"/>
        </w:rPr>
        <w:t>响应</w:t>
      </w:r>
      <w:r>
        <w:rPr>
          <w:rFonts w:hint="eastAsia" w:ascii="宋体" w:hAnsi="宋体"/>
          <w:sz w:val="24"/>
        </w:rPr>
        <w:t>某一包中的部分内容</w:t>
      </w:r>
      <w:r>
        <w:rPr>
          <w:rFonts w:ascii="宋体" w:hAnsi="宋体"/>
          <w:sz w:val="24"/>
        </w:rPr>
        <w:t>，</w:t>
      </w:r>
      <w:r>
        <w:rPr>
          <w:rFonts w:hint="eastAsia" w:ascii="宋体" w:hAnsi="宋体"/>
          <w:sz w:val="24"/>
        </w:rPr>
        <w:t>其响文件应将被认定为无效。</w:t>
      </w:r>
    </w:p>
    <w:p>
      <w:pPr>
        <w:tabs>
          <w:tab w:val="left" w:pos="0"/>
        </w:tabs>
        <w:spacing w:line="360" w:lineRule="auto"/>
        <w:ind w:left="2" w:firstLine="480" w:firstLineChars="200"/>
        <w:rPr>
          <w:rFonts w:ascii="宋体" w:hAnsi="宋体"/>
          <w:sz w:val="24"/>
        </w:rPr>
      </w:pPr>
      <w:r>
        <w:rPr>
          <w:rFonts w:hint="eastAsia" w:ascii="宋体" w:hAnsi="宋体"/>
          <w:sz w:val="24"/>
        </w:rPr>
        <w:t>8.2无论单一来源采购文件第三章“货物</w:t>
      </w:r>
      <w:r>
        <w:rPr>
          <w:rFonts w:hint="eastAsia" w:ascii="宋体" w:hAnsi="宋体" w:cs="宋体"/>
          <w:sz w:val="24"/>
        </w:rPr>
        <w:t>需求</w:t>
      </w:r>
      <w:r>
        <w:rPr>
          <w:rFonts w:hint="eastAsia" w:ascii="宋体" w:hAnsi="宋体"/>
          <w:sz w:val="24"/>
        </w:rPr>
        <w:t>”中是否要求，供应商所提供的货物均应符合国家强制性标准。</w:t>
      </w:r>
    </w:p>
    <w:p>
      <w:pPr>
        <w:tabs>
          <w:tab w:val="left" w:pos="0"/>
        </w:tabs>
        <w:spacing w:line="360" w:lineRule="auto"/>
        <w:ind w:left="2" w:firstLine="480" w:firstLineChars="200"/>
        <w:rPr>
          <w:rFonts w:ascii="宋体" w:hAnsi="宋体"/>
          <w:sz w:val="24"/>
        </w:rPr>
      </w:pPr>
      <w:r>
        <w:rPr>
          <w:rFonts w:hint="eastAsia" w:ascii="宋体" w:hAnsi="宋体"/>
          <w:sz w:val="24"/>
        </w:rPr>
        <w:t>8.3除单一来源采购文件中有特殊要求外，响应文件中所使用的计量单位，应采用中华人民共和国法定计量单位。</w:t>
      </w:r>
    </w:p>
    <w:p>
      <w:pPr>
        <w:spacing w:line="360" w:lineRule="auto"/>
        <w:ind w:firstLine="480" w:firstLineChars="200"/>
        <w:rPr>
          <w:rFonts w:ascii="宋体" w:hAnsi="宋体" w:cs="宋体"/>
          <w:sz w:val="24"/>
        </w:rPr>
      </w:pPr>
      <w:r>
        <w:rPr>
          <w:rFonts w:hint="eastAsia" w:ascii="宋体" w:hAnsi="宋体" w:cs="宋体"/>
          <w:sz w:val="24"/>
        </w:rPr>
        <w:t>8.4 响应文件应以中文书写。如供应商提交的支持文件和印刷的文献使用另一种语言，应附有相应内容的中文翻译本，在解释响应文件时以中文翻译本为准。</w:t>
      </w:r>
    </w:p>
    <w:p>
      <w:pPr>
        <w:spacing w:line="360" w:lineRule="auto"/>
        <w:ind w:firstLine="480" w:firstLineChars="200"/>
      </w:pPr>
      <w:r>
        <w:rPr>
          <w:rFonts w:hint="eastAsia" w:ascii="宋体" w:hAnsi="宋体" w:cs="宋体"/>
          <w:sz w:val="24"/>
        </w:rPr>
        <w:t>8.5对违反上述规定情形的，专业人员小组有权要求供应商限期提供相应文件或决定对其响应予以拒绝。</w:t>
      </w:r>
    </w:p>
    <w:p>
      <w:pPr>
        <w:tabs>
          <w:tab w:val="left" w:pos="900"/>
        </w:tabs>
        <w:spacing w:before="0" w:after="0" w:line="360" w:lineRule="auto"/>
        <w:outlineLvl w:val="9"/>
        <w:rPr>
          <w:rFonts w:hAnsi="宋体"/>
          <w:b/>
          <w:bCs/>
          <w:sz w:val="24"/>
          <w:szCs w:val="24"/>
          <w:u w:val="none"/>
        </w:rPr>
      </w:pPr>
      <w:bookmarkStart w:id="76" w:name="_Toc26964"/>
      <w:r>
        <w:rPr>
          <w:rFonts w:hint="eastAsia" w:hAnsi="宋体"/>
          <w:b/>
          <w:bCs/>
          <w:sz w:val="24"/>
          <w:szCs w:val="24"/>
          <w:u w:val="none"/>
        </w:rPr>
        <w:t>9</w:t>
      </w:r>
      <w:r>
        <w:rPr>
          <w:rFonts w:hAnsi="宋体"/>
          <w:b/>
          <w:bCs/>
          <w:sz w:val="24"/>
          <w:szCs w:val="24"/>
          <w:u w:val="none"/>
        </w:rPr>
        <w:t>.</w:t>
      </w:r>
      <w:r>
        <w:rPr>
          <w:rFonts w:hint="eastAsia" w:hAnsi="宋体"/>
          <w:b/>
          <w:bCs/>
          <w:sz w:val="24"/>
          <w:szCs w:val="24"/>
          <w:u w:val="none"/>
        </w:rPr>
        <w:t>响应文件</w:t>
      </w:r>
      <w:bookmarkEnd w:id="69"/>
      <w:bookmarkEnd w:id="70"/>
      <w:bookmarkEnd w:id="71"/>
      <w:r>
        <w:rPr>
          <w:rFonts w:hint="eastAsia" w:hAnsi="宋体"/>
          <w:b/>
          <w:bCs/>
          <w:sz w:val="24"/>
          <w:szCs w:val="24"/>
          <w:u w:val="none"/>
        </w:rPr>
        <w:t>构成</w:t>
      </w:r>
      <w:bookmarkEnd w:id="72"/>
      <w:bookmarkEnd w:id="73"/>
      <w:bookmarkEnd w:id="74"/>
      <w:bookmarkEnd w:id="75"/>
      <w:bookmarkEnd w:id="76"/>
    </w:p>
    <w:p>
      <w:pPr>
        <w:tabs>
          <w:tab w:val="left" w:pos="0"/>
        </w:tabs>
        <w:spacing w:line="360" w:lineRule="auto"/>
        <w:ind w:firstLine="480" w:firstLineChars="200"/>
        <w:rPr>
          <w:rFonts w:ascii="宋体" w:hAnsi="宋体" w:cs="宋体"/>
          <w:sz w:val="24"/>
        </w:rPr>
      </w:pPr>
      <w:bookmarkStart w:id="77" w:name="_Ref467052588"/>
      <w:r>
        <w:rPr>
          <w:rFonts w:hint="eastAsia" w:ascii="宋体" w:hAnsi="宋体"/>
          <w:sz w:val="24"/>
        </w:rPr>
        <w:t>9.1供应商应通过淄博市公共资源交易网下载的“电子投标文件制作工具”编写响应文件。</w:t>
      </w:r>
      <w:r>
        <w:rPr>
          <w:rFonts w:hint="eastAsia" w:ascii="宋体" w:hAnsi="宋体" w:cs="宋体"/>
          <w:sz w:val="24"/>
        </w:rPr>
        <w:t>在响应截止时间前上传经过数字证书电子签章并加密的电子响应文件（加密和解密必须使用同一数字证书）。响应文件中资格审查不满足单一来源采购文件要求的，其响文件应将被认定为无效。</w:t>
      </w:r>
    </w:p>
    <w:p>
      <w:pPr>
        <w:tabs>
          <w:tab w:val="left" w:pos="0"/>
        </w:tabs>
        <w:spacing w:line="360" w:lineRule="auto"/>
        <w:ind w:firstLine="480" w:firstLineChars="200"/>
        <w:rPr>
          <w:rFonts w:ascii="宋体" w:hAnsi="宋体"/>
          <w:sz w:val="24"/>
        </w:rPr>
      </w:pPr>
      <w:r>
        <w:rPr>
          <w:rFonts w:hint="eastAsia" w:ascii="宋体" w:hAnsi="宋体"/>
          <w:sz w:val="24"/>
        </w:rPr>
        <w:t>9</w:t>
      </w:r>
      <w:r>
        <w:rPr>
          <w:rFonts w:hint="eastAsia" w:ascii="宋体" w:hAnsi="宋体" w:cs="宋体"/>
          <w:sz w:val="24"/>
        </w:rPr>
        <w:t>.2上述文件应按照单一来源采</w:t>
      </w:r>
      <w:r>
        <w:rPr>
          <w:rFonts w:hint="eastAsia" w:ascii="宋体" w:hAnsi="宋体"/>
          <w:sz w:val="24"/>
        </w:rPr>
        <w:t>购文件规定签署。采用公章授权方式的，应当在响应文件附公章授权书（格式自定）。</w:t>
      </w:r>
    </w:p>
    <w:p>
      <w:pPr>
        <w:spacing w:line="360" w:lineRule="auto"/>
        <w:ind w:firstLine="480" w:firstLineChars="200"/>
        <w:rPr>
          <w:rFonts w:ascii="宋体" w:hAnsi="宋体" w:cs="宋体"/>
          <w:sz w:val="24"/>
        </w:rPr>
      </w:pPr>
      <w:r>
        <w:rPr>
          <w:rFonts w:hint="eastAsia" w:ascii="宋体" w:hAnsi="宋体" w:cs="宋体"/>
          <w:sz w:val="24"/>
        </w:rPr>
        <w:t>9.3 供应商应提交证明文件，证明其提供内容符合响应文件规定。该证明文件是响应文件的一部分。</w:t>
      </w:r>
    </w:p>
    <w:p>
      <w:pPr>
        <w:spacing w:line="360" w:lineRule="auto"/>
        <w:ind w:firstLine="480" w:firstLineChars="200"/>
        <w:rPr>
          <w:rFonts w:ascii="宋体" w:hAnsi="宋体" w:cs="宋体"/>
          <w:sz w:val="24"/>
        </w:rPr>
      </w:pPr>
      <w:r>
        <w:rPr>
          <w:rFonts w:hint="eastAsia" w:ascii="宋体" w:hAnsi="宋体" w:cs="宋体"/>
          <w:sz w:val="24"/>
        </w:rPr>
        <w:t>9.4 上款所述的证明文件，可以是文字资料、图纸和数据等。</w:t>
      </w:r>
    </w:p>
    <w:p>
      <w:pPr>
        <w:tabs>
          <w:tab w:val="left" w:pos="0"/>
        </w:tabs>
        <w:spacing w:line="360" w:lineRule="auto"/>
        <w:ind w:firstLine="480" w:firstLineChars="200"/>
        <w:rPr>
          <w:rFonts w:ascii="宋体" w:hAnsi="宋体"/>
          <w:bCs/>
          <w:sz w:val="24"/>
          <w:lang w:val="zh-CN"/>
        </w:rPr>
      </w:pPr>
      <w:r>
        <w:rPr>
          <w:rFonts w:hint="eastAsia" w:ascii="宋体" w:hAnsi="宋体"/>
          <w:sz w:val="24"/>
        </w:rPr>
        <w:t>9.5</w:t>
      </w:r>
      <w:r>
        <w:rPr>
          <w:rFonts w:hint="eastAsia" w:ascii="宋体" w:hAnsi="宋体"/>
          <w:bCs/>
          <w:sz w:val="24"/>
          <w:lang w:val="zh-CN"/>
        </w:rPr>
        <w:t>本项目采用电子</w:t>
      </w:r>
      <w:r>
        <w:rPr>
          <w:rFonts w:hint="eastAsia" w:ascii="Times New Roman" w:hAnsi="宋体"/>
          <w:bCs/>
          <w:sz w:val="24"/>
        </w:rPr>
        <w:t>响应，</w:t>
      </w:r>
      <w:r>
        <w:rPr>
          <w:rFonts w:hint="eastAsia" w:ascii="宋体" w:hAnsi="宋体"/>
          <w:bCs/>
          <w:sz w:val="24"/>
          <w:lang w:val="zh-CN"/>
        </w:rPr>
        <w:t>供应商</w:t>
      </w:r>
      <w:r>
        <w:rPr>
          <w:rFonts w:hint="eastAsia" w:ascii="宋体" w:hAnsi="宋体"/>
          <w:bCs/>
          <w:sz w:val="24"/>
        </w:rPr>
        <w:t>应当</w:t>
      </w:r>
      <w:r>
        <w:rPr>
          <w:rFonts w:hint="eastAsia" w:ascii="宋体" w:hAnsi="宋体"/>
          <w:bCs/>
          <w:sz w:val="24"/>
          <w:lang w:val="zh-CN"/>
        </w:rPr>
        <w:t>使用证明供应商身份的单位电子签名的实名认证证书和用于供应商编制电子响应文件制作软件。</w:t>
      </w:r>
    </w:p>
    <w:p>
      <w:pPr>
        <w:tabs>
          <w:tab w:val="left" w:pos="0"/>
        </w:tabs>
        <w:spacing w:line="360" w:lineRule="auto"/>
        <w:ind w:firstLine="480" w:firstLineChars="200"/>
        <w:rPr>
          <w:rFonts w:ascii="宋体" w:hAnsi="宋体"/>
          <w:bCs/>
          <w:sz w:val="24"/>
          <w:lang w:val="zh-CN"/>
        </w:rPr>
      </w:pPr>
      <w:r>
        <w:rPr>
          <w:rFonts w:hint="eastAsia" w:ascii="宋体" w:hAnsi="宋体"/>
          <w:bCs/>
          <w:sz w:val="24"/>
          <w:lang w:val="zh-CN"/>
        </w:rPr>
        <w:t>申请办理实名认证证书的方式：</w:t>
      </w:r>
      <w:r>
        <w:rPr>
          <w:rFonts w:hint="eastAsia" w:ascii="宋体" w:hAnsi="宋体" w:cs="宋体"/>
          <w:bCs/>
          <w:sz w:val="24"/>
        </w:rPr>
        <w:t>详见《数字证书办理注意事项及相关资料下载》（淄博市公共资源交易网→办事指南→下载园地）。</w:t>
      </w:r>
    </w:p>
    <w:p>
      <w:pPr>
        <w:tabs>
          <w:tab w:val="left" w:pos="0"/>
        </w:tabs>
        <w:spacing w:line="360" w:lineRule="auto"/>
        <w:ind w:firstLine="480" w:firstLineChars="200"/>
        <w:rPr>
          <w:rFonts w:ascii="宋体" w:hAnsi="宋体" w:cs="宋体"/>
          <w:bCs/>
          <w:sz w:val="24"/>
        </w:rPr>
      </w:pPr>
      <w:r>
        <w:rPr>
          <w:rFonts w:hint="eastAsia" w:ascii="宋体" w:hAnsi="宋体"/>
          <w:bCs/>
          <w:sz w:val="24"/>
          <w:lang w:val="zh-CN"/>
        </w:rPr>
        <w:t>电子响应基本流程：</w:t>
      </w:r>
      <w:r>
        <w:rPr>
          <w:rFonts w:hint="eastAsia" w:ascii="宋体" w:hAnsi="宋体" w:cs="宋体"/>
          <w:bCs/>
          <w:sz w:val="24"/>
        </w:rPr>
        <w:t>详见“新点投标文件制作软件（淄博版）操作视频-采购类”（淄博市公共资源交易网→办事指南→下载园地）供应商在响应截止时间前，可以对其所递交的响应文件进行撤回、修改并重新上传，但以响应截止时间前最后一次完成上传的响应文件为有效响应文件。逾期系统将自动关闭，未完成上传的响应文件视为逾期送达，将被拒绝。</w:t>
      </w:r>
    </w:p>
    <w:p>
      <w:pPr>
        <w:tabs>
          <w:tab w:val="left" w:pos="0"/>
        </w:tabs>
        <w:spacing w:line="360" w:lineRule="auto"/>
        <w:ind w:firstLine="480" w:firstLineChars="200"/>
        <w:rPr>
          <w:rFonts w:ascii="宋体" w:hAnsi="宋体" w:cs="宋体"/>
          <w:bCs/>
          <w:sz w:val="24"/>
        </w:rPr>
      </w:pPr>
      <w:r>
        <w:rPr>
          <w:rFonts w:hint="eastAsia" w:ascii="宋体" w:hAnsi="宋体" w:cs="宋体"/>
          <w:bCs/>
          <w:sz w:val="24"/>
        </w:rPr>
        <w:t>请确保在开标时实名认证证书在有效期内，供应商实名认证证书在续期后务必在开标前重新制作和上传电子响应文件（文件格式为.zbtf），否则将造成电子响应文件无法进行解密（加密和解密必须使用同一数字证书）。</w:t>
      </w:r>
    </w:p>
    <w:p>
      <w:pPr>
        <w:tabs>
          <w:tab w:val="left" w:pos="0"/>
        </w:tabs>
        <w:spacing w:line="360" w:lineRule="auto"/>
        <w:ind w:firstLine="480" w:firstLineChars="200"/>
        <w:rPr>
          <w:rFonts w:ascii="宋体" w:hAnsi="宋体" w:cs="宋体"/>
          <w:sz w:val="24"/>
        </w:rPr>
      </w:pPr>
      <w:r>
        <w:rPr>
          <w:rFonts w:hint="eastAsia" w:ascii="宋体" w:hAnsi="宋体" w:cs="宋体"/>
          <w:sz w:val="24"/>
        </w:rPr>
        <w:t>因供应商以下原因，响应将被拒绝：</w:t>
      </w:r>
    </w:p>
    <w:p>
      <w:pPr>
        <w:tabs>
          <w:tab w:val="left" w:pos="0"/>
        </w:tabs>
        <w:spacing w:line="360" w:lineRule="auto"/>
        <w:ind w:firstLine="480" w:firstLineChars="200"/>
        <w:rPr>
          <w:rFonts w:ascii="宋体" w:hAnsi="宋体" w:cs="宋体"/>
          <w:sz w:val="24"/>
        </w:rPr>
      </w:pPr>
      <w:r>
        <w:rPr>
          <w:rFonts w:hint="eastAsia" w:ascii="宋体" w:hAnsi="宋体" w:cs="宋体"/>
          <w:sz w:val="24"/>
        </w:rPr>
        <w:t>（1）</w:t>
      </w:r>
      <w:r>
        <w:rPr>
          <w:rFonts w:hint="eastAsia" w:ascii="宋体" w:hAnsi="宋体"/>
          <w:sz w:val="24"/>
          <w:lang w:val="zh-CN"/>
        </w:rPr>
        <w:t>提交响应文件截止时间前，供应商未成功上传响应文件的</w:t>
      </w:r>
      <w:r>
        <w:rPr>
          <w:rFonts w:hint="eastAsia" w:ascii="宋体" w:hAnsi="宋体" w:cs="宋体"/>
          <w:sz w:val="24"/>
        </w:rPr>
        <w:t>；</w:t>
      </w:r>
    </w:p>
    <w:p>
      <w:pPr>
        <w:tabs>
          <w:tab w:val="left" w:pos="0"/>
        </w:tabs>
        <w:spacing w:line="360" w:lineRule="auto"/>
        <w:ind w:firstLine="480" w:firstLineChars="200"/>
        <w:rPr>
          <w:rFonts w:ascii="宋体" w:hAnsi="宋体" w:cs="宋体"/>
          <w:sz w:val="24"/>
        </w:rPr>
      </w:pPr>
      <w:r>
        <w:rPr>
          <w:rFonts w:hint="eastAsia" w:ascii="宋体" w:hAnsi="宋体" w:cs="宋体"/>
          <w:sz w:val="24"/>
        </w:rPr>
        <w:t>（2）对已生成的电子响应文件进行破解、修改、压缩等不当操作，或自备的电脑环境配置不当等原因导致无法解密的；</w:t>
      </w:r>
    </w:p>
    <w:p>
      <w:pPr>
        <w:tabs>
          <w:tab w:val="left" w:pos="0"/>
        </w:tabs>
        <w:spacing w:line="360" w:lineRule="auto"/>
        <w:ind w:firstLine="480" w:firstLineChars="200"/>
        <w:rPr>
          <w:rFonts w:ascii="宋体" w:hAnsi="宋体" w:cs="宋体"/>
          <w:sz w:val="24"/>
        </w:rPr>
      </w:pPr>
      <w:r>
        <w:rPr>
          <w:rFonts w:hint="eastAsia" w:ascii="宋体" w:hAnsi="宋体" w:cs="宋体"/>
          <w:sz w:val="24"/>
        </w:rPr>
        <w:t>（3）开标时，实名认证证书过期失效、密码丢失，</w:t>
      </w:r>
      <w:r>
        <w:rPr>
          <w:rFonts w:hint="eastAsia" w:ascii="宋体" w:hAnsi="宋体"/>
          <w:sz w:val="24"/>
          <w:lang w:val="zh-CN"/>
        </w:rPr>
        <w:t>或者供应商实名认证证书在续期后未在提交响应文件截止前重新制作和上传电子响应文件，导致无法解密的</w:t>
      </w:r>
      <w:r>
        <w:rPr>
          <w:rFonts w:hint="eastAsia" w:ascii="宋体" w:hAnsi="宋体" w:cs="宋体"/>
          <w:sz w:val="24"/>
        </w:rPr>
        <w:t>。</w:t>
      </w:r>
    </w:p>
    <w:p>
      <w:pPr>
        <w:tabs>
          <w:tab w:val="left" w:pos="0"/>
        </w:tabs>
        <w:spacing w:line="360" w:lineRule="auto"/>
        <w:ind w:firstLine="480" w:firstLineChars="200"/>
        <w:rPr>
          <w:rFonts w:ascii="宋体" w:hAnsi="宋体" w:cs="宋体"/>
          <w:sz w:val="24"/>
        </w:rPr>
      </w:pPr>
      <w:r>
        <w:rPr>
          <w:rFonts w:hint="eastAsia" w:ascii="宋体" w:hAnsi="宋体" w:cs="宋体"/>
          <w:sz w:val="24"/>
        </w:rPr>
        <w:t>（4）</w:t>
      </w:r>
      <w:r>
        <w:rPr>
          <w:rFonts w:hint="eastAsia" w:ascii="宋体" w:hAnsi="宋体"/>
          <w:sz w:val="24"/>
          <w:lang w:val="zh-CN"/>
        </w:rPr>
        <w:t>提交响应文件截止时间后，供应商在规定时长内未能成功解密的</w:t>
      </w:r>
      <w:r>
        <w:rPr>
          <w:rFonts w:hint="eastAsia" w:ascii="宋体" w:hAnsi="宋体" w:cs="宋体"/>
          <w:sz w:val="24"/>
        </w:rPr>
        <w:t>。</w:t>
      </w:r>
    </w:p>
    <w:p>
      <w:pPr>
        <w:spacing w:line="360" w:lineRule="auto"/>
        <w:ind w:firstLine="480" w:firstLineChars="200"/>
        <w:rPr>
          <w:rFonts w:ascii="宋体" w:hAnsi="宋体" w:cs="宋体"/>
          <w:bCs/>
          <w:sz w:val="24"/>
        </w:rPr>
      </w:pPr>
      <w:r>
        <w:rPr>
          <w:rFonts w:hint="eastAsia" w:ascii="宋体" w:hAnsi="宋体" w:cs="宋体"/>
          <w:bCs/>
          <w:sz w:val="24"/>
        </w:rPr>
        <w:t>9.6 供应商提交的响应文件应包含以下各个部分，具体组成内容见第五章响应文件格式。</w:t>
      </w:r>
    </w:p>
    <w:p>
      <w:pPr>
        <w:spacing w:line="360" w:lineRule="auto"/>
        <w:ind w:firstLine="480" w:firstLineChars="200"/>
        <w:rPr>
          <w:rFonts w:ascii="宋体" w:hAnsi="宋体" w:cs="宋体"/>
          <w:bCs/>
          <w:sz w:val="24"/>
        </w:rPr>
      </w:pPr>
      <w:r>
        <w:rPr>
          <w:rFonts w:hint="eastAsia" w:ascii="宋体" w:hAnsi="宋体" w:cs="宋体"/>
          <w:bCs/>
          <w:sz w:val="24"/>
        </w:rPr>
        <w:t>9.6.1</w:t>
      </w:r>
      <w:r>
        <w:rPr>
          <w:rFonts w:hint="eastAsia" w:ascii="宋体" w:hAnsi="宋体"/>
          <w:bCs/>
          <w:sz w:val="24"/>
        </w:rPr>
        <w:t>开标一览表</w:t>
      </w:r>
    </w:p>
    <w:p>
      <w:pPr>
        <w:spacing w:line="360" w:lineRule="auto"/>
        <w:ind w:firstLine="480" w:firstLineChars="200"/>
        <w:rPr>
          <w:rFonts w:ascii="宋体" w:hAnsi="宋体" w:cs="宋体"/>
          <w:bCs/>
          <w:sz w:val="24"/>
        </w:rPr>
      </w:pPr>
      <w:r>
        <w:rPr>
          <w:rFonts w:hint="eastAsia" w:ascii="宋体" w:hAnsi="宋体" w:cs="宋体"/>
          <w:bCs/>
          <w:sz w:val="24"/>
        </w:rPr>
        <w:t>9.6.2</w:t>
      </w:r>
      <w:r>
        <w:rPr>
          <w:rFonts w:hint="eastAsia" w:ascii="宋体" w:hAnsi="宋体"/>
          <w:bCs/>
          <w:sz w:val="24"/>
        </w:rPr>
        <w:t>资格证明文件</w:t>
      </w:r>
    </w:p>
    <w:p>
      <w:pPr>
        <w:spacing w:line="360" w:lineRule="auto"/>
        <w:ind w:firstLine="480" w:firstLineChars="200"/>
        <w:rPr>
          <w:rFonts w:ascii="宋体" w:hAnsi="宋体" w:cs="宋体"/>
          <w:bCs/>
          <w:sz w:val="24"/>
        </w:rPr>
      </w:pPr>
      <w:r>
        <w:rPr>
          <w:rFonts w:hint="eastAsia" w:ascii="宋体" w:hAnsi="宋体" w:cs="宋体"/>
          <w:bCs/>
          <w:sz w:val="24"/>
        </w:rPr>
        <w:t>9.6.2.1 供应商须对提交的资格证明真实性、有效性、完整性负责。</w:t>
      </w:r>
    </w:p>
    <w:p>
      <w:pPr>
        <w:spacing w:line="360" w:lineRule="auto"/>
        <w:ind w:firstLine="480" w:firstLineChars="200"/>
        <w:rPr>
          <w:rFonts w:ascii="宋体" w:hAnsi="宋体" w:cs="宋体"/>
          <w:bCs/>
          <w:sz w:val="24"/>
        </w:rPr>
      </w:pPr>
      <w:r>
        <w:rPr>
          <w:rFonts w:hint="eastAsia" w:ascii="宋体" w:hAnsi="宋体" w:cs="宋体"/>
          <w:bCs/>
          <w:sz w:val="24"/>
        </w:rPr>
        <w:t>9.6.2.2 资格证明的字迹、印章必须完整、清晰，否则其响应文件将会被拒绝。</w:t>
      </w:r>
    </w:p>
    <w:p>
      <w:pPr>
        <w:spacing w:line="360" w:lineRule="auto"/>
        <w:ind w:firstLine="480" w:firstLineChars="200"/>
        <w:rPr>
          <w:rFonts w:ascii="宋体" w:hAnsi="宋体" w:cs="宋体"/>
          <w:bCs/>
          <w:sz w:val="24"/>
        </w:rPr>
      </w:pPr>
      <w:r>
        <w:rPr>
          <w:rFonts w:hint="eastAsia" w:ascii="宋体" w:hAnsi="宋体" w:cs="宋体"/>
          <w:bCs/>
          <w:sz w:val="24"/>
        </w:rPr>
        <w:t>9.6.2.3供应商当将其资格证明文件中的相关证书（证件）的扫描件上传至电子响应文件对应当章节中，并确保清晰可见，未按要求上传或扫描件不清晰的，将导致资格审查不予通过，一切后果由供应商负责。</w:t>
      </w:r>
    </w:p>
    <w:p>
      <w:pPr>
        <w:spacing w:line="360" w:lineRule="auto"/>
        <w:ind w:firstLine="480" w:firstLineChars="200"/>
        <w:rPr>
          <w:rFonts w:ascii="宋体" w:hAnsi="宋体" w:cs="宋体"/>
          <w:bCs/>
          <w:sz w:val="24"/>
        </w:rPr>
      </w:pPr>
      <w:r>
        <w:rPr>
          <w:rFonts w:hint="eastAsia" w:ascii="宋体" w:hAnsi="宋体" w:cs="宋体"/>
          <w:bCs/>
          <w:sz w:val="24"/>
        </w:rPr>
        <w:t>9.6.3 商务部分</w:t>
      </w:r>
    </w:p>
    <w:p>
      <w:pPr>
        <w:spacing w:line="360" w:lineRule="auto"/>
        <w:ind w:firstLine="480" w:firstLineChars="200"/>
        <w:jc w:val="left"/>
        <w:rPr>
          <w:rFonts w:ascii="宋体" w:hAnsi="宋体"/>
          <w:bCs/>
          <w:sz w:val="24"/>
        </w:rPr>
      </w:pPr>
      <w:r>
        <w:rPr>
          <w:rFonts w:hint="eastAsia" w:ascii="宋体" w:hAnsi="宋体"/>
          <w:bCs/>
          <w:sz w:val="24"/>
          <w:lang w:val="en-US" w:eastAsia="zh-CN"/>
        </w:rPr>
        <w:t>9.6.3.</w:t>
      </w:r>
      <w:r>
        <w:rPr>
          <w:rFonts w:hint="eastAsia" w:ascii="宋体" w:hAnsi="宋体"/>
          <w:bCs/>
          <w:sz w:val="24"/>
        </w:rPr>
        <w:t>1投标函</w:t>
      </w:r>
    </w:p>
    <w:p>
      <w:pPr>
        <w:spacing w:line="360" w:lineRule="auto"/>
        <w:ind w:firstLine="480" w:firstLineChars="200"/>
        <w:jc w:val="left"/>
        <w:rPr>
          <w:rFonts w:ascii="宋体" w:hAnsi="宋体"/>
          <w:bCs/>
          <w:sz w:val="24"/>
          <w:highlight w:val="yellow"/>
        </w:rPr>
      </w:pPr>
      <w:r>
        <w:rPr>
          <w:rFonts w:hint="eastAsia" w:ascii="宋体" w:hAnsi="宋体"/>
          <w:bCs/>
          <w:sz w:val="24"/>
          <w:lang w:val="en-US" w:eastAsia="zh-CN"/>
        </w:rPr>
        <w:t>9.6.3.2</w:t>
      </w:r>
      <w:r>
        <w:rPr>
          <w:rFonts w:hint="eastAsia" w:ascii="宋体" w:hAnsi="宋体"/>
          <w:bCs/>
          <w:sz w:val="24"/>
        </w:rPr>
        <w:t>报价明细表</w:t>
      </w:r>
    </w:p>
    <w:p>
      <w:pPr>
        <w:spacing w:line="360" w:lineRule="auto"/>
        <w:ind w:firstLine="480" w:firstLineChars="200"/>
        <w:jc w:val="left"/>
        <w:rPr>
          <w:rFonts w:ascii="宋体" w:hAnsi="宋体"/>
          <w:bCs/>
          <w:sz w:val="24"/>
        </w:rPr>
      </w:pPr>
      <w:r>
        <w:rPr>
          <w:rFonts w:hint="eastAsia" w:ascii="宋体" w:hAnsi="宋体"/>
          <w:bCs/>
          <w:sz w:val="24"/>
          <w:lang w:val="en-US" w:eastAsia="zh-CN"/>
        </w:rPr>
        <w:t>9.6.3.3</w:t>
      </w:r>
      <w:r>
        <w:rPr>
          <w:rFonts w:hint="eastAsia" w:ascii="宋体" w:hAnsi="宋体"/>
          <w:bCs/>
          <w:sz w:val="24"/>
        </w:rPr>
        <w:t>商务</w:t>
      </w:r>
      <w:r>
        <w:rPr>
          <w:rFonts w:hint="eastAsia" w:ascii="宋体" w:hAnsi="宋体"/>
          <w:bCs/>
          <w:sz w:val="24"/>
          <w:lang w:eastAsia="zh-CN"/>
        </w:rPr>
        <w:t>条款</w:t>
      </w:r>
      <w:r>
        <w:rPr>
          <w:rFonts w:hint="eastAsia" w:ascii="宋体" w:hAnsi="宋体"/>
          <w:bCs/>
          <w:sz w:val="24"/>
        </w:rPr>
        <w:t>偏离表</w:t>
      </w:r>
    </w:p>
    <w:p>
      <w:pPr>
        <w:spacing w:line="360" w:lineRule="auto"/>
        <w:ind w:firstLine="480" w:firstLineChars="200"/>
        <w:jc w:val="left"/>
        <w:rPr>
          <w:rFonts w:ascii="宋体" w:hAnsi="宋体"/>
          <w:bCs/>
          <w:sz w:val="24"/>
        </w:rPr>
      </w:pPr>
      <w:r>
        <w:rPr>
          <w:rFonts w:hint="eastAsia" w:ascii="宋体" w:hAnsi="宋体"/>
          <w:bCs/>
          <w:sz w:val="24"/>
          <w:lang w:val="en-US" w:eastAsia="zh-CN"/>
        </w:rPr>
        <w:t>9.6.3.4</w:t>
      </w:r>
      <w:r>
        <w:rPr>
          <w:rFonts w:hint="eastAsia" w:ascii="宋体" w:hAnsi="宋体"/>
          <w:bCs/>
          <w:sz w:val="24"/>
        </w:rPr>
        <w:t>质量保证及服务承诺</w:t>
      </w:r>
    </w:p>
    <w:p>
      <w:pPr>
        <w:spacing w:line="360" w:lineRule="auto"/>
        <w:ind w:firstLine="480" w:firstLineChars="200"/>
        <w:jc w:val="left"/>
        <w:rPr>
          <w:rFonts w:ascii="宋体" w:hAnsi="宋体"/>
          <w:bCs/>
          <w:sz w:val="24"/>
        </w:rPr>
      </w:pPr>
      <w:r>
        <w:rPr>
          <w:rFonts w:hint="eastAsia" w:ascii="宋体" w:hAnsi="宋体"/>
          <w:bCs/>
          <w:sz w:val="24"/>
          <w:lang w:val="en-US" w:eastAsia="zh-CN"/>
        </w:rPr>
        <w:t>9.6.3.5</w:t>
      </w:r>
      <w:r>
        <w:rPr>
          <w:rFonts w:hint="eastAsia" w:ascii="宋体" w:hAnsi="宋体"/>
          <w:bCs/>
          <w:sz w:val="24"/>
        </w:rPr>
        <w:t>供应商完成的类似项目业绩（包含合同原件扫描件)</w:t>
      </w:r>
    </w:p>
    <w:p>
      <w:pPr>
        <w:spacing w:line="360" w:lineRule="auto"/>
        <w:ind w:firstLine="480" w:firstLineChars="200"/>
        <w:jc w:val="left"/>
        <w:rPr>
          <w:rFonts w:ascii="宋体" w:hAnsi="宋体"/>
          <w:bCs/>
          <w:sz w:val="24"/>
        </w:rPr>
      </w:pPr>
      <w:r>
        <w:rPr>
          <w:rFonts w:hint="eastAsia" w:ascii="宋体" w:hAnsi="宋体"/>
          <w:bCs/>
          <w:sz w:val="24"/>
          <w:lang w:val="en-US" w:eastAsia="zh-CN"/>
        </w:rPr>
        <w:t xml:space="preserve">9.6.3.6 </w:t>
      </w:r>
      <w:r>
        <w:rPr>
          <w:rFonts w:hint="eastAsia" w:ascii="宋体" w:hAnsi="宋体"/>
          <w:bCs/>
          <w:sz w:val="24"/>
        </w:rPr>
        <w:t>资格审查资料：</w:t>
      </w:r>
    </w:p>
    <w:p>
      <w:pPr>
        <w:spacing w:line="360" w:lineRule="auto"/>
        <w:ind w:firstLine="480" w:firstLineChars="200"/>
        <w:jc w:val="left"/>
        <w:rPr>
          <w:rFonts w:ascii="宋体" w:hAnsi="宋体"/>
          <w:bCs/>
          <w:sz w:val="24"/>
        </w:rPr>
      </w:pPr>
      <w:r>
        <w:rPr>
          <w:rFonts w:hint="eastAsia" w:ascii="宋体" w:hAnsi="宋体"/>
          <w:bCs/>
          <w:sz w:val="24"/>
        </w:rPr>
        <w:t>a、</w:t>
      </w:r>
      <w:r>
        <w:rPr>
          <w:rFonts w:hint="eastAsia" w:ascii="宋体" w:hAnsi="宋体"/>
          <w:sz w:val="24"/>
        </w:rPr>
        <w:t>加载统一社会信用代码的《营业执照》原件扫描件</w:t>
      </w:r>
      <w:r>
        <w:rPr>
          <w:rFonts w:hint="eastAsia" w:ascii="宋体" w:hAnsi="宋体"/>
          <w:bCs/>
          <w:sz w:val="24"/>
        </w:rPr>
        <w:t>；</w:t>
      </w:r>
    </w:p>
    <w:p>
      <w:pPr>
        <w:spacing w:line="360" w:lineRule="auto"/>
        <w:ind w:firstLine="480" w:firstLineChars="200"/>
        <w:jc w:val="left"/>
        <w:rPr>
          <w:rFonts w:ascii="宋体" w:hAnsi="宋体"/>
          <w:sz w:val="24"/>
          <w:lang w:val="zh-CN"/>
        </w:rPr>
      </w:pPr>
      <w:r>
        <w:rPr>
          <w:rFonts w:hint="eastAsia" w:ascii="宋体" w:hAnsi="宋体"/>
          <w:bCs/>
          <w:sz w:val="24"/>
        </w:rPr>
        <w:t>b、</w:t>
      </w:r>
      <w:r>
        <w:rPr>
          <w:rFonts w:hint="eastAsia" w:ascii="宋体" w:hAnsi="宋体"/>
          <w:bCs/>
          <w:sz w:val="24"/>
          <w:lang w:val="zh-CN"/>
        </w:rPr>
        <w:t>供应商为代理商须具有产品所属类别的有效的《医疗器械经营备案凭证》或《医疗器械经营许可证》</w:t>
      </w:r>
      <w:r>
        <w:rPr>
          <w:rFonts w:hint="eastAsia" w:ascii="宋体" w:hAnsi="宋体"/>
          <w:bCs/>
          <w:sz w:val="24"/>
        </w:rPr>
        <w:t>原件扫描件</w:t>
      </w:r>
      <w:r>
        <w:rPr>
          <w:rFonts w:hint="eastAsia" w:ascii="宋体" w:hAnsi="宋体"/>
          <w:bCs/>
          <w:sz w:val="24"/>
          <w:lang w:val="zh-CN"/>
        </w:rPr>
        <w:t>；若供应商为生产厂家，须具有</w:t>
      </w:r>
      <w:r>
        <w:rPr>
          <w:rFonts w:hint="eastAsia" w:ascii="宋体" w:hAnsi="宋体"/>
          <w:sz w:val="24"/>
          <w:lang w:val="zh-CN"/>
        </w:rPr>
        <w:t>①</w:t>
      </w:r>
      <w:r>
        <w:rPr>
          <w:rFonts w:hint="eastAsia" w:ascii="宋体" w:hAnsi="宋体"/>
          <w:bCs/>
          <w:sz w:val="24"/>
          <w:lang w:val="zh-CN"/>
        </w:rPr>
        <w:t>有效的《医疗器械生产许可证》或《医疗器械生产产品登记表》</w:t>
      </w:r>
      <w:r>
        <w:rPr>
          <w:rFonts w:hint="eastAsia" w:ascii="宋体" w:hAnsi="宋体"/>
          <w:bCs/>
          <w:sz w:val="24"/>
        </w:rPr>
        <w:t>原件扫描件</w:t>
      </w:r>
      <w:r>
        <w:rPr>
          <w:rFonts w:hint="eastAsia" w:ascii="宋体" w:hAnsi="宋体"/>
          <w:bCs/>
          <w:sz w:val="24"/>
          <w:lang w:val="zh-CN"/>
        </w:rPr>
        <w:t>；②《医疗器械注</w:t>
      </w:r>
      <w:r>
        <w:rPr>
          <w:rFonts w:hint="eastAsia" w:ascii="宋体" w:hAnsi="宋体"/>
          <w:sz w:val="24"/>
          <w:lang w:val="zh-CN"/>
        </w:rPr>
        <w:t>册证》或备案凭证</w:t>
      </w:r>
      <w:r>
        <w:rPr>
          <w:rFonts w:hint="eastAsia" w:ascii="宋体" w:hAnsi="宋体"/>
          <w:sz w:val="24"/>
        </w:rPr>
        <w:t>原件扫描件</w:t>
      </w:r>
      <w:r>
        <w:rPr>
          <w:rFonts w:hint="eastAsia" w:ascii="宋体" w:hAnsi="宋体"/>
          <w:sz w:val="24"/>
          <w:lang w:val="zh-CN"/>
        </w:rPr>
        <w:t>；</w:t>
      </w:r>
    </w:p>
    <w:p>
      <w:pPr>
        <w:spacing w:line="360" w:lineRule="auto"/>
        <w:ind w:firstLine="480" w:firstLineChars="200"/>
        <w:jc w:val="left"/>
        <w:rPr>
          <w:rFonts w:ascii="宋体" w:hAnsi="宋体"/>
          <w:sz w:val="24"/>
        </w:rPr>
      </w:pPr>
      <w:r>
        <w:rPr>
          <w:rFonts w:hint="eastAsia" w:ascii="宋体" w:hAnsi="宋体"/>
          <w:sz w:val="24"/>
        </w:rPr>
        <w:t>c、如法定代表人参加会议，须提供①“法定代表人身份证明书”原件扫描件，②法定代表人身份证原件扫描件；如被授权代表参加会议，须提供①“法定代表人授权委托书”原件扫描件；②被授权人身份证原件扫描件；</w:t>
      </w:r>
    </w:p>
    <w:p>
      <w:pPr>
        <w:spacing w:line="360" w:lineRule="auto"/>
        <w:ind w:firstLine="480" w:firstLineChars="200"/>
        <w:jc w:val="left"/>
        <w:rPr>
          <w:rFonts w:ascii="宋体" w:hAnsi="宋体"/>
          <w:bCs/>
          <w:sz w:val="24"/>
        </w:rPr>
      </w:pPr>
      <w:r>
        <w:rPr>
          <w:rFonts w:hint="eastAsia" w:ascii="宋体" w:hAnsi="宋体"/>
          <w:bCs/>
          <w:sz w:val="24"/>
        </w:rPr>
        <w:t>d、政府采购供应商信用承诺书原件扫描件。</w:t>
      </w:r>
    </w:p>
    <w:p>
      <w:pPr>
        <w:spacing w:line="360" w:lineRule="auto"/>
        <w:ind w:firstLine="480" w:firstLineChars="200"/>
        <w:jc w:val="left"/>
        <w:rPr>
          <w:rFonts w:ascii="宋体" w:hAnsi="宋体" w:cs="宋体"/>
          <w:sz w:val="24"/>
        </w:rPr>
      </w:pPr>
      <w:r>
        <w:rPr>
          <w:rFonts w:hint="eastAsia" w:ascii="宋体" w:hAnsi="宋体" w:cs="宋体"/>
          <w:sz w:val="24"/>
          <w:lang w:val="en-US" w:eastAsia="zh-CN"/>
        </w:rPr>
        <w:t>9.6.3.7</w:t>
      </w:r>
      <w:r>
        <w:rPr>
          <w:rFonts w:hint="eastAsia" w:ascii="宋体" w:hAnsi="宋体" w:cs="宋体"/>
          <w:sz w:val="24"/>
        </w:rPr>
        <w:t>符合价格扣除条件的投标人需提供的资料</w:t>
      </w:r>
    </w:p>
    <w:p>
      <w:pPr>
        <w:spacing w:line="360" w:lineRule="auto"/>
        <w:ind w:firstLine="480" w:firstLineChars="200"/>
        <w:rPr>
          <w:rFonts w:ascii="宋体" w:hAnsi="宋体"/>
          <w:bCs/>
          <w:sz w:val="24"/>
          <w:highlight w:val="yellow"/>
        </w:rPr>
      </w:pPr>
      <w:r>
        <w:rPr>
          <w:rFonts w:hint="eastAsia" w:ascii="宋体" w:hAnsi="宋体" w:cs="宋体"/>
          <w:sz w:val="24"/>
          <w:lang w:val="en-US" w:eastAsia="zh-CN"/>
        </w:rPr>
        <w:t>9.6.3.8</w:t>
      </w:r>
      <w:r>
        <w:rPr>
          <w:rFonts w:hint="eastAsia" w:ascii="宋体" w:hAnsi="宋体"/>
          <w:bCs/>
          <w:sz w:val="24"/>
        </w:rPr>
        <w:t>节能、减排、环境标志产品单独分项报价表、强制采购节能产品投标清单</w:t>
      </w:r>
    </w:p>
    <w:p>
      <w:pPr>
        <w:spacing w:line="360" w:lineRule="auto"/>
        <w:ind w:firstLine="480" w:firstLineChars="200"/>
        <w:rPr>
          <w:rFonts w:ascii="宋体" w:hAnsi="宋体"/>
          <w:bCs/>
          <w:sz w:val="24"/>
        </w:rPr>
      </w:pPr>
      <w:r>
        <w:rPr>
          <w:rFonts w:hint="eastAsia" w:ascii="宋体" w:hAnsi="宋体"/>
          <w:bCs/>
          <w:sz w:val="24"/>
        </w:rPr>
        <w:t>9.6.</w:t>
      </w:r>
      <w:r>
        <w:rPr>
          <w:rFonts w:hint="eastAsia" w:ascii="宋体" w:hAnsi="宋体"/>
          <w:bCs/>
          <w:sz w:val="24"/>
          <w:lang w:val="en-US" w:eastAsia="zh-CN"/>
        </w:rPr>
        <w:t>4</w:t>
      </w:r>
      <w:r>
        <w:rPr>
          <w:rFonts w:hint="eastAsia" w:ascii="宋体" w:hAnsi="宋体"/>
          <w:bCs/>
          <w:sz w:val="24"/>
        </w:rPr>
        <w:t>技术部分</w:t>
      </w:r>
    </w:p>
    <w:bookmarkEnd w:id="77"/>
    <w:p>
      <w:pPr>
        <w:spacing w:line="360" w:lineRule="auto"/>
        <w:ind w:firstLine="480" w:firstLineChars="200"/>
        <w:jc w:val="left"/>
        <w:rPr>
          <w:rFonts w:ascii="宋体" w:hAnsi="宋体"/>
          <w:bCs/>
          <w:sz w:val="24"/>
        </w:rPr>
      </w:pPr>
      <w:bookmarkStart w:id="78" w:name="_Toc2248"/>
      <w:bookmarkStart w:id="79" w:name="_Toc23231"/>
      <w:bookmarkStart w:id="80" w:name="_Toc515647770"/>
      <w:bookmarkStart w:id="81" w:name="_Toc520356155"/>
      <w:bookmarkStart w:id="82" w:name="_Toc27843"/>
      <w:r>
        <w:rPr>
          <w:rFonts w:hint="eastAsia" w:ascii="宋体" w:hAnsi="宋体"/>
          <w:bCs/>
          <w:sz w:val="24"/>
          <w:lang w:val="en-US" w:eastAsia="zh-CN"/>
        </w:rPr>
        <w:t>9.6.4.1</w:t>
      </w:r>
      <w:r>
        <w:rPr>
          <w:rFonts w:hint="eastAsia" w:ascii="宋体" w:hAnsi="宋体"/>
          <w:bCs/>
          <w:sz w:val="24"/>
        </w:rPr>
        <w:t>技术规范偏离表</w:t>
      </w:r>
    </w:p>
    <w:p>
      <w:pPr>
        <w:spacing w:line="360" w:lineRule="auto"/>
        <w:ind w:firstLine="480" w:firstLineChars="200"/>
        <w:jc w:val="left"/>
        <w:rPr>
          <w:rFonts w:ascii="宋体" w:hAnsi="宋体"/>
          <w:bCs/>
          <w:sz w:val="24"/>
        </w:rPr>
      </w:pPr>
      <w:r>
        <w:rPr>
          <w:rFonts w:hint="eastAsia" w:ascii="宋体" w:hAnsi="宋体"/>
          <w:bCs/>
          <w:sz w:val="24"/>
          <w:lang w:val="en-US" w:eastAsia="zh-CN"/>
        </w:rPr>
        <w:t>9.6.4.2</w:t>
      </w:r>
      <w:r>
        <w:rPr>
          <w:rFonts w:hint="eastAsia" w:ascii="宋体" w:hAnsi="宋体"/>
          <w:bCs/>
          <w:sz w:val="24"/>
        </w:rPr>
        <w:t>产品说明（包括产品品牌型号、制造商、技术性能指标、主要技术参数说明、产品符合国家及地方质量、检测标准的情况等）</w:t>
      </w:r>
    </w:p>
    <w:p>
      <w:pPr>
        <w:spacing w:line="360" w:lineRule="auto"/>
        <w:ind w:firstLine="480" w:firstLineChars="200"/>
        <w:jc w:val="left"/>
        <w:rPr>
          <w:rFonts w:ascii="宋体" w:hAnsi="宋体"/>
          <w:bCs/>
          <w:sz w:val="24"/>
        </w:rPr>
      </w:pPr>
      <w:r>
        <w:rPr>
          <w:rFonts w:hint="eastAsia" w:ascii="宋体" w:hAnsi="宋体"/>
          <w:bCs/>
          <w:sz w:val="24"/>
          <w:lang w:val="en-US" w:eastAsia="zh-CN"/>
        </w:rPr>
        <w:t>9.6.4.3</w:t>
      </w:r>
      <w:r>
        <w:rPr>
          <w:rFonts w:hint="eastAsia" w:ascii="宋体" w:hAnsi="宋体"/>
          <w:bCs/>
          <w:sz w:val="24"/>
        </w:rPr>
        <w:t>产品合格证书及相关检验、检测报告、证书、产品样册等扫描件</w:t>
      </w:r>
    </w:p>
    <w:p>
      <w:pPr>
        <w:spacing w:line="360" w:lineRule="auto"/>
        <w:ind w:firstLine="480" w:firstLineChars="200"/>
        <w:jc w:val="left"/>
        <w:rPr>
          <w:rFonts w:ascii="宋体" w:hAnsi="宋体" w:cs="宋体"/>
          <w:sz w:val="24"/>
        </w:rPr>
      </w:pPr>
      <w:r>
        <w:rPr>
          <w:rFonts w:hint="eastAsia" w:ascii="宋体" w:hAnsi="宋体"/>
          <w:bCs/>
          <w:sz w:val="24"/>
          <w:lang w:val="en-US" w:eastAsia="zh-CN"/>
        </w:rPr>
        <w:t>9.6.4.4</w:t>
      </w:r>
      <w:r>
        <w:rPr>
          <w:rFonts w:hint="eastAsia" w:ascii="宋体" w:hAnsi="宋体" w:cs="宋体"/>
          <w:sz w:val="24"/>
        </w:rPr>
        <w:t>技术支持的详细说明、质量保证、售后服务措施及优惠承诺 （应包括整体质量保证、售后服务期限、免费服务期限、厂家免费维护保养周期、服务反应速度、售后服务范围、供货时限保证、备品备件的供应、安装、调试、操作培训、技术指导、优惠承诺条款及其他服务内容等）</w:t>
      </w:r>
    </w:p>
    <w:p>
      <w:pPr>
        <w:pStyle w:val="48"/>
        <w:spacing w:line="360" w:lineRule="auto"/>
        <w:ind w:firstLine="480"/>
      </w:pPr>
      <w:r>
        <w:rPr>
          <w:rFonts w:hint="eastAsia" w:ascii="宋体" w:hAnsi="宋体" w:cs="宋体"/>
          <w:sz w:val="24"/>
          <w:lang w:val="en-US" w:eastAsia="zh-CN"/>
        </w:rPr>
        <w:t>9.6.4.5</w:t>
      </w:r>
      <w:r>
        <w:rPr>
          <w:rFonts w:hint="eastAsia" w:ascii="宋体" w:hAnsi="宋体" w:cs="宋体"/>
          <w:sz w:val="24"/>
        </w:rPr>
        <w:t>供货方案、进度计划安排、人员配备等</w:t>
      </w:r>
    </w:p>
    <w:p>
      <w:pPr>
        <w:spacing w:before="0" w:after="0" w:line="360" w:lineRule="auto"/>
        <w:outlineLvl w:val="9"/>
        <w:rPr>
          <w:rFonts w:hAnsi="宋体"/>
          <w:b/>
          <w:bCs/>
          <w:sz w:val="24"/>
          <w:szCs w:val="24"/>
          <w:u w:val="none"/>
        </w:rPr>
      </w:pPr>
      <w:r>
        <w:rPr>
          <w:rFonts w:hint="eastAsia" w:hAnsi="宋体"/>
          <w:b/>
          <w:bCs/>
          <w:sz w:val="24"/>
          <w:szCs w:val="24"/>
          <w:u w:val="none"/>
        </w:rPr>
        <w:t>10.</w:t>
      </w:r>
      <w:bookmarkEnd w:id="78"/>
      <w:bookmarkEnd w:id="79"/>
      <w:bookmarkEnd w:id="80"/>
      <w:bookmarkEnd w:id="81"/>
      <w:r>
        <w:rPr>
          <w:rFonts w:hint="eastAsia" w:hAnsi="宋体"/>
          <w:b/>
          <w:bCs/>
          <w:sz w:val="24"/>
          <w:szCs w:val="24"/>
          <w:u w:val="none"/>
        </w:rPr>
        <w:t>报价</w:t>
      </w:r>
      <w:bookmarkEnd w:id="82"/>
    </w:p>
    <w:p>
      <w:pPr>
        <w:tabs>
          <w:tab w:val="left" w:pos="0"/>
        </w:tabs>
        <w:spacing w:line="360" w:lineRule="auto"/>
        <w:ind w:left="2" w:firstLine="480" w:firstLineChars="200"/>
        <w:rPr>
          <w:rFonts w:ascii="宋体" w:hAnsi="宋体"/>
          <w:sz w:val="24"/>
        </w:rPr>
      </w:pPr>
      <w:r>
        <w:rPr>
          <w:rFonts w:hint="eastAsia" w:ascii="宋体" w:hAnsi="宋体"/>
          <w:sz w:val="24"/>
        </w:rPr>
        <w:t>10</w:t>
      </w:r>
      <w:r>
        <w:rPr>
          <w:rFonts w:ascii="宋体" w:hAnsi="宋体"/>
          <w:sz w:val="24"/>
        </w:rPr>
        <w:t>.1</w:t>
      </w:r>
      <w:r>
        <w:rPr>
          <w:rFonts w:hint="eastAsia" w:ascii="宋体" w:hAnsi="宋体"/>
          <w:sz w:val="24"/>
        </w:rPr>
        <w:t>供应商</w:t>
      </w:r>
      <w:r>
        <w:rPr>
          <w:rFonts w:ascii="宋体" w:hAnsi="宋体"/>
          <w:sz w:val="24"/>
        </w:rPr>
        <w:t>的报价应当包括满足本次</w:t>
      </w:r>
      <w:r>
        <w:rPr>
          <w:rFonts w:hint="eastAsia" w:ascii="宋体" w:hAnsi="宋体"/>
          <w:sz w:val="24"/>
        </w:rPr>
        <w:t>单一来源</w:t>
      </w:r>
      <w:r>
        <w:rPr>
          <w:rFonts w:ascii="宋体" w:hAnsi="宋体"/>
          <w:sz w:val="24"/>
        </w:rPr>
        <w:t>全部采购需求所应提供的</w:t>
      </w:r>
      <w:r>
        <w:rPr>
          <w:rFonts w:hint="eastAsia" w:ascii="宋体" w:hAnsi="宋体"/>
          <w:sz w:val="24"/>
        </w:rPr>
        <w:t>货物，</w:t>
      </w:r>
      <w:r>
        <w:rPr>
          <w:rFonts w:ascii="宋体" w:hAnsi="宋体"/>
          <w:sz w:val="24"/>
        </w:rPr>
        <w:t>以及伴随的</w:t>
      </w:r>
      <w:r>
        <w:rPr>
          <w:rFonts w:hint="eastAsia" w:ascii="宋体" w:hAnsi="宋体"/>
          <w:sz w:val="24"/>
        </w:rPr>
        <w:t>货物和服务，报价详见</w:t>
      </w:r>
      <w:r>
        <w:rPr>
          <w:rFonts w:hint="eastAsia" w:ascii="宋体" w:hAnsi="宋体"/>
          <w:sz w:val="24"/>
          <w:u w:val="single"/>
        </w:rPr>
        <w:t>供应商须知资料表</w:t>
      </w:r>
      <w:r>
        <w:rPr>
          <w:rFonts w:hint="eastAsia" w:ascii="宋体" w:hAnsi="宋体"/>
          <w:sz w:val="24"/>
        </w:rPr>
        <w:t>。所有响应均应以人民币报价，供应商的报价应遵守《中华人民共和国价格法》。</w:t>
      </w:r>
    </w:p>
    <w:p>
      <w:pPr>
        <w:tabs>
          <w:tab w:val="left" w:pos="0"/>
        </w:tabs>
        <w:spacing w:line="360" w:lineRule="auto"/>
        <w:ind w:left="2" w:firstLine="480" w:firstLineChars="200"/>
        <w:rPr>
          <w:rFonts w:ascii="宋体" w:hAnsi="宋体"/>
          <w:sz w:val="24"/>
        </w:rPr>
      </w:pPr>
      <w:r>
        <w:rPr>
          <w:rFonts w:hint="eastAsia" w:ascii="宋体" w:hAnsi="宋体"/>
          <w:sz w:val="24"/>
        </w:rPr>
        <w:t>10</w:t>
      </w:r>
      <w:r>
        <w:rPr>
          <w:rFonts w:ascii="宋体" w:hAnsi="宋体"/>
          <w:sz w:val="24"/>
        </w:rPr>
        <w:t>.2</w:t>
      </w:r>
      <w:r>
        <w:rPr>
          <w:rFonts w:hint="eastAsia" w:ascii="宋体" w:hAnsi="宋体"/>
          <w:sz w:val="24"/>
        </w:rPr>
        <w:t>供应商应在货物明细表标明响应的单价（如适用）和总价。</w:t>
      </w:r>
    </w:p>
    <w:p>
      <w:pPr>
        <w:tabs>
          <w:tab w:val="left" w:pos="0"/>
        </w:tabs>
        <w:spacing w:line="360" w:lineRule="auto"/>
        <w:ind w:left="2" w:firstLine="480" w:firstLineChars="200"/>
      </w:pPr>
      <w:r>
        <w:rPr>
          <w:rFonts w:hint="eastAsia" w:ascii="宋体" w:hAnsi="宋体"/>
          <w:sz w:val="24"/>
        </w:rPr>
        <w:t>10.3供应商报价超过单一来源采购文件规定的预算金额或者最高限价的，其响应文件应将被认定为无效</w:t>
      </w:r>
      <w:r>
        <w:rPr>
          <w:rFonts w:ascii="宋体" w:hAnsi="宋体"/>
          <w:sz w:val="24"/>
        </w:rPr>
        <w:t>。</w:t>
      </w:r>
    </w:p>
    <w:p>
      <w:pPr>
        <w:spacing w:line="360" w:lineRule="auto"/>
        <w:ind w:firstLine="480" w:firstLineChars="200"/>
        <w:rPr>
          <w:rFonts w:ascii="宋体" w:hAnsi="宋体" w:cs="宋体"/>
          <w:sz w:val="24"/>
        </w:rPr>
      </w:pPr>
      <w:r>
        <w:rPr>
          <w:rFonts w:hint="eastAsia" w:ascii="宋体" w:hAnsi="宋体"/>
          <w:sz w:val="24"/>
        </w:rPr>
        <w:t>10</w:t>
      </w:r>
      <w:r>
        <w:rPr>
          <w:rFonts w:ascii="宋体" w:hAnsi="宋体"/>
          <w:sz w:val="24"/>
        </w:rPr>
        <w:t>.</w:t>
      </w:r>
      <w:r>
        <w:rPr>
          <w:rFonts w:hint="eastAsia" w:ascii="宋体" w:hAnsi="宋体"/>
          <w:sz w:val="24"/>
        </w:rPr>
        <w:t>4</w:t>
      </w:r>
      <w:r>
        <w:rPr>
          <w:rFonts w:ascii="宋体" w:hAnsi="宋体" w:cs="宋体"/>
          <w:sz w:val="24"/>
        </w:rPr>
        <w:t>供应商提交的最后报价,在合同履行过程中是固定不变的，不得以任何理由予以变更。</w:t>
      </w:r>
    </w:p>
    <w:p>
      <w:pPr>
        <w:spacing w:line="360" w:lineRule="auto"/>
        <w:ind w:firstLine="480" w:firstLineChars="200"/>
        <w:jc w:val="left"/>
        <w:rPr>
          <w:rFonts w:ascii="宋体" w:hAnsi="宋体"/>
          <w:sz w:val="24"/>
        </w:rPr>
      </w:pPr>
      <w:r>
        <w:rPr>
          <w:rFonts w:hint="eastAsia" w:ascii="宋体" w:hAnsi="宋体"/>
          <w:sz w:val="24"/>
        </w:rPr>
        <w:t>10.5采购人不接受具有附加条件的报价或多个方案的报价。</w:t>
      </w:r>
    </w:p>
    <w:p>
      <w:pPr>
        <w:spacing w:line="360" w:lineRule="auto"/>
        <w:ind w:firstLine="480" w:firstLineChars="200"/>
        <w:jc w:val="left"/>
        <w:rPr>
          <w:rFonts w:ascii="宋体" w:hAnsi="宋体"/>
          <w:sz w:val="24"/>
        </w:rPr>
      </w:pPr>
      <w:r>
        <w:rPr>
          <w:rFonts w:hint="eastAsia" w:ascii="宋体" w:hAnsi="宋体"/>
          <w:sz w:val="24"/>
        </w:rPr>
        <w:t>10.6除</w:t>
      </w:r>
      <w:r>
        <w:rPr>
          <w:rFonts w:hint="eastAsia" w:ascii="宋体" w:hAnsi="宋体"/>
          <w:sz w:val="24"/>
          <w:u w:val="single"/>
        </w:rPr>
        <w:t>供应商须知资料表</w:t>
      </w:r>
      <w:r>
        <w:rPr>
          <w:rFonts w:hint="eastAsia" w:ascii="宋体" w:hAnsi="宋体"/>
          <w:sz w:val="24"/>
        </w:rPr>
        <w:t>另有规定外，供应商不得递交备选响应方案。允许供应商递交备选响应方案的，只有中标人所递交的备选响应方案方可予以考虑。专业人员小组会认为成交人的备选响应方案优于其按照单一来源采购文件要求编制的响应方案的，采购人可以接受该备选响应方案。</w:t>
      </w:r>
    </w:p>
    <w:p>
      <w:pPr>
        <w:spacing w:line="360" w:lineRule="auto"/>
        <w:ind w:firstLine="480" w:firstLineChars="200"/>
      </w:pPr>
      <w:r>
        <w:rPr>
          <w:rFonts w:hint="eastAsia" w:ascii="宋体" w:hAnsi="宋体" w:cs="宋体"/>
          <w:sz w:val="24"/>
        </w:rPr>
        <w:t>10.7</w:t>
      </w:r>
      <w:r>
        <w:rPr>
          <w:rFonts w:ascii="宋体" w:hAnsi="宋体" w:cs="宋体"/>
          <w:sz w:val="24"/>
        </w:rPr>
        <w:t>通过资格性审查和符合性审查的供应商有再次报价的机会，但每一次报价均应</w:t>
      </w:r>
      <w:r>
        <w:rPr>
          <w:rFonts w:hint="eastAsia" w:ascii="宋体" w:hAnsi="宋体" w:cs="宋体"/>
          <w:sz w:val="24"/>
        </w:rPr>
        <w:t>以书面形式</w:t>
      </w:r>
      <w:r>
        <w:rPr>
          <w:rFonts w:ascii="宋体" w:hAnsi="宋体" w:cs="宋体"/>
          <w:sz w:val="24"/>
        </w:rPr>
        <w:t>确认。价格的评审以</w:t>
      </w:r>
      <w:r>
        <w:rPr>
          <w:rFonts w:hint="eastAsia" w:ascii="宋体" w:hAnsi="宋体" w:cs="宋体"/>
          <w:sz w:val="24"/>
        </w:rPr>
        <w:t>最后报价</w:t>
      </w:r>
      <w:r>
        <w:rPr>
          <w:rFonts w:ascii="宋体" w:hAnsi="宋体" w:cs="宋体"/>
          <w:sz w:val="24"/>
        </w:rPr>
        <w:t>为准。</w:t>
      </w:r>
    </w:p>
    <w:p>
      <w:pPr>
        <w:pStyle w:val="11"/>
        <w:spacing w:line="360" w:lineRule="auto"/>
        <w:ind w:firstLine="0"/>
        <w:outlineLvl w:val="9"/>
        <w:rPr>
          <w:rFonts w:hAnsi="宋体"/>
          <w:b/>
          <w:bCs/>
          <w:sz w:val="24"/>
          <w:szCs w:val="24"/>
        </w:rPr>
      </w:pPr>
      <w:r>
        <w:rPr>
          <w:rFonts w:hint="eastAsia" w:hAnsi="宋体"/>
          <w:b/>
          <w:bCs/>
          <w:sz w:val="24"/>
          <w:szCs w:val="24"/>
        </w:rPr>
        <w:t>11.电子版响应文件</w:t>
      </w:r>
    </w:p>
    <w:p>
      <w:pPr>
        <w:pStyle w:val="11"/>
        <w:spacing w:line="360" w:lineRule="auto"/>
        <w:ind w:firstLine="480" w:firstLineChars="200"/>
        <w:rPr>
          <w:rFonts w:hAnsi="宋体"/>
        </w:rPr>
      </w:pPr>
      <w:r>
        <w:rPr>
          <w:rFonts w:hint="eastAsia" w:hAnsi="宋体"/>
        </w:rPr>
        <w:t>11.1 电</w:t>
      </w:r>
      <w:r>
        <w:rPr>
          <w:rFonts w:hint="eastAsia" w:hAnsi="宋体"/>
          <w:bCs/>
        </w:rPr>
        <w:t>子版响应</w:t>
      </w:r>
      <w:r>
        <w:rPr>
          <w:rFonts w:hint="eastAsia" w:hAnsi="宋体"/>
        </w:rPr>
        <w:t>文件内容为上述9.6.1、9.6.2、9.6.3、9.6.4条款要求的内容，</w:t>
      </w:r>
      <w:r>
        <w:rPr>
          <w:rFonts w:hint="eastAsia" w:hAnsi="宋体"/>
          <w:kern w:val="2"/>
          <w:szCs w:val="24"/>
          <w:lang w:bidi="ar"/>
        </w:rPr>
        <w:t>格式为加密的电子响应文件（文件格式为.zbtf）。</w:t>
      </w:r>
    </w:p>
    <w:p>
      <w:pPr>
        <w:spacing w:line="360" w:lineRule="auto"/>
        <w:ind w:firstLine="480" w:firstLineChars="200"/>
        <w:jc w:val="left"/>
        <w:rPr>
          <w:rFonts w:hAnsi="宋体"/>
        </w:rPr>
      </w:pPr>
      <w:r>
        <w:rPr>
          <w:rFonts w:hint="eastAsia" w:ascii="宋体" w:hAnsi="宋体"/>
          <w:sz w:val="24"/>
        </w:rPr>
        <w:t>11.2供应商应当在提交响应文件截止时间前通过淄博市公共资源交易平台系统上传响应文件。</w:t>
      </w:r>
    </w:p>
    <w:p>
      <w:pPr>
        <w:pStyle w:val="11"/>
        <w:spacing w:line="360" w:lineRule="auto"/>
        <w:ind w:firstLine="480" w:firstLineChars="200"/>
        <w:rPr>
          <w:rFonts w:hAnsi="宋体"/>
        </w:rPr>
      </w:pPr>
      <w:r>
        <w:rPr>
          <w:rFonts w:hint="eastAsia" w:hAnsi="宋体"/>
        </w:rPr>
        <w:t>11.3 无论响应</w:t>
      </w:r>
      <w:r>
        <w:rPr>
          <w:rFonts w:hint="eastAsia" w:hAnsi="宋体"/>
          <w:bCs/>
        </w:rPr>
        <w:t>结果</w:t>
      </w:r>
      <w:r>
        <w:rPr>
          <w:rFonts w:hint="eastAsia" w:hAnsi="宋体"/>
        </w:rPr>
        <w:t>如何，在开标后，电子版响应文件均不退回。</w:t>
      </w:r>
    </w:p>
    <w:p>
      <w:pPr>
        <w:spacing w:before="0" w:after="0" w:line="360" w:lineRule="auto"/>
        <w:outlineLvl w:val="9"/>
        <w:rPr>
          <w:rFonts w:hAnsi="宋体"/>
          <w:b/>
          <w:bCs/>
          <w:sz w:val="24"/>
          <w:szCs w:val="24"/>
          <w:u w:val="none"/>
        </w:rPr>
      </w:pPr>
      <w:bookmarkStart w:id="83" w:name="_Toc520356156"/>
      <w:bookmarkStart w:id="84" w:name="_Toc27437"/>
      <w:bookmarkStart w:id="85" w:name="_Toc17788"/>
      <w:bookmarkStart w:id="86" w:name="_Ref467306513"/>
      <w:bookmarkStart w:id="87" w:name="_Toc515647771"/>
      <w:bookmarkStart w:id="88" w:name="_Toc11514"/>
      <w:r>
        <w:rPr>
          <w:rFonts w:hAnsi="宋体"/>
          <w:b/>
          <w:bCs/>
          <w:sz w:val="24"/>
          <w:szCs w:val="24"/>
          <w:u w:val="none"/>
        </w:rPr>
        <w:t>1</w:t>
      </w:r>
      <w:r>
        <w:rPr>
          <w:rFonts w:hint="eastAsia" w:hAnsi="宋体"/>
          <w:b/>
          <w:bCs/>
          <w:sz w:val="24"/>
          <w:szCs w:val="24"/>
          <w:u w:val="none"/>
        </w:rPr>
        <w:t>2.保证金</w:t>
      </w:r>
      <w:bookmarkEnd w:id="83"/>
      <w:bookmarkEnd w:id="84"/>
      <w:bookmarkEnd w:id="85"/>
      <w:bookmarkEnd w:id="86"/>
      <w:bookmarkEnd w:id="87"/>
      <w:bookmarkEnd w:id="88"/>
      <w:bookmarkStart w:id="89" w:name="_Ref467306302"/>
      <w:bookmarkStart w:id="90" w:name="_Toc32569"/>
      <w:bookmarkStart w:id="91" w:name="_Toc520356157"/>
      <w:bookmarkStart w:id="92" w:name="_Toc23590"/>
      <w:bookmarkStart w:id="93" w:name="_Toc515647772"/>
    </w:p>
    <w:bookmarkEnd w:id="89"/>
    <w:p>
      <w:pPr>
        <w:tabs>
          <w:tab w:val="left" w:pos="0"/>
        </w:tabs>
        <w:spacing w:line="360" w:lineRule="auto"/>
        <w:ind w:firstLine="480" w:firstLineChars="200"/>
        <w:rPr>
          <w:rFonts w:ascii="宋体" w:hAnsi="宋体"/>
          <w:sz w:val="24"/>
        </w:rPr>
      </w:pPr>
      <w:r>
        <w:rPr>
          <w:rFonts w:hint="eastAsia" w:ascii="宋体" w:hAnsi="宋体"/>
          <w:sz w:val="24"/>
        </w:rPr>
        <w:t>根据鲁财采〔2019〕40号、淄财采〔2019〕7号的规定，本项目不收取保证金。</w:t>
      </w:r>
    </w:p>
    <w:p>
      <w:pPr>
        <w:spacing w:before="0" w:after="0" w:line="360" w:lineRule="auto"/>
        <w:outlineLvl w:val="9"/>
        <w:rPr>
          <w:rFonts w:hAnsi="宋体"/>
          <w:b/>
          <w:bCs/>
          <w:sz w:val="24"/>
          <w:szCs w:val="24"/>
          <w:u w:val="none"/>
        </w:rPr>
      </w:pPr>
      <w:bookmarkStart w:id="94" w:name="_Toc19771"/>
      <w:r>
        <w:rPr>
          <w:rFonts w:hint="eastAsia" w:hAnsi="宋体"/>
          <w:b/>
          <w:bCs/>
          <w:sz w:val="24"/>
          <w:szCs w:val="24"/>
          <w:u w:val="none"/>
        </w:rPr>
        <w:t>13.响应有效期</w:t>
      </w:r>
      <w:bookmarkEnd w:id="90"/>
      <w:bookmarkEnd w:id="91"/>
      <w:bookmarkEnd w:id="92"/>
      <w:bookmarkEnd w:id="93"/>
      <w:bookmarkEnd w:id="94"/>
    </w:p>
    <w:p>
      <w:pPr>
        <w:tabs>
          <w:tab w:val="left" w:pos="0"/>
        </w:tabs>
        <w:spacing w:line="360" w:lineRule="auto"/>
        <w:ind w:left="2" w:firstLine="480" w:firstLineChars="200"/>
        <w:rPr>
          <w:rFonts w:ascii="宋体" w:hAnsi="宋体"/>
          <w:sz w:val="24"/>
        </w:rPr>
      </w:pPr>
      <w:r>
        <w:rPr>
          <w:rFonts w:hint="eastAsia" w:ascii="宋体" w:hAnsi="宋体"/>
          <w:sz w:val="24"/>
        </w:rPr>
        <w:t>13.1响应应当在</w:t>
      </w:r>
      <w:r>
        <w:rPr>
          <w:rFonts w:hint="eastAsia" w:ascii="宋体" w:hAnsi="宋体"/>
          <w:sz w:val="24"/>
          <w:u w:val="single"/>
        </w:rPr>
        <w:t>供应商须知资料表</w:t>
      </w:r>
      <w:r>
        <w:rPr>
          <w:rFonts w:hint="eastAsia" w:ascii="宋体" w:hAnsi="宋体"/>
          <w:sz w:val="24"/>
        </w:rPr>
        <w:t>中规定时间内保持有效。响应有效期不满足要求的响应，其响应文件将被认定为无效。</w:t>
      </w:r>
    </w:p>
    <w:p>
      <w:pPr>
        <w:tabs>
          <w:tab w:val="left" w:pos="0"/>
        </w:tabs>
        <w:spacing w:line="360" w:lineRule="auto"/>
        <w:ind w:left="2" w:firstLine="480" w:firstLineChars="200"/>
        <w:rPr>
          <w:rFonts w:ascii="宋体" w:hAnsi="宋体"/>
          <w:sz w:val="24"/>
        </w:rPr>
      </w:pPr>
      <w:bookmarkStart w:id="95" w:name="_Toc520356158"/>
      <w:bookmarkStart w:id="96" w:name="_Toc17074"/>
      <w:bookmarkStart w:id="97" w:name="_Toc493"/>
      <w:bookmarkStart w:id="98" w:name="_Toc515647773"/>
      <w:r>
        <w:rPr>
          <w:rFonts w:hint="eastAsia" w:ascii="宋体" w:hAnsi="宋体"/>
          <w:sz w:val="24"/>
        </w:rPr>
        <w:t>13.2因特殊原因</w:t>
      </w:r>
      <w:r>
        <w:rPr>
          <w:rFonts w:ascii="宋体" w:hAnsi="宋体"/>
          <w:sz w:val="24"/>
        </w:rPr>
        <w:t>，</w:t>
      </w:r>
      <w:r>
        <w:rPr>
          <w:rFonts w:hint="eastAsia" w:ascii="宋体" w:hAnsi="宋体"/>
          <w:sz w:val="24"/>
        </w:rPr>
        <w:t>采购人或采购代理机构可以在原响应有效期截止之前，要求供应商延长响应文件的有效期。接受该要求的供应商将不会被要求和允许修正其响应。供应商可以拒绝延长响应有效期</w:t>
      </w:r>
      <w:r>
        <w:rPr>
          <w:rFonts w:ascii="宋体" w:hAnsi="宋体"/>
          <w:sz w:val="24"/>
        </w:rPr>
        <w:t>的</w:t>
      </w:r>
      <w:r>
        <w:rPr>
          <w:rFonts w:hint="eastAsia" w:ascii="宋体" w:hAnsi="宋体"/>
          <w:sz w:val="24"/>
        </w:rPr>
        <w:t>要求，且不承担任何责任。上述要求和答复都应以书面形式提交。</w:t>
      </w:r>
    </w:p>
    <w:p>
      <w:pPr>
        <w:tabs>
          <w:tab w:val="left" w:pos="900"/>
        </w:tabs>
        <w:spacing w:before="0" w:after="0" w:line="360" w:lineRule="auto"/>
        <w:outlineLvl w:val="9"/>
        <w:rPr>
          <w:rFonts w:hAnsi="宋体" w:cs="宋体"/>
          <w:b/>
          <w:bCs/>
          <w:sz w:val="24"/>
          <w:szCs w:val="24"/>
          <w:u w:val="none"/>
        </w:rPr>
      </w:pPr>
      <w:bookmarkStart w:id="99" w:name="_Toc26849"/>
      <w:bookmarkStart w:id="100" w:name="_Toc62672980"/>
      <w:r>
        <w:rPr>
          <w:rFonts w:hint="eastAsia" w:hAnsi="宋体" w:cs="宋体"/>
          <w:b/>
          <w:bCs/>
          <w:sz w:val="24"/>
          <w:szCs w:val="24"/>
          <w:u w:val="none"/>
        </w:rPr>
        <w:t>14.响应文件的签署及规定</w:t>
      </w:r>
      <w:bookmarkEnd w:id="99"/>
      <w:bookmarkEnd w:id="100"/>
    </w:p>
    <w:p>
      <w:pPr>
        <w:spacing w:line="360" w:lineRule="auto"/>
        <w:ind w:firstLine="480" w:firstLineChars="200"/>
        <w:rPr>
          <w:rFonts w:ascii="宋体" w:hAnsi="宋体"/>
          <w:sz w:val="24"/>
        </w:rPr>
      </w:pPr>
      <w:r>
        <w:rPr>
          <w:rFonts w:hint="eastAsia" w:ascii="宋体" w:hAnsi="宋体"/>
          <w:sz w:val="24"/>
        </w:rPr>
        <w:t>14.1供应商应按</w:t>
      </w:r>
      <w:r>
        <w:rPr>
          <w:rFonts w:hint="eastAsia" w:ascii="宋体" w:hAnsi="宋体"/>
          <w:sz w:val="24"/>
          <w:u w:val="single"/>
        </w:rPr>
        <w:t>供应商须知资料表</w:t>
      </w:r>
      <w:r>
        <w:rPr>
          <w:rFonts w:hint="eastAsia" w:ascii="宋体" w:hAnsi="宋体"/>
          <w:sz w:val="24"/>
        </w:rPr>
        <w:t>中的规定，</w:t>
      </w:r>
      <w:r>
        <w:rPr>
          <w:rFonts w:ascii="宋体" w:hAnsi="宋体"/>
          <w:sz w:val="24"/>
        </w:rPr>
        <w:t>准备和递交</w:t>
      </w:r>
      <w:r>
        <w:rPr>
          <w:rFonts w:hint="eastAsia" w:ascii="宋体" w:hAnsi="宋体"/>
          <w:sz w:val="24"/>
        </w:rPr>
        <w:t>加密的电子响应文件（文件格式为.zbtf），</w:t>
      </w:r>
      <w:r>
        <w:rPr>
          <w:rFonts w:ascii="宋体" w:hAnsi="宋体"/>
          <w:sz w:val="24"/>
        </w:rPr>
        <w:t>应</w:t>
      </w:r>
      <w:r>
        <w:rPr>
          <w:rFonts w:hint="eastAsia" w:ascii="宋体" w:hAnsi="宋体"/>
          <w:sz w:val="24"/>
        </w:rPr>
        <w:t>在响应截止时间前通过淄博市公共资源交易平台系统上传。</w:t>
      </w:r>
    </w:p>
    <w:p>
      <w:pPr>
        <w:spacing w:line="360" w:lineRule="auto"/>
        <w:ind w:firstLine="480" w:firstLineChars="200"/>
        <w:rPr>
          <w:rFonts w:ascii="宋体" w:hAnsi="宋体"/>
          <w:sz w:val="24"/>
        </w:rPr>
      </w:pPr>
      <w:r>
        <w:rPr>
          <w:rFonts w:hint="eastAsia" w:ascii="宋体" w:hAnsi="宋体"/>
          <w:sz w:val="24"/>
        </w:rPr>
        <w:t>14.2响应文件因字迹潦草、表达不清所引起的后果由供应商负责。</w:t>
      </w:r>
    </w:p>
    <w:p>
      <w:pPr>
        <w:spacing w:line="360" w:lineRule="auto"/>
        <w:ind w:firstLine="480" w:firstLineChars="200"/>
        <w:rPr>
          <w:rFonts w:ascii="宋体" w:hAnsi="宋体"/>
          <w:sz w:val="24"/>
        </w:rPr>
      </w:pPr>
      <w:r>
        <w:rPr>
          <w:rFonts w:hint="eastAsia" w:ascii="宋体" w:hAnsi="宋体"/>
          <w:sz w:val="24"/>
        </w:rPr>
        <w:t>14.3电子响应文件须单一来源采购文件要求在指定位置加盖供应商公章及法定代表人（非法人组织的负责人）或其授权代表签章（签字或盖章），否则将导致其响应被拒绝。</w:t>
      </w:r>
    </w:p>
    <w:p>
      <w:pPr>
        <w:spacing w:line="360" w:lineRule="auto"/>
      </w:pPr>
    </w:p>
    <w:bookmarkEnd w:id="95"/>
    <w:bookmarkEnd w:id="96"/>
    <w:bookmarkEnd w:id="97"/>
    <w:bookmarkEnd w:id="98"/>
    <w:p>
      <w:pPr>
        <w:pStyle w:val="4"/>
        <w:spacing w:before="0" w:line="360" w:lineRule="auto"/>
        <w:ind w:left="565" w:leftChars="12" w:hanging="540"/>
        <w:rPr>
          <w:rFonts w:hAnsi="宋体"/>
        </w:rPr>
      </w:pPr>
      <w:bookmarkStart w:id="101" w:name="_Toc515647774"/>
      <w:bookmarkStart w:id="102" w:name="_Toc11179"/>
      <w:bookmarkStart w:id="103" w:name="_Toc520356159"/>
      <w:bookmarkStart w:id="104" w:name="_Toc13699"/>
      <w:bookmarkStart w:id="105" w:name="_Toc16865"/>
      <w:bookmarkStart w:id="106" w:name="_Toc216582808"/>
      <w:bookmarkStart w:id="107" w:name="_Toc878"/>
      <w:r>
        <w:rPr>
          <w:rFonts w:hint="eastAsia" w:ascii="宋体" w:hAnsi="宋体" w:eastAsia="宋体"/>
          <w:sz w:val="28"/>
          <w:szCs w:val="28"/>
        </w:rPr>
        <w:t>四、响应文件的递交</w:t>
      </w:r>
      <w:bookmarkEnd w:id="101"/>
      <w:bookmarkEnd w:id="102"/>
      <w:bookmarkEnd w:id="103"/>
      <w:bookmarkEnd w:id="104"/>
      <w:bookmarkEnd w:id="105"/>
      <w:bookmarkEnd w:id="106"/>
      <w:bookmarkEnd w:id="107"/>
    </w:p>
    <w:p>
      <w:pPr>
        <w:spacing w:before="0" w:after="0" w:line="360" w:lineRule="auto"/>
        <w:outlineLvl w:val="9"/>
        <w:rPr>
          <w:rFonts w:hAnsi="宋体"/>
          <w:b/>
          <w:bCs/>
          <w:sz w:val="24"/>
          <w:szCs w:val="24"/>
          <w:u w:val="none"/>
        </w:rPr>
      </w:pPr>
      <w:bookmarkStart w:id="108" w:name="_Toc515647775"/>
      <w:bookmarkStart w:id="109" w:name="_Toc21645"/>
      <w:bookmarkStart w:id="110" w:name="_Toc32337"/>
      <w:bookmarkStart w:id="111" w:name="_Toc520356160"/>
      <w:bookmarkStart w:id="112" w:name="_Toc4727"/>
      <w:r>
        <w:rPr>
          <w:rFonts w:hint="eastAsia" w:hAnsi="宋体"/>
          <w:b/>
          <w:bCs/>
          <w:sz w:val="24"/>
          <w:szCs w:val="24"/>
          <w:u w:val="none"/>
        </w:rPr>
        <w:t>15.响应文件的</w:t>
      </w:r>
      <w:bookmarkEnd w:id="108"/>
      <w:bookmarkEnd w:id="109"/>
      <w:bookmarkEnd w:id="110"/>
      <w:bookmarkEnd w:id="111"/>
      <w:r>
        <w:rPr>
          <w:rFonts w:hint="eastAsia" w:hAnsi="宋体"/>
          <w:b/>
          <w:bCs/>
          <w:sz w:val="24"/>
          <w:szCs w:val="24"/>
          <w:u w:val="none"/>
        </w:rPr>
        <w:t>递交</w:t>
      </w:r>
      <w:bookmarkEnd w:id="112"/>
    </w:p>
    <w:p>
      <w:pPr>
        <w:tabs>
          <w:tab w:val="left" w:pos="0"/>
        </w:tabs>
        <w:spacing w:line="360" w:lineRule="auto"/>
        <w:ind w:left="2" w:firstLine="480" w:firstLineChars="200"/>
        <w:rPr>
          <w:rFonts w:ascii="宋体" w:hAnsi="宋体" w:cs="宋体"/>
          <w:kern w:val="0"/>
          <w:sz w:val="24"/>
        </w:rPr>
      </w:pPr>
      <w:bookmarkStart w:id="113" w:name="_Toc12751"/>
      <w:bookmarkStart w:id="114" w:name="_Toc520356161"/>
      <w:bookmarkStart w:id="115" w:name="_Toc515647776"/>
      <w:bookmarkStart w:id="116" w:name="_Toc9840"/>
      <w:r>
        <w:rPr>
          <w:rFonts w:hint="eastAsia" w:ascii="宋体" w:hAnsi="宋体"/>
          <w:bCs/>
          <w:sz w:val="24"/>
          <w:lang w:val="zh-CN"/>
        </w:rPr>
        <w:t>本项目实行电子响应，供应商无须提交纸质响应文件。</w:t>
      </w:r>
      <w:r>
        <w:rPr>
          <w:rFonts w:hint="eastAsia" w:ascii="宋体" w:hAnsi="宋体"/>
          <w:sz w:val="24"/>
          <w:lang w:val="zh-CN"/>
        </w:rPr>
        <w:t>供应商应按照本项目</w:t>
      </w:r>
      <w:r>
        <w:rPr>
          <w:rFonts w:hint="eastAsia" w:ascii="宋体" w:hAnsi="宋体"/>
          <w:sz w:val="24"/>
        </w:rPr>
        <w:t>单一来源采购文件</w:t>
      </w:r>
      <w:r>
        <w:rPr>
          <w:rFonts w:hint="eastAsia" w:ascii="宋体" w:hAnsi="宋体"/>
          <w:sz w:val="24"/>
          <w:lang w:val="zh-CN"/>
        </w:rPr>
        <w:t>的要求编制、加密并递交响应文件。供应商在使用系统进行响应的过程中遇到涉及平台使用的任何问题，可致电平台技术支持热线咨询，</w:t>
      </w:r>
      <w:r>
        <w:rPr>
          <w:rFonts w:ascii="宋体" w:hAnsi="宋体"/>
          <w:sz w:val="24"/>
        </w:rPr>
        <w:t>咨询电话</w:t>
      </w:r>
      <w:r>
        <w:rPr>
          <w:rFonts w:hint="eastAsia" w:ascii="宋体" w:hAnsi="宋体"/>
          <w:sz w:val="24"/>
        </w:rPr>
        <w:t>400-998-0000</w:t>
      </w:r>
      <w:r>
        <w:rPr>
          <w:rFonts w:ascii="宋体" w:hAnsi="宋体"/>
          <w:sz w:val="24"/>
        </w:rPr>
        <w:t>。</w:t>
      </w:r>
    </w:p>
    <w:p>
      <w:pPr>
        <w:spacing w:before="0" w:after="0" w:line="360" w:lineRule="auto"/>
        <w:outlineLvl w:val="9"/>
        <w:rPr>
          <w:rFonts w:hAnsi="宋体"/>
          <w:b/>
          <w:bCs/>
          <w:sz w:val="24"/>
          <w:szCs w:val="24"/>
          <w:u w:val="none"/>
        </w:rPr>
      </w:pPr>
      <w:bookmarkStart w:id="117" w:name="_Toc5052"/>
      <w:r>
        <w:rPr>
          <w:rFonts w:hint="eastAsia" w:hAnsi="宋体"/>
          <w:b/>
          <w:bCs/>
          <w:sz w:val="24"/>
          <w:szCs w:val="24"/>
          <w:u w:val="none"/>
        </w:rPr>
        <w:t>16.响应文件的截止</w:t>
      </w:r>
      <w:bookmarkEnd w:id="113"/>
      <w:bookmarkEnd w:id="114"/>
      <w:bookmarkEnd w:id="115"/>
      <w:bookmarkEnd w:id="116"/>
      <w:bookmarkEnd w:id="117"/>
      <w:r>
        <w:rPr>
          <w:rFonts w:hint="eastAsia" w:hAnsi="宋体"/>
          <w:b/>
          <w:bCs/>
          <w:sz w:val="24"/>
          <w:szCs w:val="24"/>
          <w:u w:val="none"/>
        </w:rPr>
        <w:t xml:space="preserve"> </w:t>
      </w:r>
    </w:p>
    <w:p>
      <w:pPr>
        <w:tabs>
          <w:tab w:val="left" w:pos="0"/>
        </w:tabs>
        <w:spacing w:line="360" w:lineRule="auto"/>
        <w:ind w:firstLine="480" w:firstLineChars="200"/>
        <w:rPr>
          <w:rFonts w:ascii="宋体" w:hAnsi="宋体"/>
          <w:sz w:val="24"/>
        </w:rPr>
      </w:pPr>
      <w:bookmarkStart w:id="118" w:name="_Toc24275"/>
      <w:bookmarkStart w:id="119" w:name="_Toc520356162"/>
      <w:bookmarkStart w:id="120" w:name="_Toc18537"/>
      <w:bookmarkStart w:id="121" w:name="_Toc515647777"/>
      <w:r>
        <w:rPr>
          <w:rFonts w:hint="eastAsia" w:ascii="宋体" w:hAnsi="宋体"/>
          <w:sz w:val="24"/>
        </w:rPr>
        <w:t>16.1</w:t>
      </w:r>
      <w:r>
        <w:rPr>
          <w:rFonts w:hint="eastAsia" w:ascii="宋体" w:hAnsi="宋体"/>
          <w:sz w:val="24"/>
          <w:lang w:val="zh-CN"/>
        </w:rPr>
        <w:t>供应商</w:t>
      </w:r>
      <w:r>
        <w:rPr>
          <w:rFonts w:hint="eastAsia" w:ascii="宋体" w:hAnsi="宋体"/>
          <w:sz w:val="24"/>
        </w:rPr>
        <w:t>应在响应截止时间前，</w:t>
      </w:r>
      <w:r>
        <w:rPr>
          <w:rFonts w:ascii="宋体" w:hAnsi="宋体"/>
          <w:sz w:val="24"/>
        </w:rPr>
        <w:t>将</w:t>
      </w:r>
      <w:r>
        <w:rPr>
          <w:rFonts w:hint="eastAsia" w:ascii="宋体" w:hAnsi="宋体"/>
          <w:sz w:val="24"/>
        </w:rPr>
        <w:t>响应</w:t>
      </w:r>
      <w:r>
        <w:rPr>
          <w:rFonts w:ascii="宋体" w:hAnsi="宋体"/>
          <w:sz w:val="24"/>
        </w:rPr>
        <w:t>文件按照</w:t>
      </w:r>
      <w:r>
        <w:rPr>
          <w:rFonts w:hint="eastAsia" w:ascii="宋体" w:hAnsi="宋体"/>
          <w:sz w:val="24"/>
        </w:rPr>
        <w:t>单一来源采购文件</w:t>
      </w:r>
      <w:r>
        <w:rPr>
          <w:rFonts w:ascii="宋体" w:hAnsi="宋体"/>
          <w:sz w:val="24"/>
        </w:rPr>
        <w:t>要求的方式递交</w:t>
      </w:r>
      <w:r>
        <w:rPr>
          <w:rFonts w:hint="eastAsia" w:ascii="宋体" w:hAnsi="宋体"/>
          <w:sz w:val="24"/>
        </w:rPr>
        <w:t>。</w:t>
      </w:r>
      <w:r>
        <w:rPr>
          <w:rFonts w:hint="eastAsia" w:ascii="宋体" w:hAnsi="宋体" w:cs="宋体"/>
          <w:sz w:val="24"/>
        </w:rPr>
        <w:t>供应商递交响应文件的时间和地点详见</w:t>
      </w:r>
      <w:r>
        <w:rPr>
          <w:rFonts w:hint="eastAsia" w:ascii="宋体" w:hAnsi="宋体" w:cs="宋体"/>
          <w:sz w:val="24"/>
          <w:u w:val="single"/>
        </w:rPr>
        <w:t>供应商须知资料表</w:t>
      </w:r>
    </w:p>
    <w:p>
      <w:pPr>
        <w:tabs>
          <w:tab w:val="left" w:pos="0"/>
        </w:tabs>
        <w:spacing w:line="360" w:lineRule="auto"/>
        <w:ind w:left="2" w:firstLine="480" w:firstLineChars="200"/>
        <w:rPr>
          <w:rFonts w:ascii="宋体" w:hAnsi="宋体"/>
          <w:sz w:val="24"/>
        </w:rPr>
      </w:pPr>
      <w:r>
        <w:rPr>
          <w:rFonts w:hint="eastAsia" w:ascii="宋体" w:hAnsi="宋体"/>
          <w:sz w:val="24"/>
        </w:rPr>
        <w:t>16.2采购人和采购代理机构将拒绝接收在响应截止时间后递交的响应文件。</w:t>
      </w:r>
    </w:p>
    <w:p>
      <w:pPr>
        <w:tabs>
          <w:tab w:val="left" w:pos="0"/>
        </w:tabs>
        <w:spacing w:line="360" w:lineRule="auto"/>
        <w:ind w:left="2" w:firstLine="480" w:firstLineChars="200"/>
      </w:pPr>
      <w:r>
        <w:rPr>
          <w:rFonts w:hint="eastAsia" w:ascii="宋体" w:hAnsi="宋体" w:cs="宋体"/>
          <w:sz w:val="24"/>
        </w:rPr>
        <w:t>16.3除</w:t>
      </w:r>
      <w:r>
        <w:rPr>
          <w:rFonts w:hint="eastAsia" w:ascii="宋体" w:hAnsi="宋体" w:cs="宋体"/>
          <w:sz w:val="24"/>
          <w:u w:val="single"/>
        </w:rPr>
        <w:t>供应商须知资料表</w:t>
      </w:r>
      <w:r>
        <w:rPr>
          <w:rFonts w:hint="eastAsia" w:ascii="宋体" w:hAnsi="宋体" w:cs="宋体"/>
          <w:sz w:val="24"/>
        </w:rPr>
        <w:t>另有规定外，供应商所递交的响应文件不予退还。</w:t>
      </w:r>
    </w:p>
    <w:p>
      <w:pPr>
        <w:spacing w:before="0" w:after="0" w:line="360" w:lineRule="auto"/>
        <w:outlineLvl w:val="9"/>
        <w:rPr>
          <w:rFonts w:hAnsi="宋体"/>
          <w:b/>
          <w:bCs/>
          <w:sz w:val="24"/>
          <w:szCs w:val="24"/>
          <w:u w:val="none"/>
        </w:rPr>
      </w:pPr>
      <w:bookmarkStart w:id="122" w:name="_Toc25982"/>
      <w:r>
        <w:rPr>
          <w:rFonts w:hint="eastAsia" w:hAnsi="宋体"/>
          <w:b/>
          <w:bCs/>
          <w:sz w:val="24"/>
          <w:szCs w:val="24"/>
          <w:u w:val="none"/>
        </w:rPr>
        <w:t>17.响应文件的接收、修改与撤回</w:t>
      </w:r>
      <w:bookmarkEnd w:id="118"/>
      <w:bookmarkEnd w:id="119"/>
      <w:bookmarkEnd w:id="120"/>
      <w:bookmarkEnd w:id="121"/>
      <w:bookmarkEnd w:id="122"/>
    </w:p>
    <w:p>
      <w:pPr>
        <w:tabs>
          <w:tab w:val="left" w:pos="0"/>
        </w:tabs>
        <w:spacing w:line="360" w:lineRule="auto"/>
        <w:ind w:left="2" w:firstLine="480" w:firstLineChars="200"/>
        <w:rPr>
          <w:rFonts w:ascii="宋体" w:hAnsi="宋体"/>
          <w:sz w:val="24"/>
        </w:rPr>
      </w:pPr>
      <w:bookmarkStart w:id="123" w:name="_Toc28398"/>
      <w:bookmarkStart w:id="124" w:name="_Toc520356163"/>
      <w:bookmarkStart w:id="125" w:name="_Toc515647778"/>
      <w:bookmarkStart w:id="126" w:name="_Toc12436"/>
      <w:bookmarkStart w:id="127" w:name="_Toc216582809"/>
      <w:r>
        <w:rPr>
          <w:rFonts w:hint="eastAsia" w:ascii="宋体" w:hAnsi="宋体"/>
          <w:sz w:val="24"/>
        </w:rPr>
        <w:t>17.1</w:t>
      </w:r>
      <w:r>
        <w:rPr>
          <w:rFonts w:hint="eastAsia" w:ascii="宋体" w:hAnsi="宋体" w:cs="宋体"/>
          <w:sz w:val="24"/>
        </w:rPr>
        <w:t>采购人</w:t>
      </w:r>
      <w:r>
        <w:rPr>
          <w:rFonts w:hint="eastAsia" w:ascii="宋体" w:hAnsi="宋体"/>
          <w:sz w:val="24"/>
        </w:rPr>
        <w:t>或采购代理机构将通过淄博市公共资源交易平台系统自动接收供应商上传的响应文件。</w:t>
      </w:r>
    </w:p>
    <w:p>
      <w:pPr>
        <w:tabs>
          <w:tab w:val="left" w:pos="0"/>
        </w:tabs>
        <w:spacing w:line="360" w:lineRule="auto"/>
        <w:ind w:left="2" w:firstLine="480" w:firstLineChars="200"/>
        <w:rPr>
          <w:rFonts w:ascii="宋体" w:hAnsi="宋体"/>
          <w:sz w:val="24"/>
        </w:rPr>
      </w:pPr>
      <w:r>
        <w:rPr>
          <w:rFonts w:hint="eastAsia" w:ascii="宋体" w:hAnsi="宋体"/>
          <w:sz w:val="24"/>
        </w:rPr>
        <w:t>17.2递交响应文件以后，如果供应商要进行撤回的，须在提交响应文件截止时间前在淄博市公共资源交易平台系统中进行撤回。</w:t>
      </w:r>
    </w:p>
    <w:p>
      <w:pPr>
        <w:tabs>
          <w:tab w:val="left" w:pos="0"/>
        </w:tabs>
        <w:spacing w:line="360" w:lineRule="auto"/>
        <w:ind w:left="2" w:firstLine="480" w:firstLineChars="200"/>
        <w:rPr>
          <w:rFonts w:ascii="宋体" w:hAnsi="宋体"/>
          <w:sz w:val="24"/>
        </w:rPr>
      </w:pPr>
      <w:r>
        <w:rPr>
          <w:rFonts w:hint="eastAsia" w:ascii="宋体" w:hAnsi="宋体"/>
          <w:sz w:val="24"/>
        </w:rPr>
        <w:t>17.3如果提交响应文件截止时间前需要对已经成功生成并上传淄博市公共资源交易平台系统的电子响应文件进行修改、补充的，供应商应当先撤回原文件，使用自备计算机和响应文件制作软件重新制作生成新的电子响应文件，并在提交响应文件截止时间前重新上传。</w:t>
      </w:r>
    </w:p>
    <w:p>
      <w:pPr>
        <w:tabs>
          <w:tab w:val="left" w:pos="0"/>
        </w:tabs>
        <w:spacing w:line="360" w:lineRule="auto"/>
        <w:ind w:left="2" w:firstLine="480" w:firstLineChars="200"/>
        <w:rPr>
          <w:rFonts w:ascii="宋体" w:hAnsi="宋体"/>
          <w:sz w:val="24"/>
        </w:rPr>
      </w:pPr>
      <w:r>
        <w:rPr>
          <w:rFonts w:hint="eastAsia" w:ascii="宋体" w:hAnsi="宋体"/>
          <w:sz w:val="24"/>
        </w:rPr>
        <w:t>17.4</w:t>
      </w:r>
      <w:r>
        <w:rPr>
          <w:rFonts w:hint="eastAsia" w:ascii="宋体" w:hAnsi="宋体"/>
          <w:sz w:val="24"/>
          <w:lang w:val="zh-CN"/>
        </w:rPr>
        <w:t>供应商在</w:t>
      </w:r>
      <w:r>
        <w:rPr>
          <w:rFonts w:hint="eastAsia" w:ascii="宋体" w:hAnsi="宋体"/>
          <w:sz w:val="24"/>
        </w:rPr>
        <w:t>提交响应文件截止时间前</w:t>
      </w:r>
      <w:r>
        <w:rPr>
          <w:rFonts w:hint="eastAsia" w:ascii="宋体" w:hAnsi="宋体"/>
          <w:sz w:val="24"/>
          <w:lang w:val="zh-CN"/>
        </w:rPr>
        <w:t>最后一次完成上传的响应文件为有效响应文件。逾期系统将自动关闭，未完成上传的响应文件视为逾期送达，将被拒绝。</w:t>
      </w:r>
    </w:p>
    <w:p>
      <w:pPr>
        <w:tabs>
          <w:tab w:val="left" w:pos="0"/>
        </w:tabs>
        <w:spacing w:line="360" w:lineRule="auto"/>
        <w:ind w:left="2" w:firstLine="480" w:firstLineChars="200"/>
        <w:rPr>
          <w:rFonts w:ascii="宋体" w:hAnsi="宋体" w:eastAsia="宋体"/>
          <w:sz w:val="28"/>
          <w:szCs w:val="28"/>
        </w:rPr>
      </w:pPr>
      <w:r>
        <w:rPr>
          <w:rFonts w:hint="eastAsia" w:ascii="宋体" w:hAnsi="宋体"/>
          <w:sz w:val="24"/>
        </w:rPr>
        <w:t>17.5在提交响应文件截止时间之后，供应商不得对其响应文件做任何修改。</w:t>
      </w:r>
      <w:bookmarkStart w:id="128" w:name="_Toc3451"/>
    </w:p>
    <w:p>
      <w:pPr>
        <w:pStyle w:val="4"/>
        <w:spacing w:before="0" w:line="360" w:lineRule="auto"/>
        <w:ind w:left="565" w:leftChars="12" w:hanging="540"/>
        <w:rPr>
          <w:rFonts w:ascii="宋体" w:hAnsi="宋体" w:eastAsia="宋体"/>
          <w:sz w:val="28"/>
          <w:szCs w:val="28"/>
        </w:rPr>
      </w:pPr>
      <w:bookmarkStart w:id="129" w:name="_Toc18950"/>
      <w:r>
        <w:rPr>
          <w:rFonts w:hint="eastAsia" w:ascii="宋体" w:hAnsi="宋体" w:eastAsia="宋体"/>
          <w:sz w:val="28"/>
          <w:szCs w:val="28"/>
        </w:rPr>
        <w:t>五</w:t>
      </w:r>
      <w:bookmarkEnd w:id="123"/>
      <w:bookmarkEnd w:id="124"/>
      <w:bookmarkEnd w:id="125"/>
      <w:bookmarkEnd w:id="126"/>
      <w:bookmarkEnd w:id="127"/>
      <w:r>
        <w:rPr>
          <w:rFonts w:hint="eastAsia" w:ascii="宋体" w:hAnsi="宋体" w:eastAsia="宋体"/>
          <w:sz w:val="28"/>
          <w:szCs w:val="28"/>
        </w:rPr>
        <w:t>、开标及评标</w:t>
      </w:r>
      <w:bookmarkEnd w:id="128"/>
      <w:bookmarkEnd w:id="129"/>
    </w:p>
    <w:p>
      <w:pPr>
        <w:spacing w:after="0" w:line="360" w:lineRule="auto"/>
        <w:outlineLvl w:val="9"/>
        <w:rPr>
          <w:b/>
          <w:bCs/>
          <w:sz w:val="24"/>
          <w:szCs w:val="24"/>
          <w:u w:val="none"/>
        </w:rPr>
      </w:pPr>
      <w:bookmarkStart w:id="130" w:name="_Toc518923083"/>
      <w:bookmarkStart w:id="131" w:name="_Toc51257702"/>
      <w:bookmarkStart w:id="132" w:name="_Toc9191"/>
      <w:bookmarkStart w:id="133" w:name="_Toc520356164"/>
      <w:r>
        <w:rPr>
          <w:rFonts w:hint="eastAsia"/>
          <w:b/>
          <w:bCs/>
          <w:sz w:val="24"/>
          <w:szCs w:val="24"/>
          <w:u w:val="none"/>
        </w:rPr>
        <w:t>18.开标</w:t>
      </w:r>
      <w:bookmarkEnd w:id="130"/>
      <w:bookmarkEnd w:id="131"/>
      <w:bookmarkEnd w:id="132"/>
      <w:bookmarkEnd w:id="133"/>
    </w:p>
    <w:p>
      <w:pPr>
        <w:pStyle w:val="11"/>
        <w:spacing w:line="360" w:lineRule="auto"/>
        <w:jc w:val="both"/>
        <w:rPr>
          <w:rFonts w:hAnsi="宋体"/>
          <w:snapToGrid w:val="0"/>
        </w:rPr>
      </w:pPr>
      <w:r>
        <w:rPr>
          <w:rFonts w:hint="eastAsia" w:hAnsi="宋体"/>
        </w:rPr>
        <w:t>18.1</w:t>
      </w:r>
      <w:r>
        <w:rPr>
          <w:rFonts w:hint="eastAsia" w:hAnsi="宋体"/>
          <w:snapToGrid w:val="0"/>
        </w:rPr>
        <w:t>采购人和</w:t>
      </w:r>
      <w:r>
        <w:rPr>
          <w:rFonts w:hAnsi="宋体"/>
          <w:snapToGrid w:val="0"/>
        </w:rPr>
        <w:t>采购代理机构</w:t>
      </w:r>
      <w:r>
        <w:rPr>
          <w:rFonts w:hint="eastAsia" w:hAnsi="宋体"/>
          <w:snapToGrid w:val="0"/>
        </w:rPr>
        <w:t>将按</w:t>
      </w:r>
      <w:r>
        <w:rPr>
          <w:rFonts w:hint="eastAsia" w:hAnsi="宋体"/>
          <w:snapToGrid w:val="0"/>
          <w:u w:val="single"/>
        </w:rPr>
        <w:t>供应商须知资料表</w:t>
      </w:r>
      <w:r>
        <w:rPr>
          <w:rFonts w:hint="eastAsia" w:hAnsi="宋体"/>
          <w:snapToGrid w:val="0"/>
        </w:rPr>
        <w:t>规定的开标时间和地点组织开标。</w:t>
      </w:r>
    </w:p>
    <w:p>
      <w:pPr>
        <w:pStyle w:val="11"/>
        <w:spacing w:line="360" w:lineRule="auto"/>
        <w:jc w:val="both"/>
        <w:rPr>
          <w:rFonts w:hAnsi="宋体" w:cs="宋体"/>
          <w:kern w:val="2"/>
          <w:szCs w:val="24"/>
          <w:lang w:bidi="ar"/>
        </w:rPr>
      </w:pPr>
      <w:r>
        <w:rPr>
          <w:rFonts w:hint="eastAsia" w:hAnsi="宋体" w:cs="宋体"/>
          <w:kern w:val="2"/>
          <w:szCs w:val="24"/>
          <w:lang w:bidi="ar"/>
        </w:rPr>
        <w:t>本项目采用网上开标模式。各供应商无需到达开标现场，请在开标前登录淄博市公共资源交易网（http://ggzyjy.zibo.gov.cn/TPFront/）网上开标大厅。</w:t>
      </w:r>
    </w:p>
    <w:p>
      <w:pPr>
        <w:pStyle w:val="11"/>
        <w:spacing w:line="360" w:lineRule="auto"/>
        <w:jc w:val="both"/>
        <w:rPr>
          <w:rFonts w:hAnsi="宋体"/>
          <w:snapToGrid w:val="0"/>
        </w:rPr>
      </w:pPr>
      <w:r>
        <w:rPr>
          <w:rFonts w:hint="eastAsia" w:hAnsi="宋体"/>
        </w:rPr>
        <w:t>18.</w:t>
      </w:r>
      <w:r>
        <w:rPr>
          <w:rFonts w:hint="eastAsia" w:hAnsi="宋体"/>
          <w:snapToGrid w:val="0"/>
        </w:rPr>
        <w:t>2提交响应文件</w:t>
      </w:r>
      <w:r>
        <w:rPr>
          <w:rFonts w:hint="eastAsia" w:hAnsi="宋体" w:cs="宋体"/>
          <w:kern w:val="2"/>
          <w:szCs w:val="24"/>
          <w:lang w:bidi="ar"/>
        </w:rPr>
        <w:t>截止时间后，各供应商应当根据网上开标流程进行操作并对响应文件进行解密,以及答疑、澄清等。</w:t>
      </w:r>
      <w:r>
        <w:rPr>
          <w:rFonts w:hint="eastAsia" w:hAnsi="宋体" w:cs="宋体"/>
          <w:kern w:val="2"/>
          <w:szCs w:val="24"/>
          <w:lang w:val="zh-CN" w:bidi="ar"/>
        </w:rPr>
        <w:t>开标时，</w:t>
      </w:r>
      <w:r>
        <w:rPr>
          <w:rFonts w:hint="eastAsia" w:hAnsi="宋体" w:cs="宋体"/>
          <w:kern w:val="2"/>
          <w:szCs w:val="24"/>
          <w:lang w:bidi="ar"/>
        </w:rPr>
        <w:t>供应商应当</w:t>
      </w:r>
      <w:r>
        <w:rPr>
          <w:rFonts w:hint="eastAsia" w:hAnsi="宋体" w:cs="宋体"/>
          <w:kern w:val="2"/>
          <w:szCs w:val="24"/>
          <w:lang w:val="zh-CN" w:bidi="ar"/>
        </w:rPr>
        <w:t>在</w:t>
      </w:r>
      <w:r>
        <w:rPr>
          <w:rFonts w:hint="eastAsia" w:hAnsi="宋体" w:cs="宋体"/>
          <w:kern w:val="2"/>
          <w:szCs w:val="24"/>
          <w:lang w:bidi="ar"/>
        </w:rPr>
        <w:t>解密开始时间20分钟内完成解密工作（以网上开标系统解密倒计时为准）</w:t>
      </w:r>
      <w:r>
        <w:rPr>
          <w:rFonts w:hint="eastAsia" w:hAnsi="宋体" w:cs="宋体"/>
          <w:kern w:val="2"/>
          <w:szCs w:val="24"/>
          <w:lang w:val="zh-CN" w:bidi="ar"/>
        </w:rPr>
        <w:t>。因</w:t>
      </w:r>
      <w:r>
        <w:rPr>
          <w:rFonts w:hint="eastAsia" w:hAnsi="宋体" w:cs="宋体"/>
          <w:kern w:val="2"/>
          <w:szCs w:val="24"/>
          <w:lang w:bidi="ar"/>
        </w:rPr>
        <w:t>供应商</w:t>
      </w:r>
      <w:r>
        <w:rPr>
          <w:rFonts w:hint="eastAsia" w:hAnsi="宋体" w:cs="宋体"/>
          <w:kern w:val="2"/>
          <w:szCs w:val="24"/>
          <w:lang w:val="zh-CN" w:bidi="ar"/>
        </w:rPr>
        <w:t>自身原因导致</w:t>
      </w:r>
      <w:r>
        <w:rPr>
          <w:rFonts w:hint="eastAsia" w:hAnsi="宋体" w:cs="宋体"/>
          <w:kern w:val="2"/>
          <w:szCs w:val="24"/>
          <w:lang w:bidi="ar"/>
        </w:rPr>
        <w:t>未在规定时间内成功解密响应文件的，视为撤销其响应文件。</w:t>
      </w:r>
    </w:p>
    <w:p>
      <w:pPr>
        <w:pStyle w:val="11"/>
        <w:spacing w:line="360" w:lineRule="auto"/>
        <w:rPr>
          <w:rFonts w:hAnsi="宋体"/>
        </w:rPr>
      </w:pPr>
      <w:r>
        <w:rPr>
          <w:rFonts w:hint="eastAsia" w:hAnsi="宋体"/>
          <w:snapToGrid w:val="0"/>
        </w:rPr>
        <w:t>18</w:t>
      </w:r>
      <w:r>
        <w:rPr>
          <w:rFonts w:hint="eastAsia" w:hAnsi="宋体"/>
        </w:rPr>
        <w:t>.3采购代理机构将对开标过程进行记录，并存档备查。</w:t>
      </w:r>
    </w:p>
    <w:p>
      <w:pPr>
        <w:pStyle w:val="11"/>
        <w:spacing w:line="360" w:lineRule="auto"/>
        <w:rPr>
          <w:rFonts w:hAnsi="宋体" w:cs="宋体"/>
          <w:kern w:val="2"/>
          <w:szCs w:val="24"/>
          <w:lang w:bidi="ar"/>
        </w:rPr>
      </w:pPr>
      <w:r>
        <w:rPr>
          <w:rFonts w:hint="eastAsia" w:hAnsi="宋体"/>
        </w:rPr>
        <w:t>1</w:t>
      </w:r>
      <w:r>
        <w:rPr>
          <w:rFonts w:hint="eastAsia" w:hAnsi="宋体" w:cs="宋体"/>
          <w:kern w:val="2"/>
          <w:szCs w:val="24"/>
          <w:lang w:bidi="ar"/>
        </w:rPr>
        <w:t>8.</w:t>
      </w:r>
      <w:r>
        <w:rPr>
          <w:rFonts w:hAnsi="宋体" w:cs="宋体"/>
          <w:kern w:val="2"/>
          <w:szCs w:val="24"/>
          <w:lang w:bidi="ar"/>
        </w:rPr>
        <w:t>4</w:t>
      </w:r>
      <w:r>
        <w:rPr>
          <w:rFonts w:hint="eastAsia" w:hAnsi="宋体" w:cs="宋体"/>
          <w:kern w:val="2"/>
          <w:szCs w:val="24"/>
          <w:lang w:bidi="ar"/>
        </w:rPr>
        <w:t>开标时，采购代理机构将通过网上开评标系统公布供应商名称、报价等其它内容。供应商若有报价和优惠未被唱出，应在开标系统内及时声明，否则采购代理机构对此不承担任何责任。</w:t>
      </w:r>
    </w:p>
    <w:p>
      <w:pPr>
        <w:pStyle w:val="11"/>
        <w:spacing w:line="360" w:lineRule="auto"/>
        <w:rPr>
          <w:rFonts w:hAnsi="宋体" w:cs="宋体"/>
          <w:kern w:val="2"/>
          <w:szCs w:val="24"/>
          <w:lang w:bidi="ar"/>
        </w:rPr>
      </w:pPr>
      <w:r>
        <w:rPr>
          <w:rFonts w:hint="eastAsia" w:hAnsi="宋体" w:cs="宋体"/>
          <w:kern w:val="2"/>
          <w:szCs w:val="24"/>
          <w:lang w:bidi="ar"/>
        </w:rPr>
        <w:t>供应商对开标过程和开标记录有异议，以及认为采购人、采购代理机构相关工作人员有需要回避的情形的，应在网上开标大厅中提出询问或者回避申请。</w:t>
      </w:r>
    </w:p>
    <w:p>
      <w:pPr>
        <w:pStyle w:val="11"/>
        <w:spacing w:line="360" w:lineRule="auto"/>
        <w:rPr>
          <w:rFonts w:hAnsi="宋体" w:cs="宋体"/>
          <w:kern w:val="2"/>
          <w:szCs w:val="24"/>
          <w:lang w:bidi="ar"/>
        </w:rPr>
      </w:pPr>
      <w:r>
        <w:rPr>
          <w:rFonts w:hint="eastAsia" w:hAnsi="宋体" w:cs="宋体"/>
          <w:kern w:val="2"/>
          <w:szCs w:val="24"/>
          <w:lang w:bidi="ar"/>
        </w:rPr>
        <w:t>供应商在开标前应当根据“网上开标大厅操作手册（投标人）”（具体操作请参考淄博市公共资源交易网→办事指南→服务指南→网上开标大厅操作手册（投标人））提前调试电脑，技术咨询电话：400-998-0000。</w:t>
      </w:r>
    </w:p>
    <w:p>
      <w:pPr>
        <w:pStyle w:val="11"/>
        <w:spacing w:line="360" w:lineRule="auto"/>
        <w:rPr>
          <w:rFonts w:hAnsi="宋体" w:cs="宋体"/>
          <w:kern w:val="2"/>
          <w:szCs w:val="24"/>
          <w:lang w:bidi="ar"/>
        </w:rPr>
      </w:pPr>
      <w:r>
        <w:rPr>
          <w:rFonts w:hint="eastAsia" w:hAnsi="宋体" w:cs="宋体"/>
          <w:kern w:val="2"/>
          <w:szCs w:val="24"/>
          <w:lang w:bidi="ar"/>
        </w:rPr>
        <w:t>在项目开评标全过程中，供应商应保持实时在线状态，参与远程交互的法定代表人（非法人组织的负责人）或其授权代表应始终为同一个人，中途不得更换，在废标、澄清、提疑、传送文件、协商等情况下需要交互时，供应商一端参与交互的人员将被视为本项目供应商的法定代表人（非法人组织的负责人）或其授权代表。专业人员小组会随时通过网上开标系统发出询标信息，供应商在专业人员小组规定时间内通过企业会员系统进行回复，未能按时答复的，专业人员小组将视同其放弃澄清、说明、补正等。</w:t>
      </w:r>
    </w:p>
    <w:p>
      <w:pPr>
        <w:pStyle w:val="11"/>
        <w:spacing w:line="360" w:lineRule="auto"/>
        <w:rPr>
          <w:rFonts w:hAnsi="宋体" w:cs="宋体"/>
          <w:kern w:val="2"/>
          <w:szCs w:val="24"/>
          <w:lang w:bidi="ar"/>
        </w:rPr>
      </w:pPr>
      <w:r>
        <w:rPr>
          <w:rFonts w:hint="eastAsia" w:hAnsi="宋体" w:cs="宋体"/>
          <w:kern w:val="2"/>
          <w:szCs w:val="24"/>
          <w:lang w:bidi="ar"/>
        </w:rPr>
        <w:t>本项目下载、上传、开标均通过互联网操作，供应商应当充分考虑网络拥堵及平台操作所需时间等因素，保证在开评标期间电脑、网络、预留电话等能够正常使用。</w:t>
      </w:r>
      <w:r>
        <w:rPr>
          <w:rFonts w:hAnsi="宋体" w:cs="宋体"/>
          <w:kern w:val="2"/>
          <w:szCs w:val="24"/>
          <w:lang w:bidi="ar"/>
        </w:rPr>
        <w:t xml:space="preserve"> </w:t>
      </w:r>
    </w:p>
    <w:p>
      <w:pPr>
        <w:pStyle w:val="11"/>
        <w:spacing w:line="360" w:lineRule="auto"/>
        <w:rPr>
          <w:rFonts w:hAnsi="宋体" w:cs="宋体"/>
          <w:kern w:val="2"/>
          <w:szCs w:val="24"/>
          <w:lang w:bidi="ar"/>
        </w:rPr>
      </w:pPr>
      <w:r>
        <w:rPr>
          <w:rFonts w:hint="eastAsia" w:hAnsi="宋体" w:cs="宋体"/>
          <w:kern w:val="2"/>
          <w:szCs w:val="24"/>
          <w:lang w:bidi="ar"/>
        </w:rPr>
        <w:t>因以上造成的一切后果由各供应商自行承担。</w:t>
      </w:r>
    </w:p>
    <w:p>
      <w:pPr>
        <w:spacing w:line="360" w:lineRule="auto"/>
        <w:ind w:left="482" w:hanging="482" w:hangingChars="200"/>
        <w:outlineLvl w:val="9"/>
        <w:rPr>
          <w:rFonts w:ascii="宋体" w:hAnsi="宋体"/>
          <w:b/>
          <w:bCs/>
          <w:snapToGrid w:val="0"/>
          <w:sz w:val="24"/>
          <w:szCs w:val="24"/>
        </w:rPr>
      </w:pPr>
      <w:bookmarkStart w:id="134" w:name="_Toc51257703"/>
      <w:bookmarkStart w:id="135" w:name="_Toc518923084"/>
      <w:r>
        <w:rPr>
          <w:rFonts w:hint="eastAsia" w:ascii="宋体" w:hAnsi="宋体"/>
          <w:b/>
          <w:bCs/>
          <w:snapToGrid w:val="0"/>
          <w:sz w:val="24"/>
          <w:szCs w:val="24"/>
        </w:rPr>
        <w:t>19.资格审查</w:t>
      </w:r>
      <w:bookmarkEnd w:id="134"/>
      <w:bookmarkEnd w:id="135"/>
    </w:p>
    <w:p>
      <w:pPr>
        <w:tabs>
          <w:tab w:val="left" w:pos="0"/>
        </w:tabs>
        <w:spacing w:line="360" w:lineRule="auto"/>
        <w:ind w:left="2" w:firstLine="480" w:firstLineChars="200"/>
        <w:rPr>
          <w:rFonts w:ascii="宋体" w:hAnsi="宋体"/>
          <w:sz w:val="24"/>
        </w:rPr>
      </w:pPr>
      <w:bookmarkStart w:id="136" w:name="_Toc51257704"/>
      <w:r>
        <w:rPr>
          <w:rFonts w:hint="eastAsia" w:ascii="宋体" w:hAnsi="宋体"/>
          <w:sz w:val="24"/>
        </w:rPr>
        <w:t>19.1</w:t>
      </w:r>
      <w:r>
        <w:rPr>
          <w:rFonts w:hint="eastAsia" w:ascii="宋体" w:hAnsi="宋体" w:cs="宋体"/>
          <w:sz w:val="24"/>
        </w:rPr>
        <w:t>采购人或采购代理机构依据法律法规和</w:t>
      </w:r>
      <w:r>
        <w:rPr>
          <w:rFonts w:hint="eastAsia" w:ascii="宋体" w:hAnsi="宋体"/>
          <w:sz w:val="24"/>
        </w:rPr>
        <w:t>单一来源采购文件中规定的内</w:t>
      </w:r>
      <w:r>
        <w:rPr>
          <w:rFonts w:ascii="宋体" w:hAnsi="宋体"/>
          <w:sz w:val="24"/>
        </w:rPr>
        <w:t>容</w:t>
      </w:r>
      <w:r>
        <w:rPr>
          <w:rFonts w:hint="eastAsia" w:ascii="宋体" w:hAnsi="宋体"/>
          <w:sz w:val="24"/>
        </w:rPr>
        <w:t>，对供应商的资格进行审查。</w:t>
      </w:r>
    </w:p>
    <w:p>
      <w:pPr>
        <w:spacing w:line="360" w:lineRule="auto"/>
        <w:ind w:firstLine="480" w:firstLineChars="200"/>
        <w:rPr>
          <w:rFonts w:cs="宋体" w:asciiTheme="minorEastAsia" w:hAnsiTheme="minorEastAsia"/>
          <w:bCs/>
          <w:sz w:val="24"/>
        </w:rPr>
      </w:pPr>
      <w:r>
        <w:rPr>
          <w:rFonts w:ascii="宋体" w:hAnsi="宋体"/>
          <w:sz w:val="24"/>
        </w:rPr>
        <w:t>1</w:t>
      </w:r>
      <w:r>
        <w:rPr>
          <w:rFonts w:hint="eastAsia" w:ascii="宋体" w:hAnsi="宋体"/>
          <w:sz w:val="24"/>
        </w:rPr>
        <w:t>9</w:t>
      </w:r>
      <w:r>
        <w:rPr>
          <w:rFonts w:ascii="宋体" w:hAnsi="宋体"/>
          <w:sz w:val="24"/>
        </w:rPr>
        <w:t>.2</w:t>
      </w:r>
      <w:r>
        <w:rPr>
          <w:rFonts w:hint="eastAsia" w:ascii="宋体" w:hAnsi="宋体"/>
          <w:sz w:val="24"/>
        </w:rPr>
        <w:t>采购人或采购代理机构将按</w:t>
      </w:r>
      <w:r>
        <w:rPr>
          <w:rFonts w:hint="eastAsia" w:ascii="宋体" w:hAnsi="宋体"/>
          <w:sz w:val="24"/>
          <w:u w:val="single"/>
        </w:rPr>
        <w:t>供应商须知资料表</w:t>
      </w:r>
      <w:r>
        <w:rPr>
          <w:rFonts w:hint="eastAsia" w:ascii="宋体" w:hAnsi="宋体"/>
          <w:sz w:val="24"/>
        </w:rPr>
        <w:t>中规定的时间查询供应商的信用记录。</w:t>
      </w:r>
      <w:r>
        <w:rPr>
          <w:rFonts w:hint="eastAsia" w:ascii="宋体" w:hAnsi="宋体" w:cs="宋体"/>
          <w:sz w:val="24"/>
        </w:rPr>
        <w:t>供应商在中国政府采购网（</w:t>
      </w:r>
      <w:r>
        <w:fldChar w:fldCharType="begin"/>
      </w:r>
      <w:r>
        <w:instrText xml:space="preserve"> HYPERLINK "http://www.ccgp.gov.cn" </w:instrText>
      </w:r>
      <w:r>
        <w:fldChar w:fldCharType="separate"/>
      </w:r>
      <w:r>
        <w:rPr>
          <w:rFonts w:hint="eastAsia" w:ascii="宋体" w:hAnsi="宋体" w:cs="宋体"/>
        </w:rPr>
        <w:t>www.ccgp.gov.cn</w:t>
      </w:r>
      <w:r>
        <w:rPr>
          <w:rFonts w:hint="eastAsia" w:ascii="宋体" w:hAnsi="宋体" w:cs="宋体"/>
        </w:rPr>
        <w:fldChar w:fldCharType="end"/>
      </w:r>
      <w:r>
        <w:rPr>
          <w:rFonts w:hint="eastAsia" w:ascii="宋体" w:hAnsi="宋体" w:cs="宋体"/>
          <w:sz w:val="24"/>
        </w:rPr>
        <w:t>）被列入政府采购严重违法失信行为记录名单，</w:t>
      </w:r>
      <w:r>
        <w:rPr>
          <w:rFonts w:ascii="宋体" w:hAnsi="宋体" w:cs="宋体"/>
          <w:sz w:val="24"/>
        </w:rPr>
        <w:t>或</w:t>
      </w:r>
      <w:r>
        <w:rPr>
          <w:rFonts w:hint="eastAsia" w:ascii="宋体" w:hAnsi="宋体" w:cs="宋体"/>
          <w:sz w:val="24"/>
        </w:rPr>
        <w:t>在“信用中国”网站（</w:t>
      </w:r>
      <w:r>
        <w:fldChar w:fldCharType="begin"/>
      </w:r>
      <w:r>
        <w:instrText xml:space="preserve"> HYPERLINK "http://www.creditchina.gov.cn" </w:instrText>
      </w:r>
      <w:r>
        <w:fldChar w:fldCharType="separate"/>
      </w:r>
      <w:r>
        <w:rPr>
          <w:rFonts w:hint="eastAsia" w:ascii="宋体" w:hAnsi="宋体" w:cs="宋体"/>
        </w:rPr>
        <w:t>www.creditchina.gov.cn</w:t>
      </w:r>
      <w:r>
        <w:rPr>
          <w:rFonts w:hint="eastAsia" w:ascii="宋体" w:hAnsi="宋体" w:cs="宋体"/>
        </w:rPr>
        <w:fldChar w:fldCharType="end"/>
      </w:r>
      <w:r>
        <w:rPr>
          <w:rFonts w:hint="eastAsia" w:ascii="宋体" w:hAnsi="宋体" w:cs="宋体"/>
          <w:sz w:val="24"/>
        </w:rPr>
        <w:t>）被列入失信被执行人、重大税收违法案件当事人名单的</w:t>
      </w:r>
      <w:r>
        <w:rPr>
          <w:rFonts w:hint="eastAsia" w:ascii="宋体" w:hAnsi="宋体"/>
          <w:bCs/>
          <w:sz w:val="24"/>
        </w:rPr>
        <w:t>，其响应将被拒绝</w:t>
      </w:r>
      <w:r>
        <w:rPr>
          <w:rFonts w:hint="eastAsia" w:ascii="宋体" w:hAnsi="宋体" w:cs="宋体"/>
          <w:bCs/>
          <w:sz w:val="24"/>
        </w:rPr>
        <w:t>。</w:t>
      </w:r>
    </w:p>
    <w:p>
      <w:pPr>
        <w:spacing w:line="360" w:lineRule="auto"/>
        <w:ind w:firstLine="480" w:firstLineChars="200"/>
        <w:jc w:val="left"/>
        <w:rPr>
          <w:rFonts w:ascii="宋体" w:hAnsi="宋体" w:cs="宋体"/>
          <w:bCs/>
          <w:sz w:val="24"/>
        </w:rPr>
      </w:pPr>
      <w:r>
        <w:rPr>
          <w:rFonts w:hint="eastAsia" w:ascii="宋体" w:hAnsi="宋体" w:cs="宋体"/>
          <w:bCs/>
          <w:sz w:val="24"/>
        </w:rPr>
        <w:t>以联合体形式进行响应的，联合体任何成员存在以上不良信用记录的，联合体其响应将被</w:t>
      </w:r>
      <w:r>
        <w:rPr>
          <w:rFonts w:hint="eastAsia" w:ascii="宋体" w:hAnsi="宋体"/>
          <w:bCs/>
          <w:sz w:val="24"/>
        </w:rPr>
        <w:t>拒绝</w:t>
      </w:r>
      <w:r>
        <w:rPr>
          <w:rFonts w:hint="eastAsia" w:ascii="宋体" w:hAnsi="宋体" w:cs="宋体"/>
          <w:bCs/>
          <w:sz w:val="24"/>
        </w:rPr>
        <w:t>。</w:t>
      </w:r>
    </w:p>
    <w:p>
      <w:pPr>
        <w:tabs>
          <w:tab w:val="left" w:pos="0"/>
        </w:tabs>
        <w:spacing w:line="360" w:lineRule="auto"/>
        <w:ind w:left="2" w:firstLine="480" w:firstLineChars="200"/>
        <w:rPr>
          <w:rFonts w:ascii="宋体" w:hAnsi="宋体" w:cs="宋体"/>
          <w:bCs/>
          <w:sz w:val="24"/>
        </w:rPr>
      </w:pPr>
      <w:r>
        <w:rPr>
          <w:rFonts w:hint="eastAsia" w:ascii="宋体" w:hAnsi="宋体" w:cs="宋体"/>
          <w:bCs/>
          <w:sz w:val="24"/>
        </w:rPr>
        <w:t>19.3采购人或采购代理机构将信用记录查询情况签字并存档备查。供应商信用记录情况以采购人或采购代理机构查询结果为准。供应商自行提供的与网站信息不一致的其他证明材料亦不作为资格审查的依据。</w:t>
      </w:r>
    </w:p>
    <w:p>
      <w:pPr>
        <w:tabs>
          <w:tab w:val="left" w:pos="0"/>
        </w:tabs>
        <w:spacing w:line="360" w:lineRule="auto"/>
        <w:ind w:left="2" w:firstLine="480" w:firstLineChars="200"/>
        <w:rPr>
          <w:rFonts w:ascii="宋体" w:hAnsi="宋体" w:cs="宋体"/>
          <w:bCs/>
          <w:sz w:val="24"/>
        </w:rPr>
      </w:pPr>
      <w:r>
        <w:rPr>
          <w:rFonts w:hint="eastAsia" w:ascii="宋体" w:hAnsi="宋体"/>
          <w:bCs/>
          <w:sz w:val="24"/>
        </w:rPr>
        <w:t>在本单一来源采购文件规定的查询时间之后，网站信息发生的任何变更均不再作为评审依据</w:t>
      </w:r>
      <w:r>
        <w:rPr>
          <w:rFonts w:hint="eastAsia" w:ascii="宋体" w:hAnsi="宋体" w:cs="宋体"/>
          <w:bCs/>
          <w:sz w:val="24"/>
        </w:rPr>
        <w:t>。</w:t>
      </w:r>
    </w:p>
    <w:p>
      <w:pPr>
        <w:tabs>
          <w:tab w:val="left" w:pos="0"/>
        </w:tabs>
        <w:spacing w:line="360" w:lineRule="auto"/>
        <w:ind w:left="2" w:firstLine="480" w:firstLineChars="200"/>
        <w:rPr>
          <w:rFonts w:hAnsi="宋体"/>
          <w:bCs/>
        </w:rPr>
      </w:pPr>
      <w:r>
        <w:rPr>
          <w:rFonts w:hint="eastAsia" w:ascii="宋体" w:hAnsi="宋体" w:cs="宋体"/>
          <w:bCs/>
          <w:sz w:val="24"/>
        </w:rPr>
        <w:t>供应商自行提供的与网站信息不一致的其他证明材料不作为资格审查</w:t>
      </w:r>
      <w:r>
        <w:rPr>
          <w:rFonts w:ascii="宋体" w:hAnsi="宋体" w:cs="宋体"/>
          <w:bCs/>
          <w:sz w:val="24"/>
        </w:rPr>
        <w:t>的</w:t>
      </w:r>
      <w:r>
        <w:rPr>
          <w:rFonts w:hint="eastAsia" w:ascii="宋体" w:hAnsi="宋体" w:cs="宋体"/>
          <w:bCs/>
          <w:sz w:val="24"/>
        </w:rPr>
        <w:t>依据。</w:t>
      </w:r>
      <w:bookmarkEnd w:id="136"/>
    </w:p>
    <w:p>
      <w:pPr>
        <w:spacing w:line="360" w:lineRule="auto"/>
        <w:ind w:left="482" w:hanging="482" w:hangingChars="200"/>
        <w:outlineLvl w:val="9"/>
        <w:rPr>
          <w:rFonts w:ascii="宋体" w:hAnsi="宋体"/>
          <w:b/>
          <w:bCs/>
          <w:snapToGrid w:val="0"/>
          <w:sz w:val="24"/>
          <w:szCs w:val="24"/>
        </w:rPr>
      </w:pPr>
      <w:bookmarkStart w:id="137" w:name="_Toc24972"/>
      <w:bookmarkStart w:id="138" w:name="_Toc515647786"/>
      <w:bookmarkStart w:id="139" w:name="_Toc31289"/>
      <w:bookmarkStart w:id="140" w:name="_Toc520356169"/>
      <w:r>
        <w:rPr>
          <w:rFonts w:hint="eastAsia" w:ascii="宋体" w:hAnsi="宋体"/>
          <w:b/>
          <w:bCs/>
          <w:snapToGrid w:val="0"/>
          <w:sz w:val="24"/>
          <w:szCs w:val="24"/>
        </w:rPr>
        <w:t>20.组建专业人员小组</w:t>
      </w:r>
    </w:p>
    <w:p>
      <w:pPr>
        <w:tabs>
          <w:tab w:val="left" w:pos="0"/>
        </w:tabs>
        <w:spacing w:line="360" w:lineRule="auto"/>
        <w:ind w:left="2" w:firstLine="480" w:firstLineChars="200"/>
        <w:rPr>
          <w:rFonts w:ascii="宋体" w:hAnsi="宋体"/>
          <w:sz w:val="24"/>
          <w:lang w:val="zh-CN"/>
        </w:rPr>
      </w:pPr>
      <w:r>
        <w:rPr>
          <w:rFonts w:hint="eastAsia" w:ascii="宋体" w:hAnsi="宋体"/>
          <w:sz w:val="24"/>
        </w:rPr>
        <w:t>20.1按照《政府采购评审专家管理办法》（财库</w:t>
      </w:r>
      <w:r>
        <w:rPr>
          <w:rFonts w:hint="eastAsia" w:ascii="宋体" w:hAnsi="宋体" w:cs="宋体"/>
          <w:sz w:val="24"/>
        </w:rPr>
        <w:t>〔2016〕</w:t>
      </w:r>
      <w:r>
        <w:rPr>
          <w:rFonts w:hint="eastAsia" w:ascii="宋体" w:hAnsi="宋体"/>
          <w:sz w:val="24"/>
        </w:rPr>
        <w:t>198号）、《山东省政府采购评审专家管理实施办法》（鲁财采</w:t>
      </w:r>
      <w:r>
        <w:rPr>
          <w:rFonts w:hint="eastAsia" w:ascii="宋体" w:hAnsi="宋体" w:cs="宋体"/>
          <w:sz w:val="24"/>
        </w:rPr>
        <w:t>〔2018〕</w:t>
      </w:r>
      <w:r>
        <w:rPr>
          <w:rFonts w:hint="eastAsia" w:ascii="宋体" w:hAnsi="宋体"/>
          <w:sz w:val="24"/>
        </w:rPr>
        <w:t>66号）、《山东省政府采购评审专家抽取规则》（鲁财采</w:t>
      </w:r>
      <w:r>
        <w:rPr>
          <w:rFonts w:hint="eastAsia" w:ascii="宋体" w:hAnsi="宋体" w:cs="宋体"/>
          <w:sz w:val="24"/>
        </w:rPr>
        <w:t>〔2017〕</w:t>
      </w:r>
      <w:r>
        <w:rPr>
          <w:rFonts w:hint="eastAsia" w:ascii="宋体" w:hAnsi="宋体"/>
          <w:sz w:val="24"/>
        </w:rPr>
        <w:t>64号）</w:t>
      </w:r>
      <w:r>
        <w:rPr>
          <w:rFonts w:hint="eastAsia" w:ascii="宋体" w:hAnsi="宋体"/>
          <w:sz w:val="24"/>
          <w:lang w:val="zh-CN"/>
        </w:rPr>
        <w:t>及本项目本级和上级财政部门的有关规定组建的</w:t>
      </w:r>
      <w:r>
        <w:rPr>
          <w:rFonts w:hint="eastAsia" w:ascii="宋体" w:hAnsi="宋体"/>
          <w:sz w:val="24"/>
        </w:rPr>
        <w:t>专业人员小组</w:t>
      </w:r>
      <w:r>
        <w:rPr>
          <w:rFonts w:hint="eastAsia" w:ascii="宋体" w:hAnsi="宋体"/>
          <w:sz w:val="24"/>
          <w:lang w:val="zh-CN"/>
        </w:rPr>
        <w:t>，负责本项目</w:t>
      </w:r>
      <w:r>
        <w:rPr>
          <w:rFonts w:hint="eastAsia" w:ascii="宋体" w:hAnsi="宋体"/>
          <w:sz w:val="24"/>
        </w:rPr>
        <w:t>评审</w:t>
      </w:r>
      <w:r>
        <w:rPr>
          <w:rFonts w:hint="eastAsia" w:ascii="宋体" w:hAnsi="宋体"/>
          <w:sz w:val="24"/>
          <w:lang w:val="zh-CN"/>
        </w:rPr>
        <w:t>工作。</w:t>
      </w:r>
    </w:p>
    <w:p>
      <w:pPr>
        <w:spacing w:line="360" w:lineRule="auto"/>
        <w:ind w:firstLine="480" w:firstLineChars="200"/>
        <w:rPr>
          <w:rFonts w:hAnsi="宋体"/>
        </w:rPr>
      </w:pPr>
      <w:r>
        <w:rPr>
          <w:rFonts w:hint="eastAsia" w:ascii="宋体" w:hAnsi="宋体"/>
          <w:snapToGrid w:val="0"/>
          <w:sz w:val="24"/>
        </w:rPr>
        <w:t>20.2单一来源采购人员应当编写协商情况记录，协商情况记录应当由采购全体人员签字认可。对记录有异议的采购人员，应当签署不同意见并说明理由。采购人员拒绝在记录上签字又不书面说明其不同意见和理由的，视为同意。</w:t>
      </w:r>
    </w:p>
    <w:p>
      <w:pPr>
        <w:spacing w:line="360" w:lineRule="auto"/>
        <w:ind w:left="482" w:hanging="482" w:hangingChars="200"/>
        <w:outlineLvl w:val="9"/>
        <w:rPr>
          <w:rFonts w:ascii="宋体" w:hAnsi="宋体"/>
          <w:b/>
          <w:bCs/>
          <w:snapToGrid w:val="0"/>
          <w:sz w:val="24"/>
          <w:szCs w:val="24"/>
        </w:rPr>
      </w:pPr>
      <w:bookmarkStart w:id="141" w:name="_Toc17127"/>
      <w:bookmarkStart w:id="142" w:name="_Toc5431"/>
      <w:r>
        <w:rPr>
          <w:rFonts w:hint="eastAsia" w:ascii="宋体" w:hAnsi="宋体"/>
          <w:b/>
          <w:bCs/>
          <w:snapToGrid w:val="0"/>
          <w:sz w:val="24"/>
          <w:szCs w:val="24"/>
        </w:rPr>
        <w:t>21.响应文件符合性审查与澄清</w:t>
      </w:r>
      <w:bookmarkEnd w:id="141"/>
      <w:bookmarkEnd w:id="142"/>
    </w:p>
    <w:p>
      <w:pPr>
        <w:spacing w:line="360" w:lineRule="auto"/>
        <w:ind w:firstLine="480" w:firstLineChars="200"/>
        <w:jc w:val="left"/>
        <w:rPr>
          <w:rFonts w:ascii="宋体" w:hAnsi="宋体"/>
          <w:sz w:val="24"/>
        </w:rPr>
      </w:pPr>
      <w:r>
        <w:rPr>
          <w:rFonts w:ascii="宋体" w:hAnsi="宋体"/>
          <w:sz w:val="24"/>
        </w:rPr>
        <w:t>2</w:t>
      </w:r>
      <w:r>
        <w:rPr>
          <w:rFonts w:hint="eastAsia" w:ascii="宋体" w:hAnsi="宋体"/>
          <w:sz w:val="24"/>
        </w:rPr>
        <w:t>1.1符合性审查是</w:t>
      </w:r>
      <w:r>
        <w:rPr>
          <w:rFonts w:ascii="宋体" w:hAnsi="宋体"/>
          <w:sz w:val="24"/>
        </w:rPr>
        <w:t>指</w:t>
      </w:r>
      <w:r>
        <w:rPr>
          <w:rFonts w:hint="eastAsia" w:ascii="宋体" w:hAnsi="宋体"/>
          <w:sz w:val="24"/>
        </w:rPr>
        <w:t>专业人员小组依据单一来源采购文件的规定，从响应文件的有效性和完整性对单一来源采购的响应程度进行审查，以确定是否对单一来源采购文件的实质性要求做出响应。</w:t>
      </w:r>
      <w:bookmarkStart w:id="143" w:name="_Hlt522424701"/>
      <w:bookmarkEnd w:id="143"/>
    </w:p>
    <w:p>
      <w:pPr>
        <w:spacing w:line="360" w:lineRule="auto"/>
        <w:ind w:firstLine="480" w:firstLineChars="200"/>
        <w:jc w:val="left"/>
        <w:rPr>
          <w:rFonts w:ascii="宋体" w:hAnsi="宋体"/>
          <w:sz w:val="24"/>
        </w:rPr>
      </w:pPr>
      <w:r>
        <w:rPr>
          <w:rFonts w:hint="eastAsia" w:ascii="宋体" w:hAnsi="宋体"/>
          <w:sz w:val="24"/>
        </w:rPr>
        <w:t>21.2响应文件的澄清</w:t>
      </w:r>
    </w:p>
    <w:p>
      <w:pPr>
        <w:spacing w:line="360" w:lineRule="auto"/>
        <w:ind w:firstLine="480" w:firstLineChars="200"/>
        <w:jc w:val="left"/>
        <w:rPr>
          <w:rFonts w:ascii="宋体" w:hAnsi="宋体"/>
          <w:sz w:val="24"/>
        </w:rPr>
      </w:pPr>
      <w:r>
        <w:rPr>
          <w:rFonts w:hint="eastAsia" w:ascii="宋体" w:hAnsi="宋体"/>
          <w:sz w:val="24"/>
        </w:rPr>
        <w:t>21.2.1在评标期间，专业人员小组将通过网上开评标系统要求供应商对其响应文件中含义不明确、对同类问题表述不一致或者有明显文字和计算错误的内容，以及专业人员小组认为供应商的报价明显低于市场价格的报价，有可能影响履约的</w:t>
      </w:r>
      <w:r>
        <w:rPr>
          <w:rFonts w:ascii="宋体" w:hAnsi="宋体"/>
          <w:sz w:val="24"/>
        </w:rPr>
        <w:t>情况</w:t>
      </w:r>
      <w:r>
        <w:rPr>
          <w:rFonts w:hint="eastAsia" w:ascii="宋体" w:hAnsi="宋体"/>
          <w:sz w:val="24"/>
        </w:rPr>
        <w:t>作必要的澄清、说明或补正。供应商的澄清、说明或补正应在专业人员小组会规定的时间内通过网上开评标系统进行，并不得超出响应文件范围或者改变响应文件的实质性内容。</w:t>
      </w:r>
    </w:p>
    <w:p>
      <w:pPr>
        <w:spacing w:line="360" w:lineRule="auto"/>
        <w:ind w:firstLine="480" w:firstLineChars="200"/>
        <w:jc w:val="left"/>
        <w:rPr>
          <w:rFonts w:ascii="宋体" w:hAnsi="宋体"/>
          <w:sz w:val="24"/>
        </w:rPr>
      </w:pPr>
      <w:r>
        <w:rPr>
          <w:rFonts w:hint="eastAsia" w:ascii="宋体" w:hAnsi="宋体"/>
          <w:sz w:val="24"/>
        </w:rPr>
        <w:t>21.2.2供应商的澄清、说明或补正将作为响应文件的一部分。</w:t>
      </w:r>
    </w:p>
    <w:p>
      <w:pPr>
        <w:spacing w:line="360" w:lineRule="auto"/>
        <w:ind w:firstLine="480" w:firstLineChars="200"/>
        <w:jc w:val="left"/>
        <w:rPr>
          <w:rFonts w:ascii="宋体" w:hAnsi="宋体"/>
          <w:sz w:val="24"/>
        </w:rPr>
      </w:pPr>
      <w:r>
        <w:rPr>
          <w:rFonts w:hint="eastAsia" w:ascii="宋体" w:hAnsi="宋体"/>
          <w:sz w:val="24"/>
        </w:rPr>
        <w:t>21.2.3任何澄清和必要的解释说明的书面答复均需加盖供应商公章及法定代表人（</w:t>
      </w:r>
      <w:r>
        <w:rPr>
          <w:rFonts w:hint="eastAsia" w:ascii="宋体" w:hAnsi="宋体" w:cs="宋体"/>
          <w:sz w:val="24"/>
        </w:rPr>
        <w:t>非法人组织的负责人</w:t>
      </w:r>
      <w:r>
        <w:rPr>
          <w:rFonts w:hint="eastAsia" w:ascii="宋体" w:hAnsi="宋体"/>
          <w:sz w:val="24"/>
        </w:rPr>
        <w:t>）或其授权代表签章，否则，专业人员小组有权不予认可。</w:t>
      </w:r>
    </w:p>
    <w:p>
      <w:pPr>
        <w:spacing w:line="360" w:lineRule="auto"/>
        <w:ind w:firstLine="480" w:firstLineChars="200"/>
        <w:jc w:val="left"/>
        <w:rPr>
          <w:rFonts w:ascii="宋体" w:hAnsi="宋体"/>
          <w:sz w:val="24"/>
        </w:rPr>
      </w:pPr>
      <w:r>
        <w:rPr>
          <w:rFonts w:hint="eastAsia" w:ascii="宋体" w:hAnsi="宋体"/>
          <w:sz w:val="24"/>
        </w:rPr>
        <w:t>21.3响应文件报价出现前后不一致的，按照下列规定修正：</w:t>
      </w:r>
    </w:p>
    <w:p>
      <w:pPr>
        <w:spacing w:line="360" w:lineRule="auto"/>
        <w:ind w:firstLine="480" w:firstLineChars="200"/>
        <w:jc w:val="left"/>
        <w:rPr>
          <w:rFonts w:ascii="宋体" w:hAnsi="宋体"/>
          <w:sz w:val="24"/>
        </w:rPr>
      </w:pPr>
      <w:r>
        <w:rPr>
          <w:rFonts w:hint="eastAsia" w:ascii="宋体" w:hAnsi="宋体"/>
          <w:sz w:val="24"/>
        </w:rPr>
        <w:t>（1）响应文件中开标一览表内容与响应文件中相应内容不一致的，以开标一览表为准；</w:t>
      </w:r>
    </w:p>
    <w:p>
      <w:pPr>
        <w:spacing w:line="360" w:lineRule="auto"/>
        <w:jc w:val="left"/>
        <w:rPr>
          <w:rFonts w:ascii="宋体" w:hAnsi="宋体"/>
          <w:sz w:val="24"/>
        </w:rPr>
      </w:pPr>
      <w:r>
        <w:rPr>
          <w:rFonts w:hint="eastAsia" w:ascii="宋体" w:hAnsi="宋体"/>
          <w:sz w:val="24"/>
        </w:rPr>
        <w:t>　　 （2）大写金额和小写金额不一致的，以大写金额为准；</w:t>
      </w:r>
    </w:p>
    <w:p>
      <w:pPr>
        <w:spacing w:line="360" w:lineRule="auto"/>
        <w:jc w:val="left"/>
        <w:rPr>
          <w:rFonts w:ascii="宋体" w:hAnsi="宋体"/>
          <w:sz w:val="24"/>
        </w:rPr>
      </w:pPr>
      <w:r>
        <w:rPr>
          <w:rFonts w:hint="eastAsia" w:ascii="宋体" w:hAnsi="宋体"/>
          <w:sz w:val="24"/>
        </w:rPr>
        <w:t>　   （3）单价金额小数点或者百分比有明显错位的，以开标一览表的总价为准，并修改单价；</w:t>
      </w:r>
    </w:p>
    <w:p>
      <w:pPr>
        <w:spacing w:line="360" w:lineRule="auto"/>
        <w:jc w:val="left"/>
        <w:rPr>
          <w:rFonts w:ascii="宋体" w:hAnsi="宋体"/>
          <w:sz w:val="24"/>
        </w:rPr>
      </w:pPr>
      <w:r>
        <w:rPr>
          <w:rFonts w:hint="eastAsia" w:ascii="宋体" w:hAnsi="宋体"/>
          <w:sz w:val="24"/>
        </w:rPr>
        <w:t>　   （4）总价金额与按单价汇总金额不一致的，以单价金额计算结果为准。</w:t>
      </w:r>
    </w:p>
    <w:p>
      <w:pPr>
        <w:spacing w:line="360" w:lineRule="auto"/>
        <w:jc w:val="left"/>
        <w:rPr>
          <w:rFonts w:ascii="宋体" w:hAnsi="宋体"/>
          <w:sz w:val="24"/>
        </w:rPr>
      </w:pPr>
      <w:r>
        <w:rPr>
          <w:rFonts w:hint="eastAsia" w:ascii="宋体" w:hAnsi="宋体"/>
          <w:sz w:val="24"/>
        </w:rPr>
        <w:t>　　同时出现两种以上不一致的，按照前款规定的顺序进行修正。修正后的报价按照第21</w:t>
      </w:r>
      <w:r>
        <w:rPr>
          <w:rFonts w:ascii="宋体" w:hAnsi="宋体"/>
          <w:sz w:val="24"/>
        </w:rPr>
        <w:t>.2</w:t>
      </w:r>
      <w:r>
        <w:rPr>
          <w:rFonts w:hint="eastAsia" w:ascii="宋体" w:hAnsi="宋体"/>
          <w:sz w:val="24"/>
        </w:rPr>
        <w:t>条的规定经供应商确认后产生约束力，供应商不确认的，其响应将被认定为</w:t>
      </w:r>
      <w:r>
        <w:rPr>
          <w:rFonts w:hint="eastAsia" w:ascii="宋体" w:hAnsi="宋体"/>
          <w:bCs/>
          <w:sz w:val="24"/>
        </w:rPr>
        <w:t>响应无效</w:t>
      </w:r>
      <w:r>
        <w:rPr>
          <w:rFonts w:hint="eastAsia" w:ascii="宋体" w:hAnsi="宋体"/>
          <w:sz w:val="24"/>
        </w:rPr>
        <w:t>。</w:t>
      </w:r>
    </w:p>
    <w:p>
      <w:pPr>
        <w:spacing w:line="360" w:lineRule="auto"/>
        <w:ind w:firstLine="480" w:firstLineChars="200"/>
        <w:jc w:val="left"/>
        <w:rPr>
          <w:rFonts w:ascii="宋体" w:hAnsi="宋体"/>
          <w:sz w:val="24"/>
        </w:rPr>
      </w:pPr>
      <w:r>
        <w:rPr>
          <w:rFonts w:hint="eastAsia" w:ascii="宋体" w:hAnsi="宋体"/>
          <w:sz w:val="24"/>
        </w:rPr>
        <w:t>对不同文字文本响应文件的解释发生异议的，以中文文本为准。</w:t>
      </w:r>
    </w:p>
    <w:p>
      <w:pPr>
        <w:spacing w:before="0" w:after="0" w:line="360" w:lineRule="auto"/>
        <w:outlineLvl w:val="9"/>
        <w:rPr>
          <w:rFonts w:hAnsi="宋体"/>
          <w:b/>
          <w:bCs/>
          <w:sz w:val="24"/>
          <w:szCs w:val="24"/>
          <w:u w:val="none"/>
        </w:rPr>
      </w:pPr>
      <w:bookmarkStart w:id="144" w:name="_Toc22225"/>
      <w:bookmarkStart w:id="145" w:name="_Toc9469"/>
      <w:bookmarkStart w:id="146" w:name="_Toc12068"/>
      <w:bookmarkStart w:id="147" w:name="_Toc6364"/>
      <w:bookmarkStart w:id="148" w:name="_Toc515647782"/>
      <w:r>
        <w:rPr>
          <w:rFonts w:hint="eastAsia" w:hAnsi="宋体"/>
          <w:b/>
          <w:bCs/>
          <w:sz w:val="24"/>
          <w:szCs w:val="24"/>
          <w:u w:val="none"/>
        </w:rPr>
        <w:t>22.响应偏离</w:t>
      </w:r>
      <w:bookmarkEnd w:id="144"/>
      <w:bookmarkEnd w:id="145"/>
      <w:bookmarkEnd w:id="146"/>
      <w:bookmarkEnd w:id="147"/>
      <w:bookmarkEnd w:id="148"/>
    </w:p>
    <w:p>
      <w:pPr>
        <w:spacing w:line="360" w:lineRule="auto"/>
        <w:ind w:firstLine="480" w:firstLineChars="200"/>
        <w:jc w:val="left"/>
        <w:rPr>
          <w:rFonts w:ascii="宋体" w:hAnsi="宋体"/>
          <w:sz w:val="24"/>
        </w:rPr>
      </w:pPr>
      <w:r>
        <w:rPr>
          <w:rFonts w:hint="eastAsia" w:ascii="宋体" w:hAnsi="宋体"/>
          <w:sz w:val="24"/>
        </w:rPr>
        <w:t>专业人员小组可以接受响应文件中不构成实质性偏离的不正规或不一致。</w:t>
      </w:r>
    </w:p>
    <w:p>
      <w:pPr>
        <w:spacing w:before="0" w:after="0" w:line="360" w:lineRule="auto"/>
        <w:outlineLvl w:val="9"/>
        <w:rPr>
          <w:rFonts w:hAnsi="宋体"/>
          <w:b/>
          <w:bCs/>
          <w:sz w:val="24"/>
          <w:szCs w:val="24"/>
          <w:u w:val="none"/>
        </w:rPr>
      </w:pPr>
      <w:bookmarkStart w:id="149" w:name="_Toc515647783"/>
      <w:bookmarkStart w:id="150" w:name="_Toc6092"/>
      <w:bookmarkStart w:id="151" w:name="_Toc4950"/>
      <w:bookmarkStart w:id="152" w:name="_Toc16710"/>
      <w:bookmarkStart w:id="153" w:name="_Toc3278"/>
      <w:r>
        <w:rPr>
          <w:rFonts w:hint="eastAsia" w:hAnsi="宋体"/>
          <w:b/>
          <w:bCs/>
          <w:sz w:val="24"/>
          <w:szCs w:val="24"/>
          <w:u w:val="none"/>
        </w:rPr>
        <w:t>23.</w:t>
      </w:r>
      <w:bookmarkEnd w:id="149"/>
      <w:r>
        <w:rPr>
          <w:rFonts w:hint="eastAsia" w:hAnsi="宋体"/>
          <w:b/>
          <w:bCs/>
          <w:sz w:val="24"/>
          <w:szCs w:val="24"/>
          <w:u w:val="none"/>
        </w:rPr>
        <w:t>响应无效</w:t>
      </w:r>
      <w:bookmarkEnd w:id="150"/>
      <w:bookmarkEnd w:id="151"/>
      <w:bookmarkEnd w:id="152"/>
      <w:bookmarkEnd w:id="153"/>
    </w:p>
    <w:p>
      <w:pPr>
        <w:pStyle w:val="16"/>
        <w:spacing w:line="360" w:lineRule="auto"/>
        <w:ind w:firstLine="480" w:firstLineChars="200"/>
        <w:jc w:val="left"/>
        <w:rPr>
          <w:szCs w:val="21"/>
        </w:rPr>
      </w:pPr>
      <w:r>
        <w:rPr>
          <w:rFonts w:hint="eastAsia"/>
        </w:rPr>
        <w:t>23.1专业人员小组要审查供应商的响应文件是否实质上响应了单一来源采购要求，未实质响应的响应文件作无效响应处理</w:t>
      </w:r>
      <w:r>
        <w:t>。</w:t>
      </w:r>
    </w:p>
    <w:p>
      <w:pPr>
        <w:spacing w:line="360" w:lineRule="auto"/>
        <w:ind w:firstLine="480" w:firstLineChars="200"/>
        <w:jc w:val="left"/>
        <w:rPr>
          <w:rFonts w:ascii="宋体" w:hAnsi="宋体"/>
          <w:sz w:val="24"/>
        </w:rPr>
      </w:pPr>
      <w:r>
        <w:rPr>
          <w:rFonts w:ascii="宋体" w:hAnsi="宋体"/>
          <w:sz w:val="24"/>
        </w:rPr>
        <w:t>2</w:t>
      </w:r>
      <w:r>
        <w:rPr>
          <w:rFonts w:hint="eastAsia" w:ascii="宋体" w:hAnsi="宋体"/>
          <w:sz w:val="24"/>
        </w:rPr>
        <w:t>3.</w:t>
      </w:r>
      <w:r>
        <w:rPr>
          <w:rFonts w:ascii="宋体" w:hAnsi="宋体"/>
          <w:sz w:val="24"/>
        </w:rPr>
        <w:t>2</w:t>
      </w:r>
      <w:r>
        <w:rPr>
          <w:rFonts w:hint="eastAsia" w:ascii="宋体" w:hAnsi="宋体"/>
          <w:sz w:val="24"/>
        </w:rPr>
        <w:t>如发现下列情况之一的，其响应将被认定为</w:t>
      </w:r>
      <w:r>
        <w:rPr>
          <w:rFonts w:hint="eastAsia" w:ascii="宋体" w:hAnsi="宋体"/>
          <w:bCs/>
          <w:sz w:val="24"/>
        </w:rPr>
        <w:t>响应无效</w:t>
      </w:r>
      <w:r>
        <w:rPr>
          <w:rFonts w:hint="eastAsia" w:ascii="宋体" w:hAnsi="宋体"/>
          <w:sz w:val="24"/>
        </w:rPr>
        <w:t>：</w:t>
      </w:r>
    </w:p>
    <w:p>
      <w:pPr>
        <w:spacing w:line="360" w:lineRule="auto"/>
        <w:ind w:left="420" w:leftChars="200"/>
        <w:jc w:val="left"/>
        <w:rPr>
          <w:rFonts w:ascii="宋体" w:hAnsi="宋体"/>
          <w:sz w:val="24"/>
        </w:rPr>
      </w:pPr>
      <w:r>
        <w:rPr>
          <w:rFonts w:hint="eastAsia" w:ascii="宋体" w:hAnsi="宋体"/>
          <w:sz w:val="24"/>
        </w:rPr>
        <w:t>（1）</w:t>
      </w:r>
      <w:r>
        <w:rPr>
          <w:rFonts w:hint="eastAsia" w:cs="宋体"/>
          <w:sz w:val="24"/>
        </w:rPr>
        <w:t>不具备《中华人民共和国政府采购法》第二十二条规定条件；</w:t>
      </w:r>
    </w:p>
    <w:p>
      <w:pPr>
        <w:spacing w:line="360" w:lineRule="auto"/>
        <w:ind w:left="420" w:leftChars="200"/>
        <w:jc w:val="left"/>
        <w:rPr>
          <w:rFonts w:ascii="宋体" w:hAnsi="宋体"/>
          <w:sz w:val="24"/>
        </w:rPr>
      </w:pPr>
      <w:r>
        <w:rPr>
          <w:rFonts w:hint="eastAsia" w:ascii="宋体" w:hAnsi="宋体"/>
          <w:sz w:val="24"/>
        </w:rPr>
        <w:t>（2）未按照单一来源采购文件规定要求签署、盖章的；</w:t>
      </w:r>
    </w:p>
    <w:p>
      <w:pPr>
        <w:spacing w:line="360" w:lineRule="auto"/>
        <w:ind w:left="420" w:leftChars="200"/>
        <w:jc w:val="left"/>
        <w:rPr>
          <w:rFonts w:ascii="宋体" w:hAnsi="宋体"/>
          <w:sz w:val="24"/>
        </w:rPr>
      </w:pPr>
      <w:r>
        <w:rPr>
          <w:rFonts w:hint="eastAsia" w:ascii="宋体" w:hAnsi="宋体"/>
          <w:sz w:val="24"/>
        </w:rPr>
        <w:t>（3）响应分项报价表未按要求填写；</w:t>
      </w:r>
    </w:p>
    <w:p>
      <w:pPr>
        <w:spacing w:line="360" w:lineRule="auto"/>
        <w:ind w:left="420" w:leftChars="200"/>
        <w:jc w:val="left"/>
        <w:rPr>
          <w:rFonts w:ascii="宋体" w:hAnsi="宋体"/>
          <w:sz w:val="24"/>
        </w:rPr>
      </w:pPr>
      <w:r>
        <w:rPr>
          <w:rFonts w:hint="eastAsia" w:ascii="宋体" w:hAnsi="宋体"/>
          <w:sz w:val="24"/>
        </w:rPr>
        <w:t>（4）未满足招单一来源采购文件中商务</w:t>
      </w:r>
      <w:r>
        <w:rPr>
          <w:rFonts w:ascii="宋体" w:hAnsi="宋体"/>
          <w:sz w:val="24"/>
        </w:rPr>
        <w:t>和</w:t>
      </w:r>
      <w:r>
        <w:rPr>
          <w:rFonts w:hint="eastAsia" w:ascii="宋体" w:hAnsi="宋体"/>
          <w:sz w:val="24"/>
        </w:rPr>
        <w:t>技术</w:t>
      </w:r>
      <w:r>
        <w:rPr>
          <w:rFonts w:ascii="宋体" w:hAnsi="宋体"/>
          <w:sz w:val="24"/>
        </w:rPr>
        <w:t>条款</w:t>
      </w:r>
      <w:r>
        <w:rPr>
          <w:rFonts w:hint="eastAsia" w:ascii="宋体" w:hAnsi="宋体"/>
          <w:sz w:val="24"/>
        </w:rPr>
        <w:t>的实质性要求的；</w:t>
      </w:r>
    </w:p>
    <w:p>
      <w:pPr>
        <w:spacing w:line="360" w:lineRule="auto"/>
        <w:ind w:firstLine="480" w:firstLineChars="200"/>
        <w:jc w:val="left"/>
        <w:rPr>
          <w:rFonts w:ascii="宋体" w:hAnsi="宋体"/>
          <w:sz w:val="24"/>
        </w:rPr>
      </w:pPr>
      <w:r>
        <w:rPr>
          <w:rFonts w:hint="eastAsia" w:ascii="宋体" w:hAnsi="宋体"/>
          <w:sz w:val="24"/>
        </w:rPr>
        <w:t>（5）未按单一来源采购文件规定提供政府强制采购节能产品证明材料的；</w:t>
      </w:r>
    </w:p>
    <w:p>
      <w:pPr>
        <w:spacing w:line="360" w:lineRule="auto"/>
        <w:ind w:firstLine="480" w:firstLineChars="200"/>
        <w:jc w:val="left"/>
        <w:rPr>
          <w:rFonts w:ascii="宋体" w:hAnsi="宋体"/>
          <w:sz w:val="24"/>
        </w:rPr>
      </w:pPr>
      <w:r>
        <w:rPr>
          <w:rFonts w:hint="eastAsia" w:ascii="宋体" w:hAnsi="宋体"/>
          <w:sz w:val="24"/>
        </w:rPr>
        <w:t>（6）报价超过单一来源采购文件中规定的项目预算或最高限价的、拒绝报价、报价不确定、无报价或</w:t>
      </w:r>
      <w:r>
        <w:rPr>
          <w:rFonts w:hint="eastAsia" w:cs="宋体"/>
          <w:sz w:val="24"/>
          <w:lang w:val="zh-CN"/>
        </w:rPr>
        <w:t>未按采购文件要求报价的</w:t>
      </w:r>
      <w:r>
        <w:rPr>
          <w:rFonts w:hint="eastAsia" w:ascii="宋体" w:hAnsi="宋体"/>
          <w:sz w:val="24"/>
        </w:rPr>
        <w:t>；</w:t>
      </w:r>
    </w:p>
    <w:p>
      <w:pPr>
        <w:spacing w:line="360" w:lineRule="auto"/>
        <w:ind w:firstLine="480" w:firstLineChars="200"/>
        <w:jc w:val="left"/>
        <w:rPr>
          <w:rFonts w:ascii="宋体" w:hAnsi="宋体"/>
          <w:sz w:val="24"/>
        </w:rPr>
      </w:pPr>
      <w:r>
        <w:rPr>
          <w:rFonts w:hint="eastAsia" w:ascii="宋体" w:hAnsi="宋体"/>
          <w:sz w:val="24"/>
        </w:rPr>
        <w:t>（7）响应有效期不足的；</w:t>
      </w:r>
    </w:p>
    <w:p>
      <w:pPr>
        <w:spacing w:line="360" w:lineRule="auto"/>
        <w:ind w:firstLine="480" w:firstLineChars="200"/>
        <w:jc w:val="left"/>
        <w:rPr>
          <w:rFonts w:ascii="宋体" w:hAnsi="宋体"/>
          <w:sz w:val="24"/>
        </w:rPr>
      </w:pPr>
      <w:r>
        <w:rPr>
          <w:rFonts w:hint="eastAsia" w:ascii="宋体" w:hAnsi="宋体"/>
          <w:sz w:val="24"/>
        </w:rPr>
        <w:t>（8）联合体响应文件未附联合体响应协议书的；</w:t>
      </w:r>
    </w:p>
    <w:p>
      <w:pPr>
        <w:spacing w:line="360" w:lineRule="auto"/>
        <w:ind w:firstLine="480" w:firstLineChars="200"/>
        <w:jc w:val="left"/>
        <w:rPr>
          <w:rFonts w:ascii="宋体" w:hAnsi="宋体"/>
          <w:sz w:val="24"/>
        </w:rPr>
      </w:pPr>
      <w:r>
        <w:rPr>
          <w:rFonts w:hint="eastAsia" w:ascii="宋体" w:hAnsi="宋体"/>
          <w:sz w:val="24"/>
        </w:rPr>
        <w:t>（9）不符合单一来源采购文件中有关分包规定的；</w:t>
      </w:r>
    </w:p>
    <w:p>
      <w:pPr>
        <w:spacing w:line="360" w:lineRule="auto"/>
        <w:ind w:firstLine="480" w:firstLineChars="200"/>
        <w:jc w:val="left"/>
        <w:rPr>
          <w:rFonts w:ascii="宋体" w:hAnsi="宋体"/>
          <w:sz w:val="24"/>
        </w:rPr>
      </w:pPr>
      <w:r>
        <w:rPr>
          <w:rFonts w:hint="eastAsia" w:ascii="宋体" w:hAnsi="宋体"/>
          <w:sz w:val="24"/>
        </w:rPr>
        <w:t>（10）属于</w:t>
      </w:r>
      <w:r>
        <w:rPr>
          <w:rFonts w:ascii="宋体" w:hAnsi="宋体"/>
          <w:sz w:val="24"/>
        </w:rPr>
        <w:t>串通</w:t>
      </w:r>
      <w:r>
        <w:rPr>
          <w:rFonts w:hint="eastAsia" w:ascii="宋体" w:hAnsi="宋体"/>
          <w:sz w:val="24"/>
        </w:rPr>
        <w:t>响应，</w:t>
      </w:r>
      <w:r>
        <w:rPr>
          <w:rFonts w:ascii="宋体" w:hAnsi="宋体"/>
          <w:sz w:val="24"/>
        </w:rPr>
        <w:t>或者</w:t>
      </w:r>
      <w:r>
        <w:rPr>
          <w:rFonts w:hint="eastAsia" w:ascii="宋体" w:hAnsi="宋体"/>
          <w:sz w:val="24"/>
        </w:rPr>
        <w:t>依法被视为</w:t>
      </w:r>
      <w:r>
        <w:rPr>
          <w:rFonts w:ascii="宋体" w:hAnsi="宋体"/>
          <w:sz w:val="24"/>
        </w:rPr>
        <w:t>串通</w:t>
      </w:r>
      <w:r>
        <w:rPr>
          <w:rFonts w:hint="eastAsia" w:ascii="宋体" w:hAnsi="宋体"/>
          <w:sz w:val="24"/>
        </w:rPr>
        <w:t>响应；</w:t>
      </w:r>
    </w:p>
    <w:p>
      <w:pPr>
        <w:spacing w:line="360" w:lineRule="auto"/>
        <w:ind w:firstLine="480" w:firstLineChars="200"/>
        <w:jc w:val="left"/>
        <w:rPr>
          <w:rFonts w:ascii="宋体" w:hAnsi="宋体"/>
          <w:sz w:val="24"/>
        </w:rPr>
      </w:pPr>
      <w:r>
        <w:rPr>
          <w:rFonts w:hint="eastAsia" w:ascii="宋体" w:hAnsi="宋体"/>
          <w:sz w:val="24"/>
        </w:rPr>
        <w:t>（11）专业人员小组认为供应商的报价明显低于市场报价，有可能影响货物质量或者不能诚信履约的，要求供应商在规定的时间内提供书面说明，但该供应商未提交相关证明材料以证明其报价合理性的；</w:t>
      </w:r>
    </w:p>
    <w:p>
      <w:pPr>
        <w:spacing w:line="360" w:lineRule="auto"/>
        <w:ind w:firstLine="480" w:firstLineChars="200"/>
        <w:jc w:val="left"/>
        <w:rPr>
          <w:rFonts w:ascii="宋体" w:hAnsi="宋体"/>
          <w:sz w:val="24"/>
        </w:rPr>
      </w:pPr>
      <w:r>
        <w:rPr>
          <w:rFonts w:hint="eastAsia" w:ascii="宋体" w:hAnsi="宋体"/>
          <w:sz w:val="24"/>
        </w:rPr>
        <w:t>（12）单一来源采购文件含有采购人不能接受的附加条件的；</w:t>
      </w:r>
    </w:p>
    <w:p>
      <w:pPr>
        <w:spacing w:line="360" w:lineRule="auto"/>
        <w:ind w:firstLine="480" w:firstLineChars="200"/>
        <w:jc w:val="left"/>
        <w:rPr>
          <w:rFonts w:ascii="宋体" w:hAnsi="宋体"/>
          <w:sz w:val="24"/>
        </w:rPr>
      </w:pPr>
      <w:r>
        <w:rPr>
          <w:rFonts w:hint="eastAsia" w:ascii="宋体" w:hAnsi="宋体"/>
          <w:sz w:val="24"/>
        </w:rPr>
        <w:t>（13）不具备单一来源采购文件中规定的资格要求的；</w:t>
      </w:r>
    </w:p>
    <w:p>
      <w:pPr>
        <w:spacing w:line="360" w:lineRule="auto"/>
        <w:ind w:firstLine="480" w:firstLineChars="200"/>
        <w:jc w:val="left"/>
        <w:rPr>
          <w:rFonts w:ascii="宋体" w:hAnsi="宋体" w:cs="宋体"/>
          <w:sz w:val="24"/>
        </w:rPr>
      </w:pPr>
      <w:r>
        <w:rPr>
          <w:rFonts w:hint="eastAsia" w:ascii="宋体" w:hAnsi="宋体" w:cs="宋体"/>
          <w:sz w:val="24"/>
        </w:rPr>
        <w:t>（14）响应文件未完全满足单一来源采购文件中带有“★”号的条款或指标，或超过单一来源采购文件规定的允许出现偏差的最大范围、幅度和最高项数；</w:t>
      </w:r>
    </w:p>
    <w:p>
      <w:pPr>
        <w:spacing w:line="360" w:lineRule="auto"/>
        <w:ind w:firstLine="480" w:firstLineChars="200"/>
        <w:jc w:val="left"/>
        <w:rPr>
          <w:rFonts w:ascii="宋体" w:hAnsi="宋体" w:cs="宋体"/>
          <w:sz w:val="24"/>
        </w:rPr>
      </w:pPr>
      <w:r>
        <w:rPr>
          <w:rFonts w:hint="eastAsia" w:ascii="宋体" w:hAnsi="宋体" w:cs="宋体"/>
          <w:sz w:val="24"/>
        </w:rPr>
        <w:t>（15）响应文件提供虚假材料；</w:t>
      </w:r>
    </w:p>
    <w:p>
      <w:pPr>
        <w:spacing w:line="360" w:lineRule="auto"/>
        <w:ind w:firstLine="480" w:firstLineChars="200"/>
        <w:jc w:val="left"/>
        <w:rPr>
          <w:rFonts w:ascii="宋体" w:hAnsi="宋体" w:cs="宋体"/>
          <w:sz w:val="24"/>
        </w:rPr>
      </w:pPr>
      <w:r>
        <w:rPr>
          <w:rFonts w:hint="eastAsia" w:ascii="宋体" w:hAnsi="宋体" w:cs="宋体"/>
          <w:sz w:val="24"/>
        </w:rPr>
        <w:t>（16）对采购人、采购代理机构、</w:t>
      </w:r>
      <w:r>
        <w:rPr>
          <w:rFonts w:hint="eastAsia" w:ascii="宋体" w:hAnsi="宋体"/>
          <w:sz w:val="24"/>
        </w:rPr>
        <w:t>专业人员小组</w:t>
      </w:r>
      <w:r>
        <w:rPr>
          <w:rFonts w:hint="eastAsia" w:ascii="宋体" w:hAnsi="宋体" w:cs="宋体"/>
          <w:sz w:val="24"/>
        </w:rPr>
        <w:t>及其他工作人员施加影响，有碍公平、公正；</w:t>
      </w:r>
    </w:p>
    <w:p>
      <w:pPr>
        <w:spacing w:line="360" w:lineRule="auto"/>
        <w:ind w:firstLine="480" w:firstLineChars="200"/>
        <w:jc w:val="left"/>
        <w:rPr>
          <w:rFonts w:ascii="宋体" w:hAnsi="宋体" w:cs="宋体"/>
          <w:sz w:val="24"/>
        </w:rPr>
      </w:pPr>
      <w:r>
        <w:rPr>
          <w:rFonts w:hint="eastAsia" w:ascii="宋体" w:hAnsi="宋体" w:cs="宋体"/>
          <w:sz w:val="24"/>
        </w:rPr>
        <w:t>（17）供应商递交的电子响应文件均无法满足正常开标、评标使用功能的；</w:t>
      </w:r>
    </w:p>
    <w:p>
      <w:pPr>
        <w:spacing w:line="360" w:lineRule="auto"/>
        <w:ind w:firstLine="480" w:firstLineChars="200"/>
        <w:jc w:val="left"/>
        <w:rPr>
          <w:rFonts w:ascii="宋体" w:hAnsi="宋体" w:cs="宋体"/>
          <w:sz w:val="24"/>
          <w:lang w:val="zh-CN"/>
        </w:rPr>
      </w:pPr>
      <w:r>
        <w:rPr>
          <w:rFonts w:hint="eastAsia" w:ascii="宋体" w:hAnsi="宋体" w:cs="宋体"/>
          <w:sz w:val="24"/>
        </w:rPr>
        <w:t>（18）</w:t>
      </w:r>
      <w:r>
        <w:rPr>
          <w:rFonts w:hint="eastAsia" w:ascii="宋体" w:hAnsi="宋体" w:cs="宋体"/>
          <w:sz w:val="24"/>
          <w:lang w:val="zh-CN"/>
        </w:rPr>
        <w:t>由于供应商的自身原因，（包括但不限于以下情况：忘记 CA 锁密码、CA 锁过期、上传</w:t>
      </w:r>
      <w:r>
        <w:rPr>
          <w:rFonts w:hint="eastAsia" w:ascii="宋体" w:hAnsi="宋体" w:cs="宋体"/>
          <w:sz w:val="24"/>
        </w:rPr>
        <w:t>响应</w:t>
      </w:r>
      <w:r>
        <w:rPr>
          <w:rFonts w:hint="eastAsia" w:ascii="宋体" w:hAnsi="宋体" w:cs="宋体"/>
          <w:sz w:val="24"/>
          <w:lang w:val="zh-CN"/>
        </w:rPr>
        <w:t>文件后更新 CA 锁），在规定时间内解密不成功的；</w:t>
      </w:r>
    </w:p>
    <w:p>
      <w:pPr>
        <w:spacing w:line="360" w:lineRule="auto"/>
        <w:ind w:firstLine="480" w:firstLineChars="200"/>
        <w:jc w:val="left"/>
        <w:rPr>
          <w:rFonts w:ascii="宋体" w:hAnsi="宋体"/>
          <w:sz w:val="24"/>
        </w:rPr>
      </w:pPr>
      <w:r>
        <w:rPr>
          <w:rFonts w:hint="eastAsia" w:ascii="宋体" w:hAnsi="宋体"/>
          <w:sz w:val="24"/>
        </w:rPr>
        <w:t>（19）属于单一来源采购文件规定的其他响应无效情形；</w:t>
      </w:r>
    </w:p>
    <w:p>
      <w:pPr>
        <w:spacing w:line="360" w:lineRule="auto"/>
        <w:ind w:firstLine="480" w:firstLineChars="200"/>
        <w:jc w:val="left"/>
        <w:rPr>
          <w:rFonts w:ascii="宋体" w:hAnsi="宋体"/>
          <w:sz w:val="24"/>
        </w:rPr>
      </w:pPr>
      <w:r>
        <w:rPr>
          <w:rFonts w:hint="eastAsia" w:ascii="宋体" w:hAnsi="宋体"/>
          <w:sz w:val="24"/>
        </w:rPr>
        <w:t>（20）不符合法律法规和单一来源采购文件规定的其他无效情形。</w:t>
      </w:r>
    </w:p>
    <w:p>
      <w:pPr>
        <w:spacing w:before="0" w:after="0" w:line="360" w:lineRule="auto"/>
        <w:outlineLvl w:val="9"/>
        <w:rPr>
          <w:rFonts w:hAnsi="宋体"/>
          <w:b/>
          <w:bCs/>
          <w:sz w:val="24"/>
          <w:szCs w:val="24"/>
          <w:u w:val="none"/>
        </w:rPr>
      </w:pPr>
      <w:bookmarkStart w:id="154" w:name="_Toc5826"/>
      <w:bookmarkStart w:id="155" w:name="_Toc13652"/>
      <w:bookmarkStart w:id="156" w:name="_Toc515647784"/>
      <w:bookmarkStart w:id="157" w:name="_Toc22941"/>
      <w:bookmarkStart w:id="158" w:name="_Toc25723"/>
      <w:r>
        <w:rPr>
          <w:rFonts w:hint="eastAsia" w:hAnsi="宋体"/>
          <w:b/>
          <w:bCs/>
          <w:sz w:val="24"/>
          <w:szCs w:val="24"/>
          <w:u w:val="none"/>
        </w:rPr>
        <w:t>24.</w:t>
      </w:r>
      <w:bookmarkEnd w:id="154"/>
      <w:bookmarkEnd w:id="155"/>
      <w:bookmarkEnd w:id="156"/>
      <w:bookmarkEnd w:id="157"/>
      <w:r>
        <w:rPr>
          <w:rFonts w:hint="eastAsia" w:hAnsi="宋体"/>
          <w:b/>
          <w:bCs/>
          <w:sz w:val="24"/>
          <w:szCs w:val="24"/>
          <w:u w:val="none"/>
        </w:rPr>
        <w:t>商定</w:t>
      </w:r>
      <w:bookmarkEnd w:id="158"/>
    </w:p>
    <w:p>
      <w:pPr>
        <w:tabs>
          <w:tab w:val="left" w:pos="0"/>
        </w:tabs>
        <w:spacing w:line="360" w:lineRule="auto"/>
        <w:ind w:left="2" w:firstLine="480" w:firstLineChars="200"/>
      </w:pPr>
      <w:r>
        <w:rPr>
          <w:rFonts w:hint="eastAsia" w:ascii="宋体" w:hAnsi="宋体"/>
          <w:sz w:val="24"/>
        </w:rPr>
        <w:t>24.1专业人员小组在保证项目质量和合理价格的基础上，与供应商商定合理价格及其他相关内容。对于调整内容，供应商</w:t>
      </w:r>
      <w:r>
        <w:rPr>
          <w:rFonts w:hint="eastAsia" w:ascii="宋体" w:hAnsi="宋体" w:cs="宋体"/>
          <w:sz w:val="24"/>
        </w:rPr>
        <w:t>法定代表人（非法人组织的负责人）其授权代表</w:t>
      </w:r>
      <w:r>
        <w:rPr>
          <w:rFonts w:hint="eastAsia" w:ascii="宋体" w:hAnsi="宋体"/>
          <w:sz w:val="24"/>
        </w:rPr>
        <w:t>作出说明并</w:t>
      </w:r>
      <w:r>
        <w:rPr>
          <w:rFonts w:hint="eastAsia" w:ascii="宋体" w:hAnsi="宋体" w:cs="宋体"/>
          <w:sz w:val="24"/>
        </w:rPr>
        <w:t>签章</w:t>
      </w:r>
      <w:r>
        <w:rPr>
          <w:rFonts w:hint="eastAsia" w:ascii="宋体" w:hAnsi="宋体"/>
          <w:sz w:val="24"/>
        </w:rPr>
        <w:t>确认。</w:t>
      </w:r>
    </w:p>
    <w:p>
      <w:pPr>
        <w:spacing w:line="360" w:lineRule="auto"/>
        <w:ind w:firstLine="480" w:firstLineChars="200"/>
        <w:jc w:val="left"/>
        <w:rPr>
          <w:rFonts w:ascii="宋体" w:hAnsi="宋体"/>
          <w:sz w:val="24"/>
        </w:rPr>
      </w:pPr>
      <w:r>
        <w:rPr>
          <w:rFonts w:ascii="宋体" w:hAnsi="宋体"/>
          <w:sz w:val="24"/>
        </w:rPr>
        <w:t>2</w:t>
      </w:r>
      <w:r>
        <w:rPr>
          <w:rFonts w:hint="eastAsia" w:ascii="宋体" w:hAnsi="宋体"/>
          <w:sz w:val="24"/>
        </w:rPr>
        <w:t>4.2商定严格按照单一来源采购文件的要求和条件进行。详细评标标准见单一来源采购文件第四章。</w:t>
      </w:r>
    </w:p>
    <w:p>
      <w:pPr>
        <w:spacing w:line="360" w:lineRule="auto"/>
        <w:ind w:firstLine="480" w:firstLineChars="200"/>
        <w:jc w:val="left"/>
        <w:rPr>
          <w:rFonts w:ascii="宋体" w:hAnsi="宋体"/>
          <w:sz w:val="24"/>
        </w:rPr>
      </w:pPr>
      <w:r>
        <w:rPr>
          <w:rFonts w:hint="eastAsia" w:ascii="宋体" w:hAnsi="宋体"/>
          <w:sz w:val="24"/>
        </w:rPr>
        <w:t>24.3专业人员小组按照单一来源采购文件要求对供应商的评审结果进行复核，并签字确认。</w:t>
      </w:r>
    </w:p>
    <w:p>
      <w:pPr>
        <w:spacing w:line="360" w:lineRule="auto"/>
        <w:ind w:firstLine="480" w:firstLineChars="200"/>
        <w:jc w:val="left"/>
        <w:rPr>
          <w:rFonts w:ascii="宋体" w:hAnsi="宋体"/>
          <w:sz w:val="24"/>
        </w:rPr>
      </w:pPr>
      <w:r>
        <w:rPr>
          <w:rFonts w:hint="eastAsia" w:ascii="宋体" w:hAnsi="宋体"/>
          <w:sz w:val="24"/>
        </w:rPr>
        <w:t>24.4专业人员小组会判断响应文件的响应性仅基于响应文件本身而不靠外部因素。专业人员小组将拒绝被确定为非实质性响应的响应，供应商不能通过修正或撤销不符之处而使其响应成为实质性响应的。专业人员小组可以允许供应商修改其响应文件中不构成实质偏离的、微小的、非正规的不一致或不规则的地方。</w:t>
      </w:r>
    </w:p>
    <w:p>
      <w:pPr>
        <w:spacing w:line="360" w:lineRule="auto"/>
        <w:ind w:firstLine="480" w:firstLineChars="200"/>
        <w:jc w:val="left"/>
        <w:rPr>
          <w:rFonts w:ascii="宋体" w:hAnsi="宋体"/>
          <w:sz w:val="24"/>
        </w:rPr>
      </w:pPr>
      <w:r>
        <w:rPr>
          <w:rFonts w:hint="eastAsia" w:ascii="宋体" w:hAnsi="宋体"/>
          <w:sz w:val="24"/>
        </w:rPr>
        <w:t>24.5评标过程要求：电子开标、评标如出现下列情形，导致网上开评标系统无法正常运行或无法正常评审时，应采取应急措施。</w:t>
      </w:r>
    </w:p>
    <w:p>
      <w:pPr>
        <w:spacing w:line="360" w:lineRule="auto"/>
        <w:ind w:firstLine="480" w:firstLineChars="200"/>
        <w:jc w:val="left"/>
        <w:rPr>
          <w:rFonts w:ascii="宋体" w:hAnsi="宋体"/>
          <w:sz w:val="24"/>
        </w:rPr>
      </w:pPr>
      <w:r>
        <w:rPr>
          <w:rFonts w:hint="eastAsia" w:ascii="宋体" w:hAnsi="宋体"/>
          <w:sz w:val="24"/>
        </w:rPr>
        <w:t>（1）系统服务器发生故障，无法访问或无法使用系统；</w:t>
      </w:r>
    </w:p>
    <w:p>
      <w:pPr>
        <w:spacing w:line="360" w:lineRule="auto"/>
        <w:ind w:firstLine="480" w:firstLineChars="200"/>
        <w:jc w:val="left"/>
        <w:rPr>
          <w:rFonts w:ascii="宋体" w:hAnsi="宋体"/>
          <w:sz w:val="24"/>
        </w:rPr>
      </w:pPr>
      <w:r>
        <w:rPr>
          <w:rFonts w:hint="eastAsia" w:ascii="宋体" w:hAnsi="宋体"/>
          <w:sz w:val="24"/>
        </w:rPr>
        <w:t>（2）系统的软件或数据库出现错误，不能进行正常操作；</w:t>
      </w:r>
    </w:p>
    <w:p>
      <w:pPr>
        <w:spacing w:line="360" w:lineRule="auto"/>
        <w:ind w:firstLine="480" w:firstLineChars="200"/>
        <w:jc w:val="left"/>
        <w:rPr>
          <w:rFonts w:ascii="宋体" w:hAnsi="宋体"/>
          <w:sz w:val="24"/>
        </w:rPr>
      </w:pPr>
      <w:r>
        <w:rPr>
          <w:rFonts w:hint="eastAsia" w:ascii="宋体" w:hAnsi="宋体"/>
          <w:sz w:val="24"/>
        </w:rPr>
        <w:t>（3）系统发现有安全漏洞，存在潜在的泄密危险；</w:t>
      </w:r>
    </w:p>
    <w:p>
      <w:pPr>
        <w:spacing w:line="360" w:lineRule="auto"/>
        <w:ind w:firstLine="480" w:firstLineChars="200"/>
        <w:jc w:val="left"/>
        <w:rPr>
          <w:rFonts w:ascii="宋体" w:hAnsi="宋体"/>
          <w:sz w:val="24"/>
        </w:rPr>
      </w:pPr>
      <w:r>
        <w:rPr>
          <w:rFonts w:hint="eastAsia" w:ascii="宋体" w:hAnsi="宋体"/>
          <w:sz w:val="24"/>
        </w:rPr>
        <w:t>（4）病毒发作或受到外来病毒的攻击；</w:t>
      </w:r>
    </w:p>
    <w:p>
      <w:pPr>
        <w:spacing w:line="360" w:lineRule="auto"/>
        <w:ind w:firstLine="480" w:firstLineChars="200"/>
        <w:jc w:val="left"/>
        <w:rPr>
          <w:rFonts w:ascii="宋体" w:hAnsi="宋体"/>
          <w:sz w:val="24"/>
        </w:rPr>
      </w:pPr>
      <w:r>
        <w:rPr>
          <w:rFonts w:hint="eastAsia" w:ascii="宋体" w:hAnsi="宋体"/>
          <w:sz w:val="24"/>
        </w:rPr>
        <w:t xml:space="preserve">（5）出现其他不可抗拒的客观原因造成网上开评标系统无法正常使用。 </w:t>
      </w:r>
    </w:p>
    <w:p>
      <w:pPr>
        <w:spacing w:line="360" w:lineRule="auto"/>
        <w:ind w:firstLine="480" w:firstLineChars="200"/>
        <w:jc w:val="left"/>
        <w:rPr>
          <w:rFonts w:hAnsi="宋体"/>
        </w:rPr>
      </w:pPr>
      <w:r>
        <w:rPr>
          <w:rFonts w:hint="eastAsia" w:ascii="宋体" w:hAnsi="宋体"/>
          <w:sz w:val="24"/>
        </w:rPr>
        <w:t>出现上述情况时，应对未开标的暂停开标。已在系统内开标、评标的立即停止。采取应急措施时，必须对原有资料及信息作出妥善保密处理。</w:t>
      </w:r>
    </w:p>
    <w:p>
      <w:pPr>
        <w:spacing w:before="0" w:after="0" w:line="360" w:lineRule="auto"/>
        <w:outlineLvl w:val="9"/>
        <w:rPr>
          <w:rFonts w:hAnsi="宋体"/>
          <w:b/>
          <w:bCs/>
          <w:sz w:val="24"/>
          <w:szCs w:val="24"/>
          <w:u w:val="none"/>
        </w:rPr>
      </w:pPr>
      <w:bookmarkStart w:id="159" w:name="_Toc5005"/>
      <w:r>
        <w:rPr>
          <w:rFonts w:hint="eastAsia" w:hAnsi="宋体"/>
          <w:b/>
          <w:bCs/>
          <w:sz w:val="24"/>
          <w:szCs w:val="24"/>
          <w:u w:val="none"/>
        </w:rPr>
        <w:t>25.项目终止</w:t>
      </w:r>
      <w:bookmarkEnd w:id="159"/>
    </w:p>
    <w:p>
      <w:pPr>
        <w:spacing w:line="360" w:lineRule="auto"/>
        <w:ind w:firstLine="480" w:firstLineChars="200"/>
        <w:rPr>
          <w:rFonts w:ascii="宋体" w:hAnsi="宋体" w:cs="宋体"/>
          <w:sz w:val="24"/>
        </w:rPr>
      </w:pPr>
      <w:r>
        <w:rPr>
          <w:rFonts w:hint="eastAsia" w:ascii="宋体" w:hAnsi="宋体" w:cs="宋体"/>
          <w:sz w:val="24"/>
        </w:rPr>
        <w:t>出现下列情形之一的，采购人或者采购代理机构应当终止采购活动，发布项目终止公告并说明原因，重新开展采购活动：</w:t>
      </w:r>
    </w:p>
    <w:p>
      <w:pPr>
        <w:numPr>
          <w:ilvl w:val="0"/>
          <w:numId w:val="2"/>
        </w:numPr>
        <w:spacing w:line="360" w:lineRule="auto"/>
        <w:ind w:firstLine="480" w:firstLineChars="200"/>
        <w:rPr>
          <w:rFonts w:ascii="宋体" w:hAnsi="宋体" w:cs="宋体"/>
          <w:sz w:val="24"/>
        </w:rPr>
      </w:pPr>
      <w:bookmarkStart w:id="160" w:name="_Toc15096"/>
      <w:r>
        <w:rPr>
          <w:rFonts w:hint="eastAsia" w:ascii="宋体" w:hAnsi="宋体" w:cs="宋体"/>
          <w:sz w:val="24"/>
        </w:rPr>
        <w:t>因情况变化，不再符合规定的单一来源采购方式适用情形的；</w:t>
      </w:r>
      <w:bookmarkEnd w:id="160"/>
    </w:p>
    <w:p>
      <w:pPr>
        <w:numPr>
          <w:ilvl w:val="0"/>
          <w:numId w:val="2"/>
        </w:numPr>
        <w:spacing w:line="360" w:lineRule="auto"/>
        <w:ind w:firstLine="480" w:firstLineChars="200"/>
        <w:rPr>
          <w:rFonts w:ascii="宋体" w:hAnsi="宋体" w:cs="宋体"/>
          <w:sz w:val="24"/>
        </w:rPr>
      </w:pPr>
      <w:r>
        <w:rPr>
          <w:rFonts w:hint="eastAsia" w:ascii="宋体" w:hAnsi="宋体" w:cs="宋体"/>
          <w:sz w:val="24"/>
        </w:rPr>
        <w:t>出现影响采购公正的违法、违规行为的；</w:t>
      </w:r>
    </w:p>
    <w:p>
      <w:pPr>
        <w:spacing w:line="360" w:lineRule="auto"/>
        <w:ind w:firstLine="480" w:firstLineChars="200"/>
      </w:pPr>
      <w:bookmarkStart w:id="161" w:name="_Toc27335"/>
      <w:r>
        <w:rPr>
          <w:rFonts w:hint="eastAsia" w:ascii="宋体" w:hAnsi="宋体" w:cs="宋体"/>
          <w:sz w:val="24"/>
        </w:rPr>
        <w:t>（三）报价超过采购预算的。</w:t>
      </w:r>
      <w:bookmarkEnd w:id="161"/>
    </w:p>
    <w:p>
      <w:pPr>
        <w:spacing w:before="0" w:after="0" w:line="360" w:lineRule="auto"/>
        <w:outlineLvl w:val="9"/>
        <w:rPr>
          <w:rFonts w:hAnsi="宋体"/>
          <w:b/>
          <w:bCs/>
          <w:sz w:val="24"/>
          <w:szCs w:val="24"/>
          <w:u w:val="none"/>
        </w:rPr>
      </w:pPr>
      <w:bookmarkStart w:id="162" w:name="_Toc23900"/>
      <w:r>
        <w:rPr>
          <w:rFonts w:hint="eastAsia" w:hAnsi="宋体"/>
          <w:b/>
          <w:bCs/>
          <w:sz w:val="24"/>
          <w:szCs w:val="24"/>
          <w:u w:val="none"/>
        </w:rPr>
        <w:t>26.保密</w:t>
      </w:r>
      <w:bookmarkEnd w:id="137"/>
      <w:bookmarkEnd w:id="138"/>
      <w:bookmarkEnd w:id="139"/>
      <w:r>
        <w:rPr>
          <w:rFonts w:hint="eastAsia" w:hAnsi="宋体"/>
          <w:b/>
          <w:bCs/>
          <w:sz w:val="24"/>
          <w:szCs w:val="24"/>
          <w:u w:val="none"/>
        </w:rPr>
        <w:t>要求</w:t>
      </w:r>
      <w:bookmarkEnd w:id="162"/>
    </w:p>
    <w:p>
      <w:pPr>
        <w:tabs>
          <w:tab w:val="left" w:pos="0"/>
        </w:tabs>
        <w:spacing w:line="360" w:lineRule="auto"/>
        <w:ind w:left="2" w:firstLine="480" w:firstLineChars="200"/>
        <w:rPr>
          <w:rFonts w:ascii="宋体" w:hAnsi="宋体"/>
          <w:sz w:val="24"/>
        </w:rPr>
      </w:pPr>
      <w:r>
        <w:rPr>
          <w:rFonts w:hint="eastAsia" w:ascii="宋体" w:hAnsi="宋体"/>
          <w:sz w:val="24"/>
        </w:rPr>
        <w:t>26.1评审将在严格保密的情况下进行。</w:t>
      </w:r>
    </w:p>
    <w:p>
      <w:pPr>
        <w:tabs>
          <w:tab w:val="left" w:pos="0"/>
        </w:tabs>
        <w:spacing w:line="360" w:lineRule="auto"/>
        <w:ind w:left="2" w:firstLine="480" w:firstLineChars="200"/>
        <w:rPr>
          <w:rFonts w:ascii="宋体" w:hAnsi="宋体"/>
          <w:sz w:val="28"/>
          <w:szCs w:val="28"/>
        </w:rPr>
      </w:pPr>
      <w:r>
        <w:rPr>
          <w:rFonts w:hint="eastAsia" w:ascii="宋体" w:hAnsi="宋体"/>
          <w:sz w:val="24"/>
        </w:rPr>
        <w:t>26.2政府采购评审</w:t>
      </w:r>
      <w:r>
        <w:rPr>
          <w:rFonts w:ascii="宋体" w:hAnsi="宋体"/>
          <w:sz w:val="24"/>
        </w:rPr>
        <w:t>专家应当</w:t>
      </w:r>
      <w:r>
        <w:rPr>
          <w:rFonts w:hint="eastAsia" w:ascii="宋体" w:hAnsi="宋体"/>
          <w:sz w:val="24"/>
        </w:rPr>
        <w:t>遵</w:t>
      </w:r>
      <w:r>
        <w:rPr>
          <w:rFonts w:ascii="宋体" w:hAnsi="宋体"/>
          <w:sz w:val="24"/>
        </w:rPr>
        <w:t>守</w:t>
      </w:r>
      <w:r>
        <w:rPr>
          <w:rFonts w:hint="eastAsia" w:ascii="宋体" w:hAnsi="宋体"/>
          <w:sz w:val="24"/>
        </w:rPr>
        <w:t>评审</w:t>
      </w:r>
      <w:r>
        <w:rPr>
          <w:rFonts w:ascii="宋体" w:hAnsi="宋体"/>
          <w:sz w:val="24"/>
        </w:rPr>
        <w:t>工作纪律，不得</w:t>
      </w:r>
      <w:r>
        <w:rPr>
          <w:rFonts w:hint="eastAsia" w:ascii="宋体" w:hAnsi="宋体"/>
          <w:sz w:val="24"/>
        </w:rPr>
        <w:t>泄露单一来源采购文件</w:t>
      </w:r>
      <w:r>
        <w:rPr>
          <w:rFonts w:ascii="宋体" w:hAnsi="宋体"/>
          <w:sz w:val="24"/>
        </w:rPr>
        <w:t>、</w:t>
      </w:r>
      <w:r>
        <w:rPr>
          <w:rFonts w:hint="eastAsia" w:ascii="宋体" w:hAnsi="宋体"/>
          <w:sz w:val="24"/>
        </w:rPr>
        <w:t>评审</w:t>
      </w:r>
      <w:r>
        <w:rPr>
          <w:rFonts w:ascii="宋体" w:hAnsi="宋体"/>
          <w:sz w:val="24"/>
        </w:rPr>
        <w:t>情况和</w:t>
      </w:r>
      <w:r>
        <w:rPr>
          <w:rFonts w:hint="eastAsia" w:ascii="宋体" w:hAnsi="宋体"/>
          <w:sz w:val="24"/>
        </w:rPr>
        <w:t>评审</w:t>
      </w:r>
      <w:r>
        <w:rPr>
          <w:rFonts w:ascii="宋体" w:hAnsi="宋体"/>
          <w:sz w:val="24"/>
        </w:rPr>
        <w:t>中获悉的商业秘密。</w:t>
      </w:r>
      <w:bookmarkStart w:id="163" w:name="_Toc515647787"/>
      <w:bookmarkStart w:id="164" w:name="_Toc12143"/>
      <w:bookmarkStart w:id="165" w:name="_Toc25350"/>
      <w:bookmarkStart w:id="166" w:name="_Toc216582810"/>
      <w:bookmarkStart w:id="167" w:name="_Toc23904"/>
    </w:p>
    <w:p>
      <w:pPr>
        <w:pStyle w:val="4"/>
        <w:spacing w:before="0" w:line="360" w:lineRule="auto"/>
        <w:ind w:left="565" w:leftChars="12" w:hanging="540"/>
        <w:rPr>
          <w:rFonts w:hAnsi="宋体"/>
        </w:rPr>
      </w:pPr>
      <w:bookmarkStart w:id="168" w:name="_Toc21944"/>
      <w:r>
        <w:rPr>
          <w:rFonts w:hint="eastAsia" w:ascii="宋体" w:hAnsi="宋体" w:eastAsia="宋体"/>
          <w:sz w:val="28"/>
          <w:szCs w:val="28"/>
        </w:rPr>
        <w:t>六</w:t>
      </w:r>
      <w:bookmarkEnd w:id="140"/>
      <w:r>
        <w:rPr>
          <w:rFonts w:hint="eastAsia" w:ascii="宋体" w:hAnsi="宋体" w:eastAsia="宋体"/>
          <w:sz w:val="28"/>
          <w:szCs w:val="28"/>
        </w:rPr>
        <w:t>、确定成交</w:t>
      </w:r>
      <w:bookmarkEnd w:id="163"/>
      <w:bookmarkEnd w:id="164"/>
      <w:bookmarkEnd w:id="165"/>
      <w:bookmarkEnd w:id="166"/>
      <w:bookmarkEnd w:id="167"/>
      <w:bookmarkEnd w:id="168"/>
    </w:p>
    <w:p>
      <w:pPr>
        <w:tabs>
          <w:tab w:val="left" w:pos="900"/>
        </w:tabs>
        <w:spacing w:before="0" w:after="0" w:line="360" w:lineRule="auto"/>
        <w:outlineLvl w:val="9"/>
        <w:rPr>
          <w:rFonts w:hAnsi="宋体"/>
          <w:b/>
          <w:bCs/>
          <w:sz w:val="24"/>
          <w:szCs w:val="24"/>
          <w:u w:val="none"/>
        </w:rPr>
      </w:pPr>
      <w:bookmarkStart w:id="169" w:name="_Toc9653"/>
      <w:bookmarkStart w:id="170" w:name="_Toc20346"/>
      <w:bookmarkStart w:id="171" w:name="_Toc23951"/>
      <w:bookmarkStart w:id="172" w:name="_Toc515647789"/>
      <w:r>
        <w:rPr>
          <w:rFonts w:hint="eastAsia" w:hAnsi="宋体"/>
          <w:b/>
          <w:bCs/>
          <w:sz w:val="24"/>
          <w:szCs w:val="24"/>
          <w:u w:val="none"/>
        </w:rPr>
        <w:t>27.确定成交供应商</w:t>
      </w:r>
      <w:bookmarkEnd w:id="169"/>
      <w:bookmarkEnd w:id="170"/>
      <w:bookmarkEnd w:id="171"/>
      <w:bookmarkEnd w:id="172"/>
    </w:p>
    <w:p>
      <w:pPr>
        <w:spacing w:line="360" w:lineRule="auto"/>
        <w:ind w:left="1080" w:leftChars="257" w:hanging="540"/>
        <w:rPr>
          <w:rFonts w:ascii="宋体" w:hAnsi="宋体"/>
          <w:sz w:val="24"/>
        </w:rPr>
      </w:pPr>
      <w:r>
        <w:rPr>
          <w:rFonts w:hint="eastAsia" w:ascii="宋体" w:hAnsi="宋体"/>
          <w:sz w:val="24"/>
        </w:rPr>
        <w:t>采购人按照协商结果确定成交供应商。</w:t>
      </w:r>
    </w:p>
    <w:p>
      <w:pPr>
        <w:spacing w:before="0" w:after="0" w:line="360" w:lineRule="auto"/>
        <w:outlineLvl w:val="9"/>
        <w:rPr>
          <w:rFonts w:hAnsi="宋体"/>
          <w:b/>
          <w:bCs/>
          <w:sz w:val="24"/>
          <w:szCs w:val="24"/>
          <w:u w:val="none"/>
        </w:rPr>
      </w:pPr>
      <w:bookmarkStart w:id="173" w:name="_Toc4278"/>
      <w:bookmarkStart w:id="174" w:name="_Toc27139"/>
      <w:r>
        <w:rPr>
          <w:rFonts w:hint="eastAsia" w:hAnsi="宋体"/>
          <w:b/>
          <w:bCs/>
          <w:sz w:val="24"/>
          <w:szCs w:val="24"/>
          <w:u w:val="none"/>
        </w:rPr>
        <w:t>28.采购任务取消</w:t>
      </w:r>
      <w:bookmarkEnd w:id="173"/>
      <w:bookmarkEnd w:id="174"/>
    </w:p>
    <w:p>
      <w:pPr>
        <w:spacing w:line="360" w:lineRule="auto"/>
        <w:ind w:firstLine="480" w:firstLineChars="200"/>
        <w:jc w:val="left"/>
      </w:pPr>
      <w:r>
        <w:rPr>
          <w:rFonts w:hint="eastAsia" w:ascii="宋体" w:hAnsi="宋体"/>
          <w:sz w:val="24"/>
        </w:rPr>
        <w:t>因重大变故采购任务取消时，采购人有权拒绝任何供应商成交，且对受影响的供应商不承担任何责任。</w:t>
      </w:r>
    </w:p>
    <w:p>
      <w:pPr>
        <w:spacing w:before="0" w:after="0" w:line="360" w:lineRule="auto"/>
        <w:outlineLvl w:val="9"/>
        <w:rPr>
          <w:rFonts w:hAnsi="宋体"/>
          <w:b/>
          <w:bCs/>
          <w:sz w:val="24"/>
          <w:szCs w:val="24"/>
          <w:u w:val="none"/>
        </w:rPr>
      </w:pPr>
      <w:bookmarkStart w:id="175" w:name="_Toc520356174"/>
      <w:bookmarkStart w:id="176" w:name="_Toc518923095"/>
      <w:bookmarkStart w:id="177" w:name="_Toc19087101"/>
      <w:bookmarkStart w:id="178" w:name="_Toc31853"/>
      <w:r>
        <w:rPr>
          <w:rFonts w:hint="eastAsia" w:hAnsi="宋体"/>
          <w:b/>
          <w:bCs/>
          <w:sz w:val="24"/>
          <w:szCs w:val="24"/>
          <w:u w:val="none"/>
        </w:rPr>
        <w:t>29.发出成交</w:t>
      </w:r>
      <w:bookmarkEnd w:id="175"/>
      <w:r>
        <w:rPr>
          <w:rFonts w:hint="eastAsia" w:hAnsi="宋体"/>
          <w:b/>
          <w:bCs/>
          <w:sz w:val="24"/>
          <w:szCs w:val="24"/>
          <w:u w:val="none"/>
        </w:rPr>
        <w:t>通知书</w:t>
      </w:r>
      <w:bookmarkEnd w:id="176"/>
      <w:bookmarkEnd w:id="177"/>
      <w:bookmarkEnd w:id="178"/>
    </w:p>
    <w:p>
      <w:pPr>
        <w:tabs>
          <w:tab w:val="left" w:pos="0"/>
        </w:tabs>
        <w:spacing w:line="360" w:lineRule="auto"/>
        <w:ind w:left="2" w:firstLine="480" w:firstLineChars="200"/>
        <w:rPr>
          <w:rFonts w:ascii="宋体" w:hAnsi="宋体"/>
          <w:sz w:val="24"/>
        </w:rPr>
      </w:pPr>
      <w:r>
        <w:rPr>
          <w:rFonts w:hint="eastAsia" w:ascii="宋体" w:hAnsi="宋体"/>
          <w:sz w:val="24"/>
        </w:rPr>
        <w:t>在响应有效期内，成交供应商确定后，向成交供应商发出成交通知书，成交通知书是合同的组成部分。</w:t>
      </w:r>
    </w:p>
    <w:p>
      <w:pPr>
        <w:spacing w:before="0" w:after="0" w:line="360" w:lineRule="auto"/>
        <w:outlineLvl w:val="9"/>
        <w:rPr>
          <w:rFonts w:hAnsi="宋体"/>
          <w:b/>
          <w:bCs/>
          <w:kern w:val="2"/>
          <w:sz w:val="24"/>
          <w:szCs w:val="24"/>
          <w:u w:val="none"/>
        </w:rPr>
      </w:pPr>
      <w:bookmarkStart w:id="179" w:name="_Ref467307204"/>
      <w:bookmarkStart w:id="180" w:name="_Ref467306377"/>
      <w:bookmarkStart w:id="181" w:name="_Toc520356175"/>
      <w:bookmarkStart w:id="182" w:name="_Ref467306978"/>
      <w:bookmarkStart w:id="183" w:name="_Toc8566"/>
      <w:bookmarkStart w:id="184" w:name="_Toc19087104"/>
      <w:bookmarkStart w:id="185" w:name="_Toc518923096"/>
      <w:bookmarkStart w:id="186" w:name="_Ref467307062"/>
      <w:r>
        <w:rPr>
          <w:rFonts w:hint="eastAsia" w:hAnsi="宋体"/>
          <w:b/>
          <w:bCs/>
          <w:kern w:val="2"/>
          <w:sz w:val="24"/>
          <w:szCs w:val="24"/>
          <w:u w:val="none"/>
        </w:rPr>
        <w:t>30.签订合同</w:t>
      </w:r>
      <w:bookmarkEnd w:id="179"/>
      <w:bookmarkEnd w:id="180"/>
      <w:bookmarkEnd w:id="181"/>
      <w:bookmarkEnd w:id="182"/>
      <w:bookmarkEnd w:id="183"/>
      <w:bookmarkEnd w:id="184"/>
      <w:bookmarkEnd w:id="185"/>
      <w:bookmarkEnd w:id="186"/>
    </w:p>
    <w:p>
      <w:pPr>
        <w:tabs>
          <w:tab w:val="left" w:pos="0"/>
        </w:tabs>
        <w:spacing w:line="360" w:lineRule="auto"/>
        <w:ind w:left="2" w:firstLine="480" w:firstLineChars="200"/>
        <w:rPr>
          <w:rFonts w:ascii="宋体" w:hAnsi="宋体"/>
          <w:sz w:val="24"/>
        </w:rPr>
      </w:pPr>
      <w:r>
        <w:rPr>
          <w:rFonts w:hint="eastAsia" w:ascii="宋体" w:hAnsi="宋体"/>
          <w:sz w:val="24"/>
        </w:rPr>
        <w:t>30.1成交供应商应当自发出成交通知书之日起10个工作日内，与采购人签订合同。</w:t>
      </w:r>
    </w:p>
    <w:p>
      <w:pPr>
        <w:tabs>
          <w:tab w:val="left" w:pos="0"/>
        </w:tabs>
        <w:spacing w:line="360" w:lineRule="auto"/>
        <w:ind w:left="2" w:firstLine="480" w:firstLineChars="200"/>
        <w:rPr>
          <w:rFonts w:ascii="宋体" w:hAnsi="宋体"/>
          <w:sz w:val="24"/>
        </w:rPr>
      </w:pPr>
      <w:r>
        <w:rPr>
          <w:rFonts w:hint="eastAsia" w:ascii="宋体" w:hAnsi="宋体"/>
          <w:sz w:val="24"/>
        </w:rPr>
        <w:t>30.2</w:t>
      </w:r>
      <w:bookmarkStart w:id="187" w:name="_Ref467307090"/>
      <w:bookmarkStart w:id="188" w:name="_Toc520356176"/>
      <w:bookmarkStart w:id="189" w:name="_Ref467306425"/>
      <w:r>
        <w:rPr>
          <w:rFonts w:hint="eastAsia" w:ascii="宋体" w:hAnsi="宋体"/>
          <w:sz w:val="24"/>
        </w:rPr>
        <w:t>单一来源采购文件、成交供应商的响应文件及其澄清文件等，均为签订合同的依据。</w:t>
      </w:r>
    </w:p>
    <w:p>
      <w:pPr>
        <w:spacing w:before="0" w:after="0" w:line="360" w:lineRule="auto"/>
        <w:outlineLvl w:val="9"/>
        <w:rPr>
          <w:rFonts w:hAnsi="宋体"/>
          <w:b/>
          <w:bCs/>
          <w:sz w:val="24"/>
          <w:szCs w:val="24"/>
          <w:u w:val="none"/>
        </w:rPr>
      </w:pPr>
      <w:bookmarkStart w:id="190" w:name="_Toc518923097"/>
      <w:bookmarkStart w:id="191" w:name="_Toc19087105"/>
      <w:bookmarkStart w:id="192" w:name="_Toc22141"/>
      <w:r>
        <w:rPr>
          <w:rFonts w:hint="eastAsia" w:hAnsi="宋体"/>
          <w:b/>
          <w:bCs/>
          <w:sz w:val="24"/>
          <w:szCs w:val="24"/>
          <w:u w:val="none"/>
        </w:rPr>
        <w:t>31.履约保证</w:t>
      </w:r>
      <w:bookmarkEnd w:id="187"/>
      <w:bookmarkEnd w:id="188"/>
      <w:bookmarkEnd w:id="189"/>
      <w:bookmarkEnd w:id="190"/>
      <w:bookmarkEnd w:id="191"/>
      <w:r>
        <w:rPr>
          <w:rFonts w:hint="eastAsia" w:hAnsi="宋体"/>
          <w:b/>
          <w:bCs/>
          <w:sz w:val="24"/>
          <w:szCs w:val="24"/>
          <w:u w:val="none"/>
        </w:rPr>
        <w:t>金</w:t>
      </w:r>
      <w:bookmarkEnd w:id="192"/>
    </w:p>
    <w:p>
      <w:pPr>
        <w:spacing w:line="360" w:lineRule="auto"/>
        <w:ind w:firstLine="480" w:firstLineChars="200"/>
        <w:rPr>
          <w:rFonts w:ascii="宋体" w:hAnsi="宋体" w:cs="宋体"/>
          <w:strike/>
          <w:sz w:val="24"/>
        </w:rPr>
      </w:pPr>
      <w:bookmarkStart w:id="193" w:name="_Toc518923098"/>
      <w:bookmarkStart w:id="194" w:name="_Toc19016170"/>
      <w:bookmarkStart w:id="195" w:name="_Toc19087106"/>
      <w:bookmarkStart w:id="196" w:name="_Toc518923100"/>
      <w:r>
        <w:rPr>
          <w:rFonts w:hint="eastAsia" w:ascii="宋体" w:hAnsi="宋体" w:cs="宋体"/>
          <w:sz w:val="24"/>
        </w:rPr>
        <w:t>成交供应商应按照</w:t>
      </w:r>
      <w:r>
        <w:rPr>
          <w:rFonts w:hint="eastAsia" w:ascii="宋体" w:hAnsi="宋体" w:cs="宋体"/>
          <w:sz w:val="24"/>
          <w:u w:val="single"/>
        </w:rPr>
        <w:t>供应商须知资料表</w:t>
      </w:r>
      <w:r>
        <w:rPr>
          <w:rFonts w:hint="eastAsia" w:ascii="宋体" w:hAnsi="宋体" w:cs="宋体"/>
          <w:sz w:val="24"/>
        </w:rPr>
        <w:t>规定向采购人提交履约保证。</w:t>
      </w:r>
    </w:p>
    <w:p>
      <w:pPr>
        <w:spacing w:before="0" w:after="0" w:line="360" w:lineRule="auto"/>
        <w:outlineLvl w:val="9"/>
        <w:rPr>
          <w:rFonts w:hAnsi="宋体" w:cs="宋体"/>
          <w:b/>
          <w:bCs/>
          <w:sz w:val="24"/>
          <w:szCs w:val="24"/>
          <w:u w:val="none"/>
        </w:rPr>
      </w:pPr>
      <w:bookmarkStart w:id="197" w:name="_Toc51176617"/>
      <w:bookmarkStart w:id="198" w:name="_Toc31411"/>
      <w:bookmarkStart w:id="199" w:name="_Toc518923099"/>
      <w:bookmarkStart w:id="200" w:name="_Toc62673002"/>
      <w:bookmarkStart w:id="201" w:name="_Toc29938"/>
      <w:r>
        <w:rPr>
          <w:rFonts w:hint="eastAsia" w:hAnsi="宋体" w:cs="宋体"/>
          <w:b/>
          <w:bCs/>
          <w:sz w:val="24"/>
          <w:szCs w:val="24"/>
          <w:u w:val="none"/>
        </w:rPr>
        <w:t>32.</w:t>
      </w:r>
      <w:bookmarkEnd w:id="197"/>
      <w:bookmarkEnd w:id="198"/>
      <w:bookmarkEnd w:id="199"/>
      <w:r>
        <w:rPr>
          <w:rFonts w:hint="eastAsia" w:hAnsi="宋体" w:cs="宋体"/>
          <w:b/>
          <w:bCs/>
          <w:sz w:val="24"/>
          <w:szCs w:val="24"/>
          <w:u w:val="none"/>
        </w:rPr>
        <w:t>政府采购融资担保</w:t>
      </w:r>
      <w:bookmarkEnd w:id="200"/>
      <w:bookmarkEnd w:id="201"/>
    </w:p>
    <w:p>
      <w:pPr>
        <w:spacing w:line="360" w:lineRule="auto"/>
        <w:ind w:firstLine="480" w:firstLineChars="200"/>
        <w:rPr>
          <w:rFonts w:ascii="宋体" w:hAnsi="宋体" w:cs="宋体"/>
          <w:sz w:val="24"/>
        </w:rPr>
      </w:pPr>
      <w:r>
        <w:rPr>
          <w:rFonts w:hint="eastAsia" w:ascii="宋体" w:hAnsi="宋体" w:cs="宋体"/>
          <w:sz w:val="24"/>
        </w:rPr>
        <w:t>有融资需求的供应商在签订《政府采购合同》后，可依据《山东省政府采购合同融资管理办法》（鲁财采〔2018〕17号）有关规定，通过全省统一的信息化平台自行选择符合自身需要的金融产品，提供金融机构要求的相关材料，发起融资申请，也可通过淄博市公共资源交易中心金融服务平台进行融资贷款。</w:t>
      </w:r>
    </w:p>
    <w:p>
      <w:pPr>
        <w:spacing w:before="0" w:after="0" w:line="360" w:lineRule="auto"/>
        <w:outlineLvl w:val="9"/>
        <w:rPr>
          <w:rFonts w:hAnsi="宋体"/>
          <w:b/>
          <w:bCs/>
          <w:sz w:val="24"/>
          <w:szCs w:val="24"/>
          <w:u w:val="none"/>
        </w:rPr>
      </w:pPr>
      <w:bookmarkStart w:id="202" w:name="_Toc8996"/>
      <w:r>
        <w:rPr>
          <w:rFonts w:hint="eastAsia" w:hAnsi="宋体"/>
          <w:b/>
          <w:bCs/>
          <w:sz w:val="24"/>
          <w:szCs w:val="24"/>
          <w:u w:val="none"/>
        </w:rPr>
        <w:t>33.</w:t>
      </w:r>
      <w:bookmarkEnd w:id="193"/>
      <w:r>
        <w:rPr>
          <w:rFonts w:hint="eastAsia" w:hAnsi="宋体"/>
          <w:b/>
          <w:bCs/>
          <w:sz w:val="24"/>
          <w:szCs w:val="24"/>
          <w:u w:val="none"/>
        </w:rPr>
        <w:t>预付款</w:t>
      </w:r>
      <w:bookmarkEnd w:id="194"/>
      <w:bookmarkEnd w:id="195"/>
      <w:bookmarkEnd w:id="202"/>
    </w:p>
    <w:p>
      <w:pPr>
        <w:tabs>
          <w:tab w:val="left" w:pos="0"/>
        </w:tabs>
        <w:spacing w:line="360" w:lineRule="auto"/>
        <w:ind w:left="2" w:firstLine="480" w:firstLineChars="200"/>
        <w:rPr>
          <w:rFonts w:ascii="宋体" w:hAnsi="宋体"/>
          <w:sz w:val="24"/>
        </w:rPr>
      </w:pPr>
      <w:r>
        <w:rPr>
          <w:rFonts w:hint="eastAsia" w:ascii="宋体" w:hAnsi="宋体"/>
          <w:sz w:val="24"/>
        </w:rPr>
        <w:t>33</w:t>
      </w:r>
      <w:r>
        <w:rPr>
          <w:rFonts w:ascii="宋体" w:hAnsi="宋体"/>
          <w:sz w:val="24"/>
        </w:rPr>
        <w:t>.1</w:t>
      </w:r>
      <w:r>
        <w:rPr>
          <w:rFonts w:hint="eastAsia" w:ascii="宋体" w:hAnsi="宋体"/>
          <w:sz w:val="24"/>
        </w:rPr>
        <w:t>预付款是在指</w:t>
      </w:r>
      <w:r>
        <w:rPr>
          <w:rFonts w:ascii="宋体" w:hAnsi="宋体"/>
          <w:sz w:val="24"/>
        </w:rPr>
        <w:t>政府采购合同签订后</w:t>
      </w:r>
      <w:r>
        <w:rPr>
          <w:rFonts w:hint="eastAsia" w:ascii="宋体" w:hAnsi="宋体"/>
          <w:sz w:val="24"/>
        </w:rPr>
        <w:t>、履行前，</w:t>
      </w:r>
      <w:r>
        <w:rPr>
          <w:rFonts w:ascii="宋体" w:hAnsi="宋体"/>
          <w:sz w:val="24"/>
        </w:rPr>
        <w:t>采购人向</w:t>
      </w:r>
      <w:r>
        <w:rPr>
          <w:rFonts w:hint="eastAsia" w:ascii="宋体" w:hAnsi="宋体"/>
          <w:sz w:val="24"/>
        </w:rPr>
        <w:t>成交供应商</w:t>
      </w:r>
      <w:r>
        <w:rPr>
          <w:rFonts w:ascii="宋体" w:hAnsi="宋体"/>
          <w:sz w:val="24"/>
        </w:rPr>
        <w:t>预先支付部分合同款项</w:t>
      </w:r>
      <w:r>
        <w:rPr>
          <w:rFonts w:hint="eastAsia" w:ascii="宋体" w:hAnsi="宋体"/>
          <w:sz w:val="24"/>
        </w:rPr>
        <w:t>，具体执行见</w:t>
      </w:r>
      <w:r>
        <w:rPr>
          <w:rFonts w:hint="eastAsia" w:ascii="宋体" w:hAnsi="宋体"/>
          <w:sz w:val="24"/>
          <w:u w:val="single"/>
        </w:rPr>
        <w:t>供应商须知资料表</w:t>
      </w:r>
      <w:r>
        <w:rPr>
          <w:rFonts w:hint="eastAsia" w:ascii="宋体" w:hAnsi="宋体"/>
          <w:sz w:val="24"/>
        </w:rPr>
        <w:t>。</w:t>
      </w:r>
    </w:p>
    <w:p>
      <w:pPr>
        <w:spacing w:before="0" w:after="0" w:line="360" w:lineRule="auto"/>
        <w:outlineLvl w:val="9"/>
        <w:rPr>
          <w:rFonts w:hAnsi="宋体"/>
          <w:b/>
          <w:bCs/>
          <w:sz w:val="24"/>
          <w:szCs w:val="24"/>
          <w:u w:val="none"/>
        </w:rPr>
      </w:pPr>
      <w:bookmarkStart w:id="203" w:name="_Toc19087107"/>
      <w:bookmarkStart w:id="204" w:name="_Toc30031"/>
      <w:r>
        <w:rPr>
          <w:rFonts w:hint="eastAsia" w:hAnsi="宋体"/>
          <w:b/>
          <w:bCs/>
          <w:sz w:val="24"/>
          <w:szCs w:val="24"/>
          <w:u w:val="none"/>
        </w:rPr>
        <w:t>34</w:t>
      </w:r>
      <w:r>
        <w:rPr>
          <w:rFonts w:hAnsi="宋体"/>
          <w:b/>
          <w:bCs/>
          <w:sz w:val="24"/>
          <w:szCs w:val="24"/>
          <w:u w:val="none"/>
        </w:rPr>
        <w:t>.</w:t>
      </w:r>
      <w:r>
        <w:rPr>
          <w:rFonts w:hint="eastAsia" w:hAnsi="宋体"/>
          <w:b/>
          <w:bCs/>
          <w:sz w:val="24"/>
          <w:szCs w:val="24"/>
          <w:u w:val="none"/>
        </w:rPr>
        <w:t>廉洁自律</w:t>
      </w:r>
      <w:r>
        <w:rPr>
          <w:rFonts w:hAnsi="宋体"/>
          <w:b/>
          <w:bCs/>
          <w:sz w:val="24"/>
          <w:szCs w:val="24"/>
          <w:u w:val="none"/>
        </w:rPr>
        <w:t>规定</w:t>
      </w:r>
      <w:bookmarkEnd w:id="196"/>
      <w:bookmarkEnd w:id="203"/>
      <w:bookmarkEnd w:id="204"/>
    </w:p>
    <w:p>
      <w:pPr>
        <w:spacing w:line="360" w:lineRule="auto"/>
        <w:ind w:left="19" w:leftChars="9" w:firstLine="458" w:firstLineChars="191"/>
        <w:rPr>
          <w:rFonts w:ascii="宋体" w:hAnsi="宋体" w:cs="宋体"/>
          <w:sz w:val="24"/>
        </w:rPr>
      </w:pPr>
      <w:bookmarkStart w:id="205" w:name="_Toc15418"/>
      <w:bookmarkStart w:id="206" w:name="_Toc19087108"/>
      <w:bookmarkStart w:id="207" w:name="_Toc518923101"/>
      <w:r>
        <w:rPr>
          <w:rFonts w:hint="eastAsia" w:ascii="宋体" w:hAnsi="宋体" w:cs="宋体"/>
          <w:sz w:val="24"/>
        </w:rPr>
        <w:t>34.1 采购人、采购代理机构不得与供应商恶意串通操纵政府采购活动。</w:t>
      </w:r>
    </w:p>
    <w:p>
      <w:pPr>
        <w:spacing w:line="360" w:lineRule="auto"/>
        <w:ind w:left="19" w:leftChars="9" w:firstLine="458" w:firstLineChars="191"/>
        <w:rPr>
          <w:rFonts w:ascii="宋体" w:hAnsi="宋体" w:cs="宋体"/>
          <w:sz w:val="24"/>
        </w:rPr>
      </w:pPr>
      <w:r>
        <w:rPr>
          <w:rFonts w:hint="eastAsia" w:ascii="宋体" w:hAnsi="宋体" w:cs="宋体"/>
          <w:sz w:val="24"/>
        </w:rPr>
        <w:t>34.2 采购人、采购代理机构不得接受供应商组织的宴请、旅游、娱乐，不得收受礼品、现金、有价证券等，不得向供应商报销应当由个人承担的费用。</w:t>
      </w:r>
    </w:p>
    <w:p>
      <w:pPr>
        <w:spacing w:line="360" w:lineRule="auto"/>
        <w:ind w:left="19" w:leftChars="9" w:firstLine="458" w:firstLineChars="191"/>
        <w:rPr>
          <w:rFonts w:ascii="宋体" w:hAnsi="宋体" w:cs="宋体"/>
          <w:sz w:val="24"/>
        </w:rPr>
      </w:pPr>
      <w:r>
        <w:rPr>
          <w:rFonts w:hint="eastAsia" w:ascii="宋体" w:hAnsi="宋体" w:cs="宋体"/>
          <w:sz w:val="24"/>
        </w:rPr>
        <w:t>34.3 为强化政府采购活动的监督，供应商可按</w:t>
      </w:r>
      <w:r>
        <w:rPr>
          <w:rFonts w:hint="eastAsia" w:ascii="宋体" w:hAnsi="宋体" w:cs="宋体"/>
          <w:sz w:val="24"/>
          <w:u w:val="single"/>
        </w:rPr>
        <w:t>供应商须知资料表</w:t>
      </w:r>
      <w:r>
        <w:rPr>
          <w:rFonts w:hint="eastAsia" w:ascii="宋体" w:hAnsi="宋体" w:cs="宋体"/>
          <w:sz w:val="24"/>
        </w:rPr>
        <w:t>中的监督电话和邮箱，反映采购人、采购代理机构的廉洁自律等问题。</w:t>
      </w:r>
    </w:p>
    <w:p>
      <w:pPr>
        <w:spacing w:before="0" w:after="0" w:line="360" w:lineRule="auto"/>
        <w:outlineLvl w:val="9"/>
        <w:rPr>
          <w:rFonts w:hAnsi="宋体"/>
          <w:b/>
          <w:bCs/>
          <w:sz w:val="24"/>
          <w:szCs w:val="24"/>
          <w:u w:val="none"/>
        </w:rPr>
      </w:pPr>
      <w:r>
        <w:rPr>
          <w:rFonts w:hint="eastAsia" w:hAnsi="宋体"/>
          <w:b/>
          <w:bCs/>
          <w:sz w:val="24"/>
          <w:szCs w:val="24"/>
          <w:u w:val="none"/>
        </w:rPr>
        <w:t>35.人员回避</w:t>
      </w:r>
      <w:bookmarkEnd w:id="205"/>
      <w:bookmarkEnd w:id="206"/>
      <w:bookmarkEnd w:id="207"/>
    </w:p>
    <w:p>
      <w:pPr>
        <w:tabs>
          <w:tab w:val="left" w:pos="0"/>
        </w:tabs>
        <w:spacing w:line="360" w:lineRule="auto"/>
        <w:ind w:left="2" w:firstLine="480" w:firstLineChars="200"/>
        <w:rPr>
          <w:rFonts w:ascii="宋体" w:hAnsi="宋体"/>
          <w:sz w:val="24"/>
        </w:rPr>
      </w:pPr>
      <w:r>
        <w:rPr>
          <w:rFonts w:hint="eastAsia" w:ascii="宋体" w:hAnsi="宋体"/>
          <w:sz w:val="24"/>
        </w:rPr>
        <w:t>潜在供应商</w:t>
      </w:r>
      <w:r>
        <w:rPr>
          <w:rFonts w:ascii="宋体" w:hAnsi="宋体"/>
          <w:sz w:val="24"/>
        </w:rPr>
        <w:t>认为</w:t>
      </w:r>
      <w:r>
        <w:rPr>
          <w:rFonts w:hint="eastAsia" w:ascii="宋体" w:hAnsi="宋体"/>
          <w:sz w:val="24"/>
        </w:rPr>
        <w:t>单一来源采购文件</w:t>
      </w:r>
      <w:r>
        <w:rPr>
          <w:rFonts w:ascii="宋体" w:hAnsi="宋体"/>
          <w:sz w:val="24"/>
        </w:rPr>
        <w:t>使</w:t>
      </w:r>
      <w:r>
        <w:rPr>
          <w:rFonts w:hint="eastAsia" w:ascii="宋体" w:hAnsi="宋体"/>
          <w:sz w:val="24"/>
        </w:rPr>
        <w:t>自己</w:t>
      </w:r>
      <w:r>
        <w:rPr>
          <w:rFonts w:ascii="宋体" w:hAnsi="宋体"/>
          <w:sz w:val="24"/>
        </w:rPr>
        <w:t>的权益受到损害的，</w:t>
      </w:r>
      <w:r>
        <w:rPr>
          <w:rFonts w:hint="eastAsia" w:ascii="宋体" w:hAnsi="宋体"/>
          <w:sz w:val="24"/>
        </w:rPr>
        <w:t>供应商</w:t>
      </w:r>
      <w:r>
        <w:rPr>
          <w:rFonts w:ascii="宋体" w:hAnsi="宋体"/>
          <w:sz w:val="24"/>
        </w:rPr>
        <w:t>认为采购人员</w:t>
      </w:r>
      <w:r>
        <w:rPr>
          <w:rFonts w:hint="eastAsia" w:ascii="宋体" w:hAnsi="宋体"/>
          <w:sz w:val="24"/>
        </w:rPr>
        <w:t>、采购代理机构工作人员及其</w:t>
      </w:r>
      <w:r>
        <w:rPr>
          <w:rFonts w:ascii="宋体" w:hAnsi="宋体"/>
          <w:sz w:val="24"/>
        </w:rPr>
        <w:t>相关人员有</w:t>
      </w:r>
      <w:r>
        <w:rPr>
          <w:rFonts w:hint="eastAsia" w:ascii="宋体" w:hAnsi="宋体"/>
          <w:sz w:val="24"/>
        </w:rPr>
        <w:t>法律</w:t>
      </w:r>
      <w:r>
        <w:rPr>
          <w:rFonts w:ascii="宋体" w:hAnsi="宋体"/>
          <w:sz w:val="24"/>
        </w:rPr>
        <w:t>法规所列与其他供应商</w:t>
      </w:r>
      <w:r>
        <w:rPr>
          <w:rFonts w:hint="eastAsia" w:ascii="宋体" w:hAnsi="宋体"/>
          <w:sz w:val="24"/>
        </w:rPr>
        <w:t>有</w:t>
      </w:r>
      <w:r>
        <w:rPr>
          <w:rFonts w:ascii="宋体" w:hAnsi="宋体"/>
          <w:sz w:val="24"/>
        </w:rPr>
        <w:t>利害关系的，可以向</w:t>
      </w:r>
      <w:r>
        <w:rPr>
          <w:rFonts w:hint="eastAsia" w:ascii="宋体" w:hAnsi="宋体"/>
          <w:sz w:val="24"/>
        </w:rPr>
        <w:t>采购人或采购代理机构</w:t>
      </w:r>
      <w:r>
        <w:rPr>
          <w:rFonts w:ascii="宋体" w:hAnsi="宋体"/>
          <w:sz w:val="24"/>
        </w:rPr>
        <w:t>书面提出回避申请，并说明理由。</w:t>
      </w:r>
    </w:p>
    <w:p>
      <w:pPr>
        <w:spacing w:before="0" w:after="0" w:line="360" w:lineRule="auto"/>
        <w:outlineLvl w:val="9"/>
        <w:rPr>
          <w:rFonts w:hAnsi="宋体"/>
          <w:b/>
          <w:bCs/>
          <w:sz w:val="24"/>
          <w:szCs w:val="24"/>
          <w:u w:val="none"/>
        </w:rPr>
      </w:pPr>
      <w:bookmarkStart w:id="208" w:name="_Toc19087109"/>
      <w:bookmarkStart w:id="209" w:name="_Toc518923102"/>
      <w:bookmarkStart w:id="210" w:name="_Toc29731"/>
      <w:r>
        <w:rPr>
          <w:rFonts w:hint="eastAsia" w:hAnsi="宋体"/>
          <w:b/>
          <w:bCs/>
          <w:sz w:val="24"/>
          <w:szCs w:val="24"/>
          <w:u w:val="none"/>
        </w:rPr>
        <w:t>36.质疑与接收</w:t>
      </w:r>
      <w:bookmarkEnd w:id="208"/>
      <w:bookmarkEnd w:id="209"/>
      <w:bookmarkEnd w:id="210"/>
    </w:p>
    <w:p>
      <w:pPr>
        <w:tabs>
          <w:tab w:val="left" w:pos="0"/>
        </w:tabs>
        <w:spacing w:line="360" w:lineRule="auto"/>
        <w:ind w:left="2" w:firstLine="480" w:firstLineChars="200"/>
        <w:rPr>
          <w:rFonts w:ascii="宋体" w:hAnsi="宋体"/>
          <w:sz w:val="24"/>
        </w:rPr>
      </w:pPr>
      <w:r>
        <w:rPr>
          <w:rFonts w:hint="eastAsia" w:ascii="宋体" w:hAnsi="宋体"/>
          <w:sz w:val="24"/>
        </w:rPr>
        <w:t>36.1供应商认为单一来源采购文件、评审过程和成交结果使自己的权益受到损害的，可以根据《中华人民共和国政府采购法》、《中华人民共和国政府采购法实施条例》和《政府采购质疑和投诉办法》的有关规定，依法向采购人或其委托的采购代理机构提出质疑。</w:t>
      </w:r>
    </w:p>
    <w:p>
      <w:pPr>
        <w:tabs>
          <w:tab w:val="left" w:pos="0"/>
        </w:tabs>
        <w:spacing w:line="360" w:lineRule="auto"/>
        <w:ind w:left="2" w:firstLine="480" w:firstLineChars="200"/>
        <w:rPr>
          <w:rFonts w:ascii="宋体" w:hAnsi="宋体"/>
          <w:sz w:val="24"/>
        </w:rPr>
      </w:pPr>
      <w:r>
        <w:rPr>
          <w:rFonts w:hint="eastAsia" w:ascii="宋体" w:hAnsi="宋体"/>
          <w:sz w:val="24"/>
        </w:rPr>
        <w:t>36.2质疑供应商应按照财政部制定的《政府采购质疑函范本》格式（可从财政部官方网站下载）和《政府采购质疑和投诉办法》的要求，在法定质疑期内以书面形式提出质疑，针对同一采购程序环节的质疑应一次性提出。</w:t>
      </w:r>
    </w:p>
    <w:p>
      <w:pPr>
        <w:tabs>
          <w:tab w:val="left" w:pos="0"/>
        </w:tabs>
        <w:spacing w:line="360" w:lineRule="auto"/>
        <w:ind w:left="2" w:firstLine="480" w:firstLineChars="200"/>
        <w:rPr>
          <w:rFonts w:ascii="宋体" w:hAnsi="宋体"/>
          <w:sz w:val="24"/>
        </w:rPr>
      </w:pPr>
      <w:r>
        <w:rPr>
          <w:rFonts w:hint="eastAsia" w:ascii="宋体" w:hAnsi="宋体"/>
          <w:sz w:val="24"/>
        </w:rPr>
        <w:t>超出法定质疑期的、重复提出的、分次提出的或内容、形式不符合《政府采购质疑和投诉办法》的，质疑供应商将依法承担不利后果。</w:t>
      </w:r>
    </w:p>
    <w:p>
      <w:pPr>
        <w:tabs>
          <w:tab w:val="left" w:pos="0"/>
        </w:tabs>
        <w:spacing w:line="360" w:lineRule="auto"/>
        <w:ind w:left="2" w:firstLine="480" w:firstLineChars="200"/>
        <w:rPr>
          <w:rFonts w:ascii="宋体" w:hAnsi="宋体" w:cs="宋体"/>
          <w:sz w:val="24"/>
        </w:rPr>
      </w:pPr>
      <w:r>
        <w:rPr>
          <w:rFonts w:hint="eastAsia" w:ascii="宋体" w:hAnsi="宋体" w:cs="宋体"/>
          <w:sz w:val="24"/>
        </w:rPr>
        <w:t>36.3 采购人或采购代理机构质疑函接收部门、联系电话和通讯地址, 见</w:t>
      </w:r>
      <w:r>
        <w:rPr>
          <w:rFonts w:hint="eastAsia" w:ascii="宋体" w:hAnsi="宋体" w:cs="宋体"/>
          <w:sz w:val="24"/>
          <w:u w:val="single"/>
        </w:rPr>
        <w:t>供应商须知资料表</w:t>
      </w:r>
      <w:r>
        <w:rPr>
          <w:rFonts w:hint="eastAsia" w:ascii="宋体" w:hAnsi="宋体" w:cs="宋体"/>
          <w:sz w:val="24"/>
        </w:rPr>
        <w:t>。</w:t>
      </w:r>
    </w:p>
    <w:p>
      <w:pPr>
        <w:tabs>
          <w:tab w:val="left" w:pos="0"/>
        </w:tabs>
        <w:spacing w:line="360" w:lineRule="auto"/>
        <w:ind w:left="2" w:firstLine="480" w:firstLineChars="200"/>
        <w:rPr>
          <w:rFonts w:ascii="宋体" w:hAnsi="宋体" w:cs="宋体"/>
          <w:sz w:val="24"/>
        </w:rPr>
      </w:pPr>
      <w:r>
        <w:rPr>
          <w:rFonts w:hint="eastAsia" w:ascii="宋体" w:hAnsi="宋体" w:cs="宋体"/>
          <w:sz w:val="24"/>
        </w:rPr>
        <w:t xml:space="preserve">36.4 质疑应当按照法律、法规规定，以书面形式向采购代理机构或采购人提出，并办理签收手续，未以书面形式向提交的视为无效质疑。 </w:t>
      </w:r>
    </w:p>
    <w:p>
      <w:pPr>
        <w:tabs>
          <w:tab w:val="left" w:pos="0"/>
        </w:tabs>
        <w:spacing w:line="360" w:lineRule="auto"/>
        <w:ind w:left="2" w:firstLine="480" w:firstLineChars="200"/>
        <w:rPr>
          <w:rFonts w:ascii="宋体" w:hAnsi="宋体" w:cs="宋体"/>
          <w:sz w:val="24"/>
        </w:rPr>
      </w:pPr>
      <w:r>
        <w:rPr>
          <w:rFonts w:hint="eastAsia" w:ascii="宋体" w:hAnsi="宋体" w:cs="宋体"/>
          <w:sz w:val="24"/>
        </w:rPr>
        <w:t>36.5 质疑函应当包括以下主要内容：</w:t>
      </w:r>
    </w:p>
    <w:p>
      <w:pPr>
        <w:tabs>
          <w:tab w:val="left" w:pos="0"/>
        </w:tabs>
        <w:spacing w:line="360" w:lineRule="auto"/>
        <w:ind w:left="2" w:firstLine="480" w:firstLineChars="200"/>
        <w:rPr>
          <w:rFonts w:ascii="宋体" w:hAnsi="宋体" w:cs="宋体"/>
          <w:sz w:val="24"/>
        </w:rPr>
      </w:pPr>
      <w:r>
        <w:rPr>
          <w:rFonts w:hint="eastAsia" w:ascii="宋体" w:hAnsi="宋体" w:cs="宋体"/>
          <w:sz w:val="24"/>
        </w:rPr>
        <w:t xml:space="preserve">（1）质疑人和被质疑人的名称、法定代表人、住所、电话、邮编、联系人及联系电话等； </w:t>
      </w:r>
    </w:p>
    <w:p>
      <w:pPr>
        <w:tabs>
          <w:tab w:val="left" w:pos="0"/>
        </w:tabs>
        <w:spacing w:line="360" w:lineRule="auto"/>
        <w:ind w:left="2" w:firstLine="480" w:firstLineChars="200"/>
        <w:rPr>
          <w:rFonts w:ascii="宋体" w:hAnsi="宋体" w:cs="宋体"/>
          <w:sz w:val="24"/>
        </w:rPr>
      </w:pPr>
      <w:r>
        <w:rPr>
          <w:rFonts w:hint="eastAsia" w:ascii="宋体" w:hAnsi="宋体" w:cs="宋体"/>
          <w:sz w:val="24"/>
        </w:rPr>
        <w:t xml:space="preserve">（2）采购项目名称、项目编号及包号； </w:t>
      </w:r>
    </w:p>
    <w:p>
      <w:pPr>
        <w:tabs>
          <w:tab w:val="left" w:pos="0"/>
        </w:tabs>
        <w:spacing w:line="360" w:lineRule="auto"/>
        <w:ind w:left="2" w:firstLine="480" w:firstLineChars="200"/>
        <w:rPr>
          <w:rFonts w:ascii="宋体" w:hAnsi="宋体" w:cs="宋体"/>
          <w:sz w:val="24"/>
        </w:rPr>
      </w:pPr>
      <w:r>
        <w:rPr>
          <w:rFonts w:hint="eastAsia" w:ascii="宋体" w:hAnsi="宋体" w:cs="宋体"/>
          <w:sz w:val="24"/>
        </w:rPr>
        <w:t xml:space="preserve">（3）具体、明确的质疑事项以及与质疑事项相关的诉求； </w:t>
      </w:r>
    </w:p>
    <w:p>
      <w:pPr>
        <w:tabs>
          <w:tab w:val="left" w:pos="0"/>
        </w:tabs>
        <w:spacing w:line="360" w:lineRule="auto"/>
        <w:ind w:left="2" w:firstLine="480" w:firstLineChars="200"/>
        <w:rPr>
          <w:rFonts w:ascii="宋体" w:hAnsi="宋体" w:cs="宋体"/>
          <w:sz w:val="24"/>
        </w:rPr>
      </w:pPr>
      <w:r>
        <w:rPr>
          <w:rFonts w:hint="eastAsia" w:ascii="宋体" w:hAnsi="宋体" w:cs="宋体"/>
          <w:sz w:val="24"/>
        </w:rPr>
        <w:t xml:space="preserve">（4）法律依据、事实与理由。按照“谁主张、谁举证”的原则，质疑书应当提供事实依据及相关证明材料，否则质疑将视为无有效证据支持，将被予以驳回。 </w:t>
      </w:r>
    </w:p>
    <w:p>
      <w:pPr>
        <w:tabs>
          <w:tab w:val="left" w:pos="0"/>
        </w:tabs>
        <w:spacing w:line="360" w:lineRule="auto"/>
        <w:ind w:left="2" w:firstLine="480" w:firstLineChars="200"/>
        <w:rPr>
          <w:rFonts w:ascii="宋体" w:hAnsi="宋体" w:cs="宋体"/>
          <w:sz w:val="24"/>
        </w:rPr>
      </w:pPr>
      <w:r>
        <w:rPr>
          <w:rFonts w:hint="eastAsia" w:ascii="宋体" w:hAnsi="宋体" w:cs="宋体"/>
          <w:sz w:val="24"/>
        </w:rPr>
        <w:t>（5）提出质疑的日期。</w:t>
      </w:r>
    </w:p>
    <w:p>
      <w:pPr>
        <w:tabs>
          <w:tab w:val="left" w:pos="0"/>
        </w:tabs>
        <w:spacing w:line="360" w:lineRule="auto"/>
        <w:ind w:left="2" w:firstLine="480" w:firstLineChars="200"/>
        <w:rPr>
          <w:rFonts w:ascii="宋体" w:hAnsi="宋体" w:cs="宋体"/>
          <w:sz w:val="24"/>
        </w:rPr>
      </w:pPr>
      <w:r>
        <w:rPr>
          <w:rFonts w:hint="eastAsia" w:ascii="宋体" w:hAnsi="宋体" w:cs="宋体"/>
          <w:sz w:val="24"/>
        </w:rPr>
        <w:t>质疑函应当据实署名。质疑人为自然人的，应当由本人签字并附有效身份证明；质疑人为法人或者其他组织的，应当由法定代表人（非法人组织的负责人）签字并加盖公章，同时一并提交营业执照和法定代表人（非法人组织的负责人）有效身份证明。无法提供证件原件的，应当提供真实有效的复印件，并签字或者盖章。 质疑人可以委托代理人办理质疑事项，代理人办理质疑事项时，除提交质疑书外，还应当提交质疑人的授权委托书及代理人的有效身份证明，授权委托书应当载明委托代理的具体权限、期限和事项。</w:t>
      </w:r>
    </w:p>
    <w:p>
      <w:pPr>
        <w:tabs>
          <w:tab w:val="left" w:pos="0"/>
        </w:tabs>
        <w:spacing w:line="360" w:lineRule="auto"/>
        <w:ind w:left="2" w:firstLine="480" w:firstLineChars="200"/>
        <w:rPr>
          <w:rFonts w:ascii="宋体" w:hAnsi="宋体" w:cs="宋体"/>
          <w:sz w:val="24"/>
        </w:rPr>
      </w:pPr>
      <w:r>
        <w:rPr>
          <w:rFonts w:hint="eastAsia" w:ascii="宋体" w:hAnsi="宋体" w:cs="宋体"/>
          <w:sz w:val="24"/>
        </w:rPr>
        <w:t xml:space="preserve">36.6 质疑有以下情形之一的，采购代理机构应当予以书面回复并说明原因： </w:t>
      </w:r>
    </w:p>
    <w:p>
      <w:pPr>
        <w:tabs>
          <w:tab w:val="left" w:pos="0"/>
        </w:tabs>
        <w:spacing w:line="360" w:lineRule="auto"/>
        <w:ind w:left="2" w:firstLine="480" w:firstLineChars="200"/>
        <w:rPr>
          <w:rFonts w:ascii="宋体" w:hAnsi="宋体" w:cs="宋体"/>
          <w:sz w:val="24"/>
        </w:rPr>
      </w:pPr>
      <w:r>
        <w:rPr>
          <w:rFonts w:hint="eastAsia" w:ascii="宋体" w:hAnsi="宋体" w:cs="宋体"/>
          <w:sz w:val="24"/>
        </w:rPr>
        <w:t xml:space="preserve">（1）质疑人不是参与该本项目政府采购活动供应商的（潜在供应商对其已依法获取的可质疑的单一来源采购文件的质疑除外）； </w:t>
      </w:r>
    </w:p>
    <w:p>
      <w:pPr>
        <w:tabs>
          <w:tab w:val="left" w:pos="0"/>
        </w:tabs>
        <w:spacing w:line="360" w:lineRule="auto"/>
        <w:ind w:left="2" w:firstLine="480" w:firstLineChars="200"/>
        <w:rPr>
          <w:rFonts w:ascii="宋体" w:hAnsi="宋体" w:cs="宋体"/>
          <w:sz w:val="24"/>
        </w:rPr>
      </w:pPr>
      <w:r>
        <w:rPr>
          <w:rFonts w:hint="eastAsia" w:ascii="宋体" w:hAnsi="宋体" w:cs="宋体"/>
          <w:sz w:val="24"/>
        </w:rPr>
        <w:t xml:space="preserve">（2）质疑人与质疑事项不存在利害关系的； </w:t>
      </w:r>
    </w:p>
    <w:p>
      <w:pPr>
        <w:tabs>
          <w:tab w:val="left" w:pos="0"/>
        </w:tabs>
        <w:spacing w:line="360" w:lineRule="auto"/>
        <w:ind w:left="2" w:firstLine="480" w:firstLineChars="200"/>
        <w:rPr>
          <w:rFonts w:ascii="宋体" w:hAnsi="宋体" w:cs="宋体"/>
          <w:sz w:val="24"/>
        </w:rPr>
      </w:pPr>
      <w:r>
        <w:rPr>
          <w:rFonts w:hint="eastAsia" w:ascii="宋体" w:hAnsi="宋体" w:cs="宋体"/>
          <w:sz w:val="24"/>
        </w:rPr>
        <w:t xml:space="preserve">（3）所有质疑事项均不符合相关法律、法规的； </w:t>
      </w:r>
    </w:p>
    <w:p>
      <w:pPr>
        <w:tabs>
          <w:tab w:val="left" w:pos="0"/>
        </w:tabs>
        <w:spacing w:line="360" w:lineRule="auto"/>
        <w:ind w:left="2" w:firstLine="480" w:firstLineChars="200"/>
        <w:rPr>
          <w:rFonts w:ascii="宋体" w:hAnsi="宋体" w:cs="宋体"/>
          <w:sz w:val="24"/>
        </w:rPr>
      </w:pPr>
      <w:r>
        <w:rPr>
          <w:rFonts w:hint="eastAsia" w:ascii="宋体" w:hAnsi="宋体" w:cs="宋体"/>
          <w:sz w:val="24"/>
        </w:rPr>
        <w:t xml:space="preserve">（4）提起质疑的时间超过规定期限的； </w:t>
      </w:r>
    </w:p>
    <w:p>
      <w:pPr>
        <w:tabs>
          <w:tab w:val="left" w:pos="0"/>
        </w:tabs>
        <w:spacing w:line="360" w:lineRule="auto"/>
        <w:ind w:left="2" w:firstLine="480" w:firstLineChars="200"/>
        <w:rPr>
          <w:rFonts w:ascii="宋体" w:hAnsi="宋体" w:cs="宋体"/>
          <w:sz w:val="24"/>
        </w:rPr>
      </w:pPr>
      <w:r>
        <w:rPr>
          <w:rFonts w:hint="eastAsia" w:ascii="宋体" w:hAnsi="宋体" w:cs="宋体"/>
          <w:sz w:val="24"/>
        </w:rPr>
        <w:t xml:space="preserve">（5）质疑答复后，同一质疑人就同一事项再次提出质疑的； </w:t>
      </w:r>
    </w:p>
    <w:p>
      <w:pPr>
        <w:tabs>
          <w:tab w:val="left" w:pos="0"/>
        </w:tabs>
        <w:spacing w:line="360" w:lineRule="auto"/>
        <w:ind w:left="2" w:firstLine="480" w:firstLineChars="200"/>
        <w:rPr>
          <w:rFonts w:ascii="宋体" w:hAnsi="宋体" w:cs="宋体"/>
          <w:sz w:val="24"/>
        </w:rPr>
      </w:pPr>
      <w:r>
        <w:rPr>
          <w:rFonts w:hint="eastAsia" w:ascii="宋体" w:hAnsi="宋体" w:cs="宋体"/>
          <w:sz w:val="24"/>
        </w:rPr>
        <w:t xml:space="preserve">（6）其他不符合受理条件的情形。 </w:t>
      </w:r>
    </w:p>
    <w:p>
      <w:pPr>
        <w:tabs>
          <w:tab w:val="left" w:pos="0"/>
        </w:tabs>
        <w:spacing w:line="360" w:lineRule="auto"/>
        <w:ind w:left="2" w:firstLine="480" w:firstLineChars="200"/>
        <w:rPr>
          <w:rFonts w:ascii="宋体" w:hAnsi="宋体" w:cs="宋体"/>
          <w:sz w:val="24"/>
        </w:rPr>
      </w:pPr>
      <w:r>
        <w:rPr>
          <w:rFonts w:hint="eastAsia" w:ascii="宋体" w:hAnsi="宋体" w:cs="宋体"/>
          <w:sz w:val="24"/>
        </w:rPr>
        <w:t>36.7 采购代理机构将在受理质疑后七个工作日内作出答复，并以书面形式通知质疑人和其他有关供应商。</w:t>
      </w:r>
    </w:p>
    <w:p>
      <w:pPr>
        <w:tabs>
          <w:tab w:val="left" w:pos="0"/>
        </w:tabs>
        <w:spacing w:line="360" w:lineRule="auto"/>
        <w:ind w:left="2" w:firstLine="480" w:firstLineChars="200"/>
        <w:rPr>
          <w:rFonts w:ascii="宋体" w:hAnsi="宋体" w:cs="宋体"/>
          <w:sz w:val="24"/>
        </w:rPr>
      </w:pPr>
      <w:r>
        <w:rPr>
          <w:rFonts w:hint="eastAsia" w:ascii="宋体" w:hAnsi="宋体" w:cs="宋体"/>
          <w:sz w:val="24"/>
        </w:rPr>
        <w:t>36.8 质疑人对答复不满意以及采购代理机构未在规定的时间内作出答复的，可以在答复期满后15个工作日内向监督管理部门投诉。</w:t>
      </w:r>
    </w:p>
    <w:p>
      <w:pPr>
        <w:spacing w:before="0" w:after="0" w:line="360" w:lineRule="auto"/>
        <w:outlineLvl w:val="9"/>
        <w:rPr>
          <w:rFonts w:hAnsi="宋体"/>
          <w:b/>
          <w:bCs/>
          <w:sz w:val="24"/>
          <w:szCs w:val="24"/>
          <w:u w:val="none"/>
        </w:rPr>
      </w:pPr>
      <w:bookmarkStart w:id="211" w:name="_Toc6041"/>
      <w:bookmarkStart w:id="212" w:name="_Toc51176622"/>
      <w:bookmarkStart w:id="213" w:name="_Toc62193431"/>
      <w:r>
        <w:rPr>
          <w:rFonts w:hint="eastAsia" w:hAnsi="宋体"/>
          <w:b/>
          <w:bCs/>
          <w:sz w:val="24"/>
          <w:szCs w:val="24"/>
          <w:u w:val="none"/>
        </w:rPr>
        <w:t>37.项目其他相关费用</w:t>
      </w:r>
      <w:bookmarkEnd w:id="211"/>
      <w:bookmarkEnd w:id="212"/>
      <w:bookmarkEnd w:id="213"/>
    </w:p>
    <w:p>
      <w:pPr>
        <w:tabs>
          <w:tab w:val="left" w:pos="0"/>
        </w:tabs>
        <w:spacing w:line="360" w:lineRule="auto"/>
        <w:ind w:left="2" w:firstLine="480" w:firstLineChars="200"/>
        <w:rPr>
          <w:rFonts w:ascii="宋体" w:hAnsi="宋体" w:cs="宋体"/>
          <w:sz w:val="24"/>
        </w:rPr>
      </w:pPr>
      <w:bookmarkStart w:id="214" w:name="_Toc411637995"/>
      <w:r>
        <w:rPr>
          <w:rFonts w:hint="eastAsia" w:ascii="宋体" w:hAnsi="宋体" w:cs="宋体"/>
          <w:sz w:val="24"/>
        </w:rPr>
        <w:t>37.1成交服务费</w:t>
      </w:r>
      <w:bookmarkEnd w:id="214"/>
    </w:p>
    <w:p>
      <w:pPr>
        <w:tabs>
          <w:tab w:val="left" w:pos="0"/>
        </w:tabs>
        <w:spacing w:line="360" w:lineRule="auto"/>
        <w:ind w:left="2" w:firstLine="480" w:firstLineChars="200"/>
        <w:rPr>
          <w:rFonts w:ascii="宋体" w:hAnsi="宋体" w:cs="宋体"/>
          <w:sz w:val="24"/>
        </w:rPr>
      </w:pPr>
      <w:r>
        <w:rPr>
          <w:rFonts w:hint="eastAsia" w:ascii="宋体" w:hAnsi="宋体" w:cs="宋体"/>
          <w:sz w:val="24"/>
        </w:rPr>
        <w:t>成交服务费收取标准：</w:t>
      </w:r>
      <w:r>
        <w:rPr>
          <w:rFonts w:hint="eastAsia" w:ascii="宋体" w:hAnsi="宋体" w:cs="宋体"/>
          <w:sz w:val="24"/>
          <w:u w:val="single"/>
        </w:rPr>
        <w:t>见供应商须知资料表。</w:t>
      </w:r>
    </w:p>
    <w:p>
      <w:pPr>
        <w:tabs>
          <w:tab w:val="left" w:pos="0"/>
        </w:tabs>
        <w:spacing w:line="360" w:lineRule="auto"/>
        <w:ind w:left="2" w:firstLine="480" w:firstLineChars="200"/>
        <w:rPr>
          <w:rFonts w:ascii="宋体" w:hAnsi="宋体" w:cs="宋体"/>
          <w:sz w:val="24"/>
        </w:rPr>
      </w:pPr>
      <w:r>
        <w:rPr>
          <w:rFonts w:hint="eastAsia" w:ascii="宋体" w:hAnsi="宋体" w:cs="宋体"/>
          <w:sz w:val="24"/>
        </w:rPr>
        <w:t>成交供应商应按照</w:t>
      </w:r>
      <w:r>
        <w:rPr>
          <w:rFonts w:hint="eastAsia" w:ascii="宋体" w:hAnsi="宋体" w:cs="宋体"/>
          <w:sz w:val="24"/>
          <w:u w:val="single"/>
        </w:rPr>
        <w:t>供应商须知资料表</w:t>
      </w:r>
      <w:r>
        <w:rPr>
          <w:rFonts w:hint="eastAsia" w:ascii="宋体" w:hAnsi="宋体" w:cs="宋体"/>
          <w:sz w:val="24"/>
        </w:rPr>
        <w:t>规定的时间和方式缴纳成交服务费。</w:t>
      </w:r>
    </w:p>
    <w:p>
      <w:pPr>
        <w:tabs>
          <w:tab w:val="left" w:pos="0"/>
        </w:tabs>
        <w:spacing w:line="360" w:lineRule="auto"/>
        <w:ind w:left="2" w:firstLine="480" w:firstLineChars="200"/>
        <w:rPr>
          <w:rFonts w:ascii="宋体" w:hAnsi="宋体" w:cs="宋体"/>
          <w:sz w:val="24"/>
        </w:rPr>
      </w:pPr>
      <w:r>
        <w:rPr>
          <w:rFonts w:hint="eastAsia" w:ascii="宋体" w:hAnsi="宋体" w:cs="宋体"/>
          <w:sz w:val="24"/>
        </w:rPr>
        <w:t>37.2政府采购专家评审费</w:t>
      </w:r>
    </w:p>
    <w:p>
      <w:pPr>
        <w:tabs>
          <w:tab w:val="left" w:pos="0"/>
        </w:tabs>
        <w:spacing w:line="360" w:lineRule="auto"/>
        <w:ind w:left="2" w:firstLine="480" w:firstLineChars="200"/>
        <w:rPr>
          <w:rFonts w:ascii="宋体" w:hAnsi="宋体" w:cs="宋体"/>
          <w:sz w:val="24"/>
        </w:rPr>
      </w:pPr>
      <w:r>
        <w:rPr>
          <w:rFonts w:hint="eastAsia" w:ascii="宋体" w:hAnsi="宋体" w:cs="宋体"/>
          <w:sz w:val="24"/>
        </w:rPr>
        <w:t>采购人承担，按照山东省有关规定的标准执行。</w:t>
      </w:r>
    </w:p>
    <w:p>
      <w:pPr>
        <w:spacing w:before="0" w:after="0" w:line="360" w:lineRule="auto"/>
        <w:outlineLvl w:val="9"/>
        <w:rPr>
          <w:rFonts w:hAnsi="宋体"/>
          <w:b/>
          <w:bCs/>
          <w:sz w:val="24"/>
          <w:szCs w:val="24"/>
          <w:u w:val="none"/>
        </w:rPr>
      </w:pPr>
      <w:bookmarkStart w:id="215" w:name="_Toc14359"/>
      <w:bookmarkStart w:id="216" w:name="_Toc62193432"/>
      <w:bookmarkStart w:id="217" w:name="_Toc51257724"/>
      <w:r>
        <w:rPr>
          <w:rFonts w:hint="eastAsia" w:hAnsi="宋体"/>
          <w:b/>
          <w:bCs/>
          <w:sz w:val="24"/>
          <w:szCs w:val="24"/>
          <w:u w:val="none"/>
        </w:rPr>
        <w:t>38.合同公示</w:t>
      </w:r>
      <w:bookmarkEnd w:id="215"/>
      <w:bookmarkEnd w:id="216"/>
    </w:p>
    <w:p>
      <w:pPr>
        <w:tabs>
          <w:tab w:val="left" w:pos="0"/>
        </w:tabs>
        <w:spacing w:line="360" w:lineRule="auto"/>
        <w:ind w:left="2" w:firstLine="480" w:firstLineChars="200"/>
        <w:rPr>
          <w:rFonts w:ascii="宋体" w:hAnsi="宋体" w:cs="宋体"/>
          <w:sz w:val="24"/>
        </w:rPr>
      </w:pPr>
      <w:r>
        <w:rPr>
          <w:rFonts w:hint="eastAsia" w:ascii="宋体" w:hAnsi="宋体" w:cs="宋体"/>
          <w:sz w:val="24"/>
        </w:rPr>
        <w:t>30.1采购人应当自政府采购合同签订之日起2个工作日内，在省级以上人民政府财政部门指定的媒体上公告，但政府采购合同中涉及国家秘密、商业秘密的内容除外。</w:t>
      </w:r>
    </w:p>
    <w:p>
      <w:pPr>
        <w:spacing w:before="0" w:after="0" w:line="360" w:lineRule="auto"/>
        <w:outlineLvl w:val="9"/>
        <w:rPr>
          <w:rFonts w:hAnsi="宋体"/>
          <w:b/>
          <w:bCs/>
          <w:sz w:val="24"/>
          <w:szCs w:val="24"/>
          <w:u w:val="none"/>
        </w:rPr>
      </w:pPr>
      <w:bookmarkStart w:id="218" w:name="_Toc62193433"/>
      <w:bookmarkStart w:id="219" w:name="_Toc12463"/>
      <w:r>
        <w:rPr>
          <w:rFonts w:hint="eastAsia" w:hAnsi="宋体"/>
          <w:b/>
          <w:bCs/>
          <w:sz w:val="24"/>
          <w:szCs w:val="24"/>
          <w:u w:val="none"/>
        </w:rPr>
        <w:t>39.验收</w:t>
      </w:r>
      <w:bookmarkEnd w:id="218"/>
      <w:bookmarkEnd w:id="219"/>
    </w:p>
    <w:p>
      <w:pPr>
        <w:tabs>
          <w:tab w:val="left" w:pos="0"/>
        </w:tabs>
        <w:spacing w:line="360" w:lineRule="auto"/>
        <w:ind w:left="2" w:firstLine="480" w:firstLineChars="200"/>
        <w:rPr>
          <w:rFonts w:ascii="宋体" w:hAnsi="宋体" w:cs="宋体"/>
          <w:sz w:val="24"/>
        </w:rPr>
      </w:pPr>
      <w:r>
        <w:rPr>
          <w:rFonts w:hint="eastAsia" w:ascii="宋体" w:hAnsi="宋体" w:cs="宋体"/>
          <w:sz w:val="24"/>
        </w:rPr>
        <w:t>采购人或者采购代理机构应当按照政府采购合同规定的技术、货物及安全标准组织对供应商履约情况进行验收，并出具验收书。验收书应当包括每一项技术、安全标准的履约情况。</w:t>
      </w:r>
    </w:p>
    <w:p>
      <w:pPr>
        <w:spacing w:before="0" w:after="0" w:line="360" w:lineRule="auto"/>
        <w:outlineLvl w:val="9"/>
        <w:rPr>
          <w:rFonts w:hAnsi="宋体"/>
          <w:b/>
          <w:bCs/>
          <w:sz w:val="24"/>
          <w:szCs w:val="24"/>
          <w:u w:val="none"/>
        </w:rPr>
      </w:pPr>
      <w:bookmarkStart w:id="220" w:name="_Toc2206"/>
      <w:bookmarkStart w:id="221" w:name="_Toc62193434"/>
      <w:r>
        <w:rPr>
          <w:rFonts w:hint="eastAsia" w:hAnsi="宋体"/>
          <w:b/>
          <w:bCs/>
          <w:sz w:val="24"/>
          <w:szCs w:val="24"/>
          <w:u w:val="none"/>
        </w:rPr>
        <w:t>40.履约验收公示</w:t>
      </w:r>
      <w:bookmarkEnd w:id="220"/>
      <w:bookmarkEnd w:id="221"/>
    </w:p>
    <w:p>
      <w:pPr>
        <w:tabs>
          <w:tab w:val="left" w:pos="0"/>
        </w:tabs>
        <w:spacing w:line="360" w:lineRule="auto"/>
        <w:ind w:left="2" w:firstLine="480" w:firstLineChars="200"/>
        <w:rPr>
          <w:rFonts w:ascii="宋体" w:hAnsi="宋体" w:cs="宋体"/>
          <w:sz w:val="24"/>
        </w:rPr>
      </w:pPr>
      <w:r>
        <w:rPr>
          <w:rFonts w:hint="eastAsia" w:ascii="宋体" w:hAnsi="宋体" w:cs="宋体"/>
          <w:sz w:val="24"/>
        </w:rPr>
        <w:t>采购人、采购代理机构应当在采购合同履约验收结束后3个工作日内，将验收报告予以公开发布。</w:t>
      </w:r>
    </w:p>
    <w:p>
      <w:pPr>
        <w:spacing w:before="0" w:after="0" w:line="360" w:lineRule="auto"/>
        <w:outlineLvl w:val="9"/>
        <w:rPr>
          <w:rFonts w:hAnsi="宋体"/>
          <w:b/>
          <w:bCs/>
          <w:sz w:val="24"/>
          <w:szCs w:val="24"/>
          <w:u w:val="none"/>
        </w:rPr>
      </w:pPr>
      <w:bookmarkStart w:id="222" w:name="_Toc3036"/>
      <w:bookmarkStart w:id="223" w:name="_Toc62193435"/>
      <w:r>
        <w:rPr>
          <w:rFonts w:hint="eastAsia" w:hAnsi="宋体"/>
          <w:b/>
          <w:bCs/>
          <w:sz w:val="24"/>
          <w:szCs w:val="24"/>
          <w:u w:val="none"/>
        </w:rPr>
        <w:t>41.单一来源采购文件解释权</w:t>
      </w:r>
      <w:bookmarkEnd w:id="217"/>
      <w:bookmarkEnd w:id="222"/>
      <w:bookmarkEnd w:id="223"/>
    </w:p>
    <w:p>
      <w:pPr>
        <w:tabs>
          <w:tab w:val="left" w:pos="0"/>
        </w:tabs>
        <w:spacing w:line="360" w:lineRule="auto"/>
        <w:ind w:left="2" w:firstLine="480" w:firstLineChars="200"/>
      </w:pPr>
      <w:r>
        <w:rPr>
          <w:rFonts w:hint="eastAsia" w:ascii="宋体" w:hAnsi="宋体" w:cs="宋体"/>
          <w:sz w:val="24"/>
          <w:u w:val="single"/>
        </w:rPr>
        <w:t>见供应商须知资料表。</w:t>
      </w:r>
      <w:bookmarkStart w:id="224" w:name="_Toc216582825"/>
      <w:bookmarkStart w:id="225" w:name="_Toc9032"/>
      <w:bookmarkStart w:id="226" w:name="_Toc12396"/>
      <w:bookmarkStart w:id="227" w:name="_Toc25949"/>
      <w:bookmarkStart w:id="228" w:name="_Toc515647831"/>
      <w:bookmarkStart w:id="229" w:name="_Toc219175638"/>
      <w:bookmarkStart w:id="230" w:name="_Toc218935354"/>
      <w:bookmarkStart w:id="231" w:name="_Toc9887"/>
      <w:bookmarkStart w:id="232" w:name="_Toc507399906"/>
      <w:bookmarkStart w:id="233" w:name="_Toc4766527"/>
      <w:bookmarkStart w:id="234" w:name="_Toc512937852"/>
    </w:p>
    <w:p>
      <w:pPr>
        <w:pStyle w:val="3"/>
        <w:tabs>
          <w:tab w:val="left" w:pos="0"/>
        </w:tabs>
        <w:spacing w:before="0" w:after="0" w:line="360" w:lineRule="auto"/>
        <w:jc w:val="both"/>
        <w:rPr>
          <w:rFonts w:hAnsi="宋体"/>
        </w:rPr>
      </w:pPr>
    </w:p>
    <w:p/>
    <w:p>
      <w:pPr>
        <w:pStyle w:val="3"/>
        <w:tabs>
          <w:tab w:val="left" w:pos="0"/>
        </w:tabs>
        <w:spacing w:before="0" w:after="0" w:line="360" w:lineRule="auto"/>
        <w:rPr>
          <w:rFonts w:hAnsi="宋体"/>
        </w:rPr>
      </w:pPr>
    </w:p>
    <w:p>
      <w:pPr>
        <w:rPr>
          <w:rFonts w:hAnsi="宋体"/>
        </w:rPr>
      </w:pPr>
    </w:p>
    <w:p>
      <w:pPr>
        <w:pStyle w:val="46"/>
        <w:rPr>
          <w:rFonts w:hAnsi="宋体"/>
        </w:rPr>
      </w:pPr>
    </w:p>
    <w:p>
      <w:pPr>
        <w:rPr>
          <w:rFonts w:hAnsi="宋体"/>
        </w:rPr>
      </w:pPr>
    </w:p>
    <w:p>
      <w:pPr>
        <w:pStyle w:val="46"/>
        <w:rPr>
          <w:rFonts w:hAnsi="宋体"/>
        </w:rPr>
      </w:pPr>
    </w:p>
    <w:p>
      <w:pPr>
        <w:rPr>
          <w:rFonts w:hAnsi="宋体"/>
        </w:rPr>
      </w:pPr>
      <w:r>
        <w:rPr>
          <w:rFonts w:hint="eastAsia" w:hAnsi="宋体"/>
        </w:rPr>
        <w:br w:type="page"/>
      </w:r>
    </w:p>
    <w:p/>
    <w:p>
      <w:pPr>
        <w:pStyle w:val="3"/>
        <w:tabs>
          <w:tab w:val="left" w:pos="0"/>
        </w:tabs>
        <w:spacing w:before="0" w:after="0" w:line="360" w:lineRule="auto"/>
        <w:rPr>
          <w:rFonts w:hAnsi="宋体"/>
        </w:rPr>
      </w:pPr>
      <w:bookmarkStart w:id="235" w:name="_Toc12127"/>
      <w:r>
        <w:rPr>
          <w:rFonts w:hint="eastAsia" w:hAnsi="宋体"/>
        </w:rPr>
        <w:t>第三章  货物需求</w:t>
      </w:r>
      <w:bookmarkEnd w:id="224"/>
      <w:bookmarkEnd w:id="225"/>
      <w:bookmarkEnd w:id="226"/>
      <w:bookmarkEnd w:id="227"/>
      <w:bookmarkEnd w:id="228"/>
      <w:bookmarkEnd w:id="229"/>
      <w:bookmarkEnd w:id="230"/>
      <w:bookmarkEnd w:id="231"/>
      <w:bookmarkEnd w:id="232"/>
      <w:bookmarkEnd w:id="233"/>
      <w:bookmarkEnd w:id="235"/>
    </w:p>
    <w:bookmarkEnd w:id="234"/>
    <w:p>
      <w:pPr>
        <w:pStyle w:val="4"/>
        <w:spacing w:line="360" w:lineRule="auto"/>
        <w:jc w:val="both"/>
        <w:rPr>
          <w:rFonts w:asciiTheme="minorEastAsia" w:hAnsiTheme="minorEastAsia" w:eastAsiaTheme="minorEastAsia" w:cstheme="minorEastAsia"/>
          <w:sz w:val="24"/>
          <w:szCs w:val="24"/>
        </w:rPr>
      </w:pPr>
      <w:bookmarkStart w:id="236" w:name="_Toc11013"/>
      <w:bookmarkStart w:id="237" w:name="_Toc25313"/>
      <w:bookmarkStart w:id="238" w:name="_Toc45562492"/>
      <w:bookmarkStart w:id="239" w:name="_Toc2451"/>
      <w:bookmarkStart w:id="240" w:name="_Toc46136838"/>
      <w:r>
        <w:rPr>
          <w:rFonts w:hint="eastAsia" w:asciiTheme="minorEastAsia" w:hAnsiTheme="minorEastAsia" w:eastAsiaTheme="minorEastAsia" w:cstheme="minorEastAsia"/>
          <w:sz w:val="24"/>
          <w:szCs w:val="24"/>
        </w:rPr>
        <w:t>一、</w:t>
      </w:r>
      <w:r>
        <w:rPr>
          <w:rFonts w:hint="eastAsia" w:asciiTheme="minorEastAsia" w:hAnsiTheme="minorEastAsia" w:eastAsiaTheme="minorEastAsia" w:cstheme="minorEastAsia"/>
          <w:spacing w:val="-2"/>
          <w:sz w:val="24"/>
          <w:szCs w:val="24"/>
        </w:rPr>
        <w:t>项</w:t>
      </w:r>
      <w:r>
        <w:rPr>
          <w:rFonts w:hint="eastAsia" w:asciiTheme="minorEastAsia" w:hAnsiTheme="minorEastAsia" w:eastAsiaTheme="minorEastAsia" w:cstheme="minorEastAsia"/>
          <w:sz w:val="24"/>
          <w:szCs w:val="24"/>
        </w:rPr>
        <w:t>目</w:t>
      </w:r>
      <w:r>
        <w:rPr>
          <w:rFonts w:hint="eastAsia" w:asciiTheme="minorEastAsia" w:hAnsiTheme="minorEastAsia" w:eastAsiaTheme="minorEastAsia" w:cstheme="minorEastAsia"/>
          <w:spacing w:val="-2"/>
          <w:sz w:val="24"/>
          <w:szCs w:val="24"/>
        </w:rPr>
        <w:t>概</w:t>
      </w:r>
      <w:r>
        <w:rPr>
          <w:rFonts w:hint="eastAsia" w:asciiTheme="minorEastAsia" w:hAnsiTheme="minorEastAsia" w:eastAsiaTheme="minorEastAsia" w:cstheme="minorEastAsia"/>
          <w:sz w:val="24"/>
          <w:szCs w:val="24"/>
        </w:rPr>
        <w:t>述</w:t>
      </w:r>
      <w:bookmarkEnd w:id="236"/>
      <w:bookmarkEnd w:id="237"/>
      <w:bookmarkEnd w:id="238"/>
      <w:bookmarkEnd w:id="239"/>
      <w:bookmarkEnd w:id="240"/>
    </w:p>
    <w:p>
      <w:pPr>
        <w:spacing w:line="360" w:lineRule="auto"/>
        <w:ind w:firstLine="480" w:firstLineChars="200"/>
        <w:rPr>
          <w:rFonts w:ascii="宋体" w:hAnsi="宋体"/>
          <w:sz w:val="24"/>
        </w:rPr>
      </w:pPr>
      <w:r>
        <w:rPr>
          <w:rFonts w:hint="eastAsia" w:ascii="宋体" w:hAnsi="宋体"/>
          <w:sz w:val="24"/>
        </w:rPr>
        <w:t>1、本项目共分为1个包号进行招标。各供应商按照招标文件的要求及招标文件提供的报价表对所投包号进行报价。</w:t>
      </w:r>
    </w:p>
    <w:p>
      <w:pPr>
        <w:spacing w:line="360" w:lineRule="auto"/>
        <w:ind w:firstLine="480" w:firstLineChars="200"/>
        <w:rPr>
          <w:rFonts w:ascii="宋体" w:hAnsi="宋体"/>
          <w:sz w:val="24"/>
        </w:rPr>
      </w:pPr>
      <w:r>
        <w:rPr>
          <w:rFonts w:hint="eastAsia" w:ascii="宋体" w:hAnsi="宋体"/>
          <w:sz w:val="24"/>
        </w:rPr>
        <w:t>2、项目名称：淄博市传染病医院电子肠镜和气泵采购项目</w:t>
      </w:r>
    </w:p>
    <w:p>
      <w:pPr>
        <w:spacing w:line="360" w:lineRule="auto"/>
        <w:ind w:firstLine="480" w:firstLineChars="200"/>
        <w:rPr>
          <w:rFonts w:ascii="宋体" w:hAnsi="宋体"/>
          <w:sz w:val="24"/>
        </w:rPr>
      </w:pPr>
      <w:r>
        <w:rPr>
          <w:rFonts w:hint="eastAsia" w:ascii="宋体" w:hAnsi="宋体"/>
          <w:sz w:val="24"/>
        </w:rPr>
        <w:t>3、质保期：1年</w:t>
      </w:r>
    </w:p>
    <w:p>
      <w:pPr>
        <w:spacing w:line="360" w:lineRule="auto"/>
        <w:ind w:firstLine="480" w:firstLineChars="200"/>
        <w:rPr>
          <w:rFonts w:ascii="宋体" w:hAnsi="宋体"/>
          <w:sz w:val="24"/>
        </w:rPr>
      </w:pPr>
      <w:r>
        <w:rPr>
          <w:rFonts w:hint="eastAsia" w:ascii="宋体" w:hAnsi="宋体"/>
          <w:sz w:val="24"/>
        </w:rPr>
        <w:t>4、供货期：45日历天</w:t>
      </w:r>
    </w:p>
    <w:p>
      <w:pPr>
        <w:spacing w:line="360" w:lineRule="auto"/>
        <w:ind w:firstLine="480" w:firstLineChars="200"/>
        <w:rPr>
          <w:rFonts w:ascii="宋体" w:hAnsi="宋体"/>
          <w:sz w:val="24"/>
        </w:rPr>
      </w:pPr>
      <w:r>
        <w:rPr>
          <w:rFonts w:hint="eastAsia" w:ascii="宋体" w:hAnsi="宋体"/>
          <w:sz w:val="24"/>
        </w:rPr>
        <w:t>5、交付地点：淄博市传染病医院。成交供应商负责产品到甲方指定地点的全部运输，包括装卸及现场搬运</w:t>
      </w:r>
      <w:r>
        <w:rPr>
          <w:rFonts w:hint="eastAsia" w:ascii="宋体" w:hAnsi="宋体"/>
          <w:sz w:val="24"/>
          <w:highlight w:val="none"/>
        </w:rPr>
        <w:t>、安装</w:t>
      </w:r>
      <w:r>
        <w:rPr>
          <w:rFonts w:hint="eastAsia" w:ascii="宋体" w:hAnsi="宋体"/>
          <w:sz w:val="24"/>
        </w:rPr>
        <w:t>等。</w:t>
      </w:r>
    </w:p>
    <w:p>
      <w:pPr>
        <w:pStyle w:val="4"/>
        <w:spacing w:before="0" w:line="360" w:lineRule="auto"/>
        <w:jc w:val="both"/>
        <w:rPr>
          <w:rFonts w:asciiTheme="minorEastAsia" w:hAnsiTheme="minorEastAsia" w:eastAsiaTheme="minorEastAsia" w:cstheme="minorEastAsia"/>
          <w:sz w:val="24"/>
          <w:szCs w:val="24"/>
        </w:rPr>
      </w:pPr>
      <w:bookmarkStart w:id="241" w:name="_Toc46136840"/>
      <w:bookmarkStart w:id="242" w:name="_Toc20437"/>
      <w:bookmarkStart w:id="243" w:name="_Toc29834"/>
      <w:bookmarkStart w:id="244" w:name="_Toc8937"/>
      <w:bookmarkStart w:id="245" w:name="_Toc45562494"/>
      <w:r>
        <w:rPr>
          <w:rFonts w:hint="eastAsia" w:asciiTheme="minorEastAsia" w:hAnsiTheme="minorEastAsia" w:eastAsiaTheme="minorEastAsia" w:cstheme="minorEastAsia"/>
          <w:sz w:val="24"/>
          <w:szCs w:val="24"/>
        </w:rPr>
        <w:t>二、货物明细</w:t>
      </w:r>
      <w:bookmarkEnd w:id="241"/>
      <w:bookmarkEnd w:id="242"/>
      <w:bookmarkEnd w:id="243"/>
      <w:bookmarkEnd w:id="244"/>
    </w:p>
    <w:bookmarkEnd w:id="245"/>
    <w:p>
      <w:pPr>
        <w:spacing w:line="360" w:lineRule="auto"/>
        <w:rPr>
          <w:rFonts w:ascii="宋体" w:hAnsi="宋体"/>
          <w:sz w:val="24"/>
        </w:rPr>
      </w:pPr>
      <w:bookmarkStart w:id="246" w:name="_Toc46235118"/>
      <w:bookmarkStart w:id="247" w:name="_Toc7548"/>
      <w:bookmarkStart w:id="248" w:name="_Toc12172"/>
      <w:r>
        <w:rPr>
          <w:rFonts w:hint="eastAsia" w:ascii="宋体" w:hAnsi="宋体"/>
          <w:sz w:val="24"/>
        </w:rPr>
        <w:t>（一）高清电子肠镜     数量：1</w:t>
      </w:r>
    </w:p>
    <w:p>
      <w:pPr>
        <w:spacing w:line="360" w:lineRule="auto"/>
        <w:ind w:firstLine="480" w:firstLineChars="200"/>
        <w:rPr>
          <w:rFonts w:ascii="宋体" w:hAnsi="宋体"/>
          <w:sz w:val="24"/>
        </w:rPr>
      </w:pPr>
      <w:r>
        <w:rPr>
          <w:rFonts w:hint="eastAsia" w:ascii="宋体" w:hAnsi="宋体"/>
          <w:sz w:val="24"/>
        </w:rPr>
        <w:t>1、具有副送水管道，连接口位于导光插头部</w:t>
      </w:r>
    </w:p>
    <w:p>
      <w:pPr>
        <w:spacing w:line="360" w:lineRule="auto"/>
        <w:ind w:firstLine="480" w:firstLineChars="200"/>
        <w:rPr>
          <w:rFonts w:ascii="宋体" w:hAnsi="宋体"/>
          <w:sz w:val="24"/>
        </w:rPr>
      </w:pPr>
      <w:r>
        <w:rPr>
          <w:rFonts w:hint="eastAsia" w:ascii="宋体" w:hAnsi="宋体"/>
          <w:sz w:val="24"/>
        </w:rPr>
        <w:t>2、黑白CCD顺次成像</w:t>
      </w:r>
    </w:p>
    <w:p>
      <w:pPr>
        <w:spacing w:line="360" w:lineRule="auto"/>
        <w:ind w:firstLine="480" w:firstLineChars="200"/>
        <w:rPr>
          <w:rFonts w:ascii="宋体" w:hAnsi="宋体"/>
          <w:sz w:val="24"/>
        </w:rPr>
      </w:pPr>
      <w:r>
        <w:rPr>
          <w:rFonts w:hint="eastAsia" w:ascii="宋体" w:hAnsi="宋体"/>
          <w:sz w:val="24"/>
        </w:rPr>
        <w:t>3、有效长度≥1330mm</w:t>
      </w:r>
    </w:p>
    <w:p>
      <w:pPr>
        <w:spacing w:line="360" w:lineRule="auto"/>
        <w:ind w:firstLine="480" w:firstLineChars="200"/>
        <w:rPr>
          <w:rFonts w:ascii="宋体" w:hAnsi="宋体"/>
          <w:sz w:val="24"/>
        </w:rPr>
      </w:pPr>
      <w:r>
        <w:rPr>
          <w:rFonts w:hint="eastAsia" w:ascii="宋体" w:hAnsi="宋体"/>
          <w:sz w:val="24"/>
        </w:rPr>
        <w:t>4、先端外径≤12.2mm，插入部外径≤12 mm</w:t>
      </w:r>
    </w:p>
    <w:p>
      <w:pPr>
        <w:spacing w:line="360" w:lineRule="auto"/>
        <w:ind w:firstLine="480" w:firstLineChars="200"/>
        <w:rPr>
          <w:rFonts w:ascii="宋体" w:hAnsi="宋体"/>
          <w:sz w:val="24"/>
        </w:rPr>
      </w:pPr>
      <w:r>
        <w:rPr>
          <w:rFonts w:hint="eastAsia" w:ascii="宋体" w:hAnsi="宋体"/>
          <w:sz w:val="24"/>
        </w:rPr>
        <w:t>5、弯曲角度上≥180度，下≥180度，左≥160度，右≥160度。</w:t>
      </w:r>
    </w:p>
    <w:p>
      <w:pPr>
        <w:spacing w:line="360" w:lineRule="auto"/>
        <w:ind w:firstLine="480" w:firstLineChars="200"/>
        <w:rPr>
          <w:rFonts w:ascii="宋体" w:hAnsi="宋体"/>
          <w:sz w:val="24"/>
        </w:rPr>
      </w:pPr>
      <w:r>
        <w:rPr>
          <w:rFonts w:hint="eastAsia" w:ascii="宋体" w:hAnsi="宋体"/>
          <w:sz w:val="24"/>
        </w:rPr>
        <w:t>6、视野角≥170度、 景深≥5mm-100mm</w:t>
      </w:r>
    </w:p>
    <w:p>
      <w:pPr>
        <w:spacing w:line="360" w:lineRule="auto"/>
        <w:ind w:firstLine="480" w:firstLineChars="200"/>
        <w:rPr>
          <w:rFonts w:ascii="宋体" w:hAnsi="宋体"/>
          <w:sz w:val="24"/>
        </w:rPr>
      </w:pPr>
      <w:r>
        <w:rPr>
          <w:rFonts w:hint="eastAsia" w:ascii="宋体" w:hAnsi="宋体"/>
          <w:sz w:val="24"/>
        </w:rPr>
        <w:t>7、钳子管道内径≥3.2mm</w:t>
      </w:r>
    </w:p>
    <w:p>
      <w:pPr>
        <w:spacing w:line="360" w:lineRule="auto"/>
        <w:ind w:firstLine="480" w:firstLineChars="200"/>
        <w:rPr>
          <w:rFonts w:ascii="宋体" w:hAnsi="宋体"/>
          <w:sz w:val="24"/>
        </w:rPr>
      </w:pPr>
      <w:r>
        <w:rPr>
          <w:rFonts w:hint="eastAsia" w:ascii="宋体" w:hAnsi="宋体"/>
          <w:sz w:val="24"/>
        </w:rPr>
        <w:t>8、RIT功能：具有RIT(受力弯曲、高传导蛇管、硬度可调)功能</w:t>
      </w:r>
    </w:p>
    <w:p>
      <w:pPr>
        <w:spacing w:line="360" w:lineRule="auto"/>
        <w:ind w:firstLine="480" w:firstLineChars="200"/>
        <w:rPr>
          <w:rFonts w:ascii="宋体" w:hAnsi="宋体"/>
          <w:sz w:val="24"/>
        </w:rPr>
      </w:pPr>
      <w:r>
        <w:rPr>
          <w:rFonts w:hint="eastAsia" w:ascii="宋体" w:hAnsi="宋体"/>
          <w:sz w:val="24"/>
        </w:rPr>
        <w:t>9、一键式连接：一键式插拔导光插头，全防水设计无需防水帽，降低人为漏水故障</w:t>
      </w:r>
    </w:p>
    <w:p>
      <w:pPr>
        <w:spacing w:line="360" w:lineRule="auto"/>
        <w:rPr>
          <w:rFonts w:ascii="宋体" w:hAnsi="宋体"/>
          <w:sz w:val="24"/>
        </w:rPr>
      </w:pPr>
      <w:r>
        <w:rPr>
          <w:rFonts w:hint="eastAsia" w:ascii="宋体" w:hAnsi="宋体"/>
          <w:sz w:val="24"/>
        </w:rPr>
        <w:t>（二）二氧化碳注气装置      数量：1</w:t>
      </w:r>
    </w:p>
    <w:p>
      <w:pPr>
        <w:spacing w:line="360" w:lineRule="auto"/>
        <w:ind w:firstLine="480" w:firstLineChars="200"/>
        <w:rPr>
          <w:rFonts w:ascii="宋体" w:hAnsi="宋体"/>
          <w:sz w:val="24"/>
        </w:rPr>
      </w:pPr>
      <w:r>
        <w:rPr>
          <w:rFonts w:hint="eastAsia" w:ascii="宋体" w:hAnsi="宋体"/>
          <w:sz w:val="24"/>
        </w:rPr>
        <w:t>1、可用气体：医用二氧化碳气体（可与二氧化碳气或者医用送气管连接）</w:t>
      </w:r>
    </w:p>
    <w:p>
      <w:pPr>
        <w:spacing w:line="360" w:lineRule="auto"/>
        <w:ind w:firstLine="480" w:firstLineChars="200"/>
      </w:pPr>
      <w:r>
        <w:rPr>
          <w:rFonts w:hint="eastAsia" w:ascii="宋体" w:hAnsi="宋体"/>
          <w:sz w:val="24"/>
        </w:rPr>
        <w:t>2、最大送气压力≥45kpa</w:t>
      </w:r>
    </w:p>
    <w:p>
      <w:pPr>
        <w:pStyle w:val="4"/>
        <w:spacing w:line="360" w:lineRule="auto"/>
        <w:jc w:val="both"/>
        <w:rPr>
          <w:rFonts w:asciiTheme="minorEastAsia" w:hAnsiTheme="minorEastAsia" w:eastAsiaTheme="minorEastAsia" w:cstheme="minorEastAsia"/>
          <w:sz w:val="24"/>
          <w:szCs w:val="24"/>
        </w:rPr>
      </w:pPr>
      <w:bookmarkStart w:id="249" w:name="_Toc16217"/>
      <w:r>
        <w:rPr>
          <w:rFonts w:hint="eastAsia" w:asciiTheme="minorEastAsia" w:hAnsiTheme="minorEastAsia" w:eastAsiaTheme="minorEastAsia" w:cstheme="minorEastAsia"/>
          <w:sz w:val="24"/>
          <w:szCs w:val="24"/>
        </w:rPr>
        <w:t>三、</w:t>
      </w:r>
      <w:bookmarkEnd w:id="246"/>
      <w:bookmarkStart w:id="250" w:name="_Toc46235119"/>
      <w:bookmarkStart w:id="251" w:name="_Toc45562495"/>
      <w:r>
        <w:rPr>
          <w:rFonts w:hint="eastAsia" w:asciiTheme="minorEastAsia" w:hAnsiTheme="minorEastAsia" w:eastAsiaTheme="minorEastAsia" w:cstheme="minorEastAsia"/>
          <w:spacing w:val="-2"/>
          <w:sz w:val="24"/>
          <w:szCs w:val="24"/>
        </w:rPr>
        <w:t>其</w:t>
      </w:r>
      <w:r>
        <w:rPr>
          <w:rFonts w:hint="eastAsia" w:asciiTheme="minorEastAsia" w:hAnsiTheme="minorEastAsia" w:eastAsiaTheme="minorEastAsia" w:cstheme="minorEastAsia"/>
          <w:sz w:val="24"/>
          <w:szCs w:val="24"/>
        </w:rPr>
        <w:t>他</w:t>
      </w:r>
      <w:r>
        <w:rPr>
          <w:rFonts w:hint="eastAsia" w:asciiTheme="minorEastAsia" w:hAnsiTheme="minorEastAsia" w:eastAsiaTheme="minorEastAsia" w:cstheme="minorEastAsia"/>
          <w:spacing w:val="-2"/>
          <w:sz w:val="24"/>
          <w:szCs w:val="24"/>
        </w:rPr>
        <w:t>要</w:t>
      </w:r>
      <w:r>
        <w:rPr>
          <w:rFonts w:hint="eastAsia" w:asciiTheme="minorEastAsia" w:hAnsiTheme="minorEastAsia" w:eastAsiaTheme="minorEastAsia" w:cstheme="minorEastAsia"/>
          <w:sz w:val="24"/>
          <w:szCs w:val="24"/>
        </w:rPr>
        <w:t>求</w:t>
      </w:r>
      <w:bookmarkEnd w:id="247"/>
      <w:bookmarkEnd w:id="248"/>
      <w:bookmarkEnd w:id="249"/>
      <w:bookmarkEnd w:id="250"/>
      <w:bookmarkEnd w:id="251"/>
    </w:p>
    <w:p>
      <w:pPr>
        <w:spacing w:line="360" w:lineRule="auto"/>
        <w:ind w:firstLine="480" w:firstLineChars="200"/>
        <w:rPr>
          <w:rFonts w:ascii="宋体" w:hAnsi="宋体"/>
          <w:sz w:val="24"/>
        </w:rPr>
      </w:pPr>
      <w:bookmarkStart w:id="252" w:name="_Toc492106466"/>
      <w:bookmarkStart w:id="253" w:name="_Toc32647"/>
      <w:bookmarkStart w:id="254" w:name="_Toc515647832"/>
      <w:bookmarkStart w:id="255" w:name="_Toc7971"/>
      <w:bookmarkStart w:id="256" w:name="_Toc218935355"/>
      <w:bookmarkStart w:id="257" w:name="_Toc216582826"/>
      <w:bookmarkStart w:id="258" w:name="_Toc507399907"/>
      <w:bookmarkStart w:id="259" w:name="_Toc62323826"/>
      <w:bookmarkStart w:id="260" w:name="_Toc4766816"/>
      <w:bookmarkStart w:id="261" w:name="_Toc219175639"/>
      <w:bookmarkStart w:id="262" w:name="_Toc11589"/>
      <w:r>
        <w:rPr>
          <w:rFonts w:hint="eastAsia" w:ascii="宋体" w:hAnsi="宋体"/>
          <w:sz w:val="24"/>
        </w:rPr>
        <w:t xml:space="preserve"> 1、货物必须为合格产品，质量达到国家有关标准，供应商供货时须提供有关货物的合格证明材料、详细技术资料和检测报告等。</w:t>
      </w:r>
    </w:p>
    <w:p>
      <w:pPr>
        <w:spacing w:line="360" w:lineRule="auto"/>
        <w:ind w:firstLine="480" w:firstLineChars="200"/>
        <w:rPr>
          <w:rFonts w:ascii="宋体" w:hAnsi="宋体"/>
          <w:sz w:val="24"/>
        </w:rPr>
      </w:pPr>
      <w:r>
        <w:rPr>
          <w:rFonts w:hint="eastAsia" w:ascii="宋体" w:hAnsi="宋体"/>
          <w:sz w:val="24"/>
        </w:rPr>
        <w:t>2、 供应商应保证货物是全新、未使用过的合格产品。</w:t>
      </w:r>
    </w:p>
    <w:p>
      <w:pPr>
        <w:spacing w:line="360" w:lineRule="auto"/>
        <w:ind w:firstLine="480" w:firstLineChars="200"/>
        <w:rPr>
          <w:rFonts w:ascii="宋体" w:hAnsi="宋体"/>
          <w:sz w:val="24"/>
        </w:rPr>
      </w:pPr>
      <w:r>
        <w:rPr>
          <w:rFonts w:hint="eastAsia" w:ascii="宋体" w:hAnsi="宋体"/>
          <w:sz w:val="24"/>
        </w:rPr>
        <w:t>3、在供货期内，成交供应商所供货物经质量检测部门检测不合格，采购人有权终止合同。</w:t>
      </w:r>
    </w:p>
    <w:p>
      <w:pPr>
        <w:spacing w:line="360" w:lineRule="auto"/>
        <w:ind w:firstLine="480" w:firstLineChars="200"/>
        <w:rPr>
          <w:rFonts w:ascii="宋体" w:hAnsi="宋体"/>
          <w:sz w:val="24"/>
        </w:rPr>
      </w:pPr>
      <w:r>
        <w:rPr>
          <w:rFonts w:hint="eastAsia" w:ascii="宋体" w:hAnsi="宋体"/>
          <w:sz w:val="24"/>
        </w:rPr>
        <w:t>4、无论材料检测是否合格，所有费用均由成交供应商负责。</w:t>
      </w:r>
    </w:p>
    <w:p>
      <w:pPr>
        <w:spacing w:line="360" w:lineRule="auto"/>
        <w:ind w:firstLine="480" w:firstLineChars="200"/>
        <w:rPr>
          <w:rFonts w:ascii="宋体" w:hAnsi="宋体"/>
          <w:sz w:val="24"/>
        </w:rPr>
      </w:pPr>
      <w:r>
        <w:rPr>
          <w:rFonts w:hint="eastAsia" w:ascii="宋体" w:hAnsi="宋体"/>
          <w:sz w:val="24"/>
        </w:rPr>
        <w:t>5、所有产品供货之前必须经过采购人最终确认方可供货，否则不予接收。</w:t>
      </w:r>
    </w:p>
    <w:bookmarkEnd w:id="252"/>
    <w:p>
      <w:pPr>
        <w:pStyle w:val="3"/>
        <w:tabs>
          <w:tab w:val="left" w:pos="0"/>
        </w:tabs>
        <w:spacing w:before="0" w:after="0" w:line="560" w:lineRule="exact"/>
        <w:rPr>
          <w:rFonts w:hAnsi="宋体"/>
          <w:szCs w:val="32"/>
        </w:rPr>
      </w:pPr>
    </w:p>
    <w:p>
      <w:pPr>
        <w:pStyle w:val="3"/>
        <w:tabs>
          <w:tab w:val="left" w:pos="0"/>
        </w:tabs>
        <w:spacing w:before="0" w:after="0" w:line="560" w:lineRule="exact"/>
        <w:jc w:val="both"/>
        <w:rPr>
          <w:rFonts w:hAnsi="宋体"/>
          <w:szCs w:val="32"/>
        </w:rPr>
      </w:pPr>
    </w:p>
    <w:p>
      <w:pPr>
        <w:rPr>
          <w:rFonts w:hAnsi="宋体"/>
          <w:szCs w:val="32"/>
        </w:rPr>
      </w:pPr>
    </w:p>
    <w:p>
      <w:pPr>
        <w:pStyle w:val="46"/>
        <w:rPr>
          <w:rFonts w:hAnsi="宋体"/>
          <w:szCs w:val="32"/>
        </w:rPr>
      </w:pPr>
    </w:p>
    <w:p>
      <w:pPr>
        <w:rPr>
          <w:rFonts w:hAnsi="宋体"/>
          <w:szCs w:val="32"/>
        </w:rPr>
      </w:pPr>
    </w:p>
    <w:p>
      <w:pPr>
        <w:pStyle w:val="46"/>
        <w:rPr>
          <w:rFonts w:hAnsi="宋体"/>
          <w:szCs w:val="32"/>
        </w:rPr>
      </w:pPr>
    </w:p>
    <w:p>
      <w:pPr>
        <w:rPr>
          <w:rFonts w:hAnsi="宋体"/>
          <w:szCs w:val="32"/>
        </w:rPr>
      </w:pPr>
    </w:p>
    <w:p>
      <w:pPr>
        <w:pStyle w:val="46"/>
        <w:rPr>
          <w:rFonts w:hAnsi="宋体"/>
          <w:szCs w:val="32"/>
        </w:rPr>
      </w:pPr>
    </w:p>
    <w:p>
      <w:pPr>
        <w:rPr>
          <w:rFonts w:hAnsi="宋体"/>
          <w:szCs w:val="32"/>
        </w:rPr>
      </w:pPr>
    </w:p>
    <w:p>
      <w:pPr>
        <w:pStyle w:val="46"/>
        <w:rPr>
          <w:rFonts w:hAnsi="宋体"/>
          <w:szCs w:val="32"/>
        </w:rPr>
      </w:pPr>
    </w:p>
    <w:p>
      <w:pPr>
        <w:rPr>
          <w:rFonts w:hAnsi="宋体"/>
          <w:szCs w:val="32"/>
        </w:rPr>
      </w:pPr>
    </w:p>
    <w:p>
      <w:pPr>
        <w:pStyle w:val="46"/>
        <w:rPr>
          <w:rFonts w:hAnsi="宋体"/>
          <w:szCs w:val="32"/>
        </w:rPr>
      </w:pPr>
    </w:p>
    <w:p>
      <w:pPr>
        <w:rPr>
          <w:rFonts w:hAnsi="宋体"/>
          <w:szCs w:val="32"/>
        </w:rPr>
      </w:pPr>
    </w:p>
    <w:p>
      <w:pPr>
        <w:pStyle w:val="46"/>
        <w:rPr>
          <w:rFonts w:hAnsi="宋体"/>
          <w:szCs w:val="32"/>
        </w:rPr>
      </w:pPr>
    </w:p>
    <w:p>
      <w:pPr>
        <w:rPr>
          <w:rFonts w:hAnsi="宋体"/>
          <w:szCs w:val="32"/>
        </w:rPr>
      </w:pPr>
    </w:p>
    <w:p>
      <w:pPr>
        <w:pStyle w:val="46"/>
        <w:rPr>
          <w:rFonts w:hAnsi="宋体"/>
          <w:szCs w:val="32"/>
        </w:rPr>
      </w:pPr>
    </w:p>
    <w:p>
      <w:pPr>
        <w:rPr>
          <w:rFonts w:hAnsi="宋体"/>
          <w:szCs w:val="32"/>
        </w:rPr>
      </w:pPr>
    </w:p>
    <w:p>
      <w:pPr>
        <w:pStyle w:val="46"/>
        <w:rPr>
          <w:rFonts w:hAnsi="宋体"/>
          <w:szCs w:val="32"/>
        </w:rPr>
      </w:pPr>
    </w:p>
    <w:p>
      <w:pPr>
        <w:rPr>
          <w:rFonts w:hAnsi="宋体"/>
          <w:szCs w:val="32"/>
        </w:rPr>
      </w:pPr>
    </w:p>
    <w:p>
      <w:pPr>
        <w:pStyle w:val="46"/>
        <w:rPr>
          <w:rFonts w:hAnsi="宋体"/>
          <w:szCs w:val="32"/>
        </w:rPr>
      </w:pPr>
    </w:p>
    <w:p>
      <w:pPr>
        <w:rPr>
          <w:rFonts w:hAnsi="宋体"/>
          <w:szCs w:val="32"/>
        </w:rPr>
      </w:pPr>
    </w:p>
    <w:p>
      <w:pPr>
        <w:pStyle w:val="46"/>
        <w:rPr>
          <w:rFonts w:hAnsi="宋体"/>
          <w:szCs w:val="32"/>
        </w:rPr>
      </w:pPr>
    </w:p>
    <w:p>
      <w:pPr>
        <w:rPr>
          <w:rFonts w:hAnsi="宋体"/>
          <w:szCs w:val="32"/>
        </w:rPr>
      </w:pPr>
    </w:p>
    <w:p>
      <w:pPr>
        <w:pStyle w:val="46"/>
        <w:rPr>
          <w:rFonts w:hAnsi="宋体"/>
          <w:szCs w:val="32"/>
        </w:rPr>
      </w:pPr>
    </w:p>
    <w:p>
      <w:pPr>
        <w:rPr>
          <w:rFonts w:hAnsi="宋体"/>
          <w:szCs w:val="32"/>
        </w:rPr>
      </w:pPr>
    </w:p>
    <w:p>
      <w:pPr>
        <w:pStyle w:val="46"/>
        <w:rPr>
          <w:rFonts w:hAnsi="宋体"/>
          <w:szCs w:val="32"/>
        </w:rPr>
      </w:pPr>
    </w:p>
    <w:p>
      <w:pPr>
        <w:rPr>
          <w:rFonts w:hAnsi="宋体"/>
          <w:szCs w:val="32"/>
        </w:rPr>
      </w:pPr>
    </w:p>
    <w:p>
      <w:pPr>
        <w:pStyle w:val="46"/>
        <w:rPr>
          <w:rFonts w:hAnsi="宋体"/>
          <w:szCs w:val="32"/>
        </w:rPr>
      </w:pPr>
    </w:p>
    <w:p>
      <w:pPr>
        <w:rPr>
          <w:rFonts w:hAnsi="宋体"/>
          <w:szCs w:val="32"/>
        </w:rPr>
      </w:pPr>
    </w:p>
    <w:p>
      <w:pPr>
        <w:pStyle w:val="46"/>
        <w:rPr>
          <w:rFonts w:hAnsi="宋体"/>
          <w:szCs w:val="32"/>
        </w:rPr>
      </w:pPr>
    </w:p>
    <w:p>
      <w:pPr>
        <w:rPr>
          <w:rFonts w:hAnsi="宋体"/>
          <w:szCs w:val="32"/>
        </w:rPr>
      </w:pPr>
    </w:p>
    <w:p>
      <w:pPr>
        <w:pStyle w:val="46"/>
        <w:rPr>
          <w:rFonts w:hAnsi="宋体"/>
          <w:szCs w:val="32"/>
        </w:rPr>
      </w:pPr>
    </w:p>
    <w:p>
      <w:pPr>
        <w:rPr>
          <w:rFonts w:hAnsi="宋体"/>
          <w:szCs w:val="32"/>
        </w:rPr>
      </w:pPr>
    </w:p>
    <w:p>
      <w:pPr>
        <w:rPr>
          <w:rFonts w:hAnsi="宋体"/>
          <w:szCs w:val="32"/>
        </w:rPr>
      </w:pPr>
      <w:r>
        <w:br w:type="page"/>
      </w:r>
    </w:p>
    <w:p>
      <w:pPr>
        <w:pStyle w:val="46"/>
      </w:pPr>
    </w:p>
    <w:p>
      <w:pPr>
        <w:pStyle w:val="3"/>
        <w:tabs>
          <w:tab w:val="left" w:pos="0"/>
        </w:tabs>
        <w:spacing w:before="0" w:after="0" w:line="560" w:lineRule="exact"/>
        <w:rPr>
          <w:rFonts w:hAnsi="宋体"/>
          <w:szCs w:val="32"/>
        </w:rPr>
      </w:pPr>
      <w:bookmarkStart w:id="263" w:name="_Toc20448"/>
      <w:r>
        <w:rPr>
          <w:rFonts w:hint="eastAsia" w:hAnsi="宋体"/>
          <w:szCs w:val="32"/>
        </w:rPr>
        <w:t>第四章 评审方法和标准</w:t>
      </w:r>
      <w:bookmarkEnd w:id="253"/>
      <w:bookmarkEnd w:id="254"/>
      <w:bookmarkEnd w:id="255"/>
      <w:bookmarkEnd w:id="256"/>
      <w:bookmarkEnd w:id="257"/>
      <w:bookmarkEnd w:id="258"/>
      <w:bookmarkEnd w:id="259"/>
      <w:bookmarkEnd w:id="260"/>
      <w:bookmarkEnd w:id="261"/>
      <w:bookmarkEnd w:id="262"/>
      <w:bookmarkEnd w:id="263"/>
    </w:p>
    <w:p>
      <w:pPr>
        <w:pStyle w:val="11"/>
        <w:spacing w:line="560" w:lineRule="exact"/>
        <w:ind w:firstLine="480" w:firstLineChars="200"/>
        <w:jc w:val="both"/>
        <w:rPr>
          <w:rFonts w:hAnsi="宋体" w:cs="宋体"/>
          <w:szCs w:val="21"/>
        </w:rPr>
      </w:pPr>
      <w:r>
        <w:rPr>
          <w:rFonts w:hint="eastAsia" w:hAnsi="宋体" w:cs="宋体"/>
          <w:szCs w:val="21"/>
        </w:rPr>
        <w:t>采购人、采购代理机构应当组织具有相关经验的专业人员与供应商商定合理的成交价格并保证采购项目质量。</w:t>
      </w:r>
    </w:p>
    <w:p>
      <w:pPr>
        <w:pStyle w:val="11"/>
        <w:spacing w:line="560" w:lineRule="exact"/>
        <w:ind w:firstLine="480" w:firstLineChars="200"/>
        <w:jc w:val="both"/>
        <w:rPr>
          <w:rFonts w:hAnsi="宋体" w:cs="宋体"/>
        </w:rPr>
      </w:pPr>
      <w:r>
        <w:rPr>
          <w:rFonts w:hint="eastAsia" w:hAnsi="宋体" w:cs="宋体"/>
          <w:szCs w:val="21"/>
        </w:rPr>
        <w:t>专业人员小组应当遵循单一来源采购文件要求，在保证采购项目质量的前提下与供应商商定合理的成交价格。</w:t>
      </w:r>
      <w:bookmarkStart w:id="264" w:name="_Toc46238261"/>
      <w:bookmarkStart w:id="265" w:name="_Toc143"/>
      <w:bookmarkStart w:id="266" w:name="_Toc62323827"/>
      <w:bookmarkStart w:id="267" w:name="_Toc46136844"/>
      <w:bookmarkStart w:id="268" w:name="_Toc45562497"/>
    </w:p>
    <w:p>
      <w:pPr>
        <w:spacing w:line="560" w:lineRule="exact"/>
        <w:jc w:val="center"/>
        <w:rPr>
          <w:rFonts w:ascii="宋体" w:hAnsi="宋体" w:cs="宋体"/>
          <w:b/>
          <w:bCs/>
          <w:kern w:val="0"/>
          <w:sz w:val="28"/>
          <w:szCs w:val="28"/>
        </w:rPr>
      </w:pPr>
      <w:r>
        <w:rPr>
          <w:rFonts w:hint="eastAsia" w:ascii="宋体" w:hAnsi="宋体" w:cs="宋体"/>
          <w:b/>
          <w:bCs/>
          <w:sz w:val="30"/>
          <w:szCs w:val="30"/>
        </w:rPr>
        <w:t>初步评审</w:t>
      </w:r>
      <w:bookmarkEnd w:id="264"/>
      <w:bookmarkEnd w:id="265"/>
      <w:bookmarkEnd w:id="266"/>
      <w:bookmarkEnd w:id="267"/>
      <w:bookmarkEnd w:id="268"/>
    </w:p>
    <w:tbl>
      <w:tblPr>
        <w:tblStyle w:val="38"/>
        <w:tblW w:w="927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75"/>
        <w:gridCol w:w="1065"/>
        <w:gridCol w:w="4027"/>
        <w:gridCol w:w="3008"/>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704" w:hRule="atLeast"/>
          <w:jc w:val="center"/>
        </w:trPr>
        <w:tc>
          <w:tcPr>
            <w:tcW w:w="1175" w:type="dxa"/>
            <w:vAlign w:val="center"/>
          </w:tcPr>
          <w:p>
            <w:pPr>
              <w:keepNext w:val="0"/>
              <w:keepLines w:val="0"/>
              <w:suppressLineNumbers w:val="0"/>
              <w:spacing w:before="0" w:beforeAutospacing="0" w:after="0" w:afterAutospacing="0" w:line="560" w:lineRule="exact"/>
              <w:ind w:left="0" w:right="0"/>
              <w:jc w:val="center"/>
              <w:rPr>
                <w:rFonts w:hint="default" w:ascii="宋体" w:hAnsi="宋体" w:cs="宋体"/>
                <w:kern w:val="0"/>
                <w:sz w:val="24"/>
                <w:lang w:eastAsia="en-US"/>
              </w:rPr>
            </w:pPr>
            <w:r>
              <w:rPr>
                <w:rFonts w:hint="default" w:ascii="宋体" w:hAnsi="宋体" w:cs="宋体"/>
                <w:kern w:val="0"/>
                <w:sz w:val="24"/>
                <w:lang w:eastAsia="en-US"/>
              </w:rPr>
              <w:t>评审方式</w:t>
            </w:r>
          </w:p>
        </w:tc>
        <w:tc>
          <w:tcPr>
            <w:tcW w:w="1065" w:type="dxa"/>
            <w:vAlign w:val="center"/>
          </w:tcPr>
          <w:p>
            <w:pPr>
              <w:keepNext w:val="0"/>
              <w:keepLines w:val="0"/>
              <w:suppressLineNumbers w:val="0"/>
              <w:spacing w:before="0" w:beforeAutospacing="0" w:after="0" w:afterAutospacing="0" w:line="560" w:lineRule="exact"/>
              <w:ind w:left="0" w:right="0"/>
              <w:jc w:val="center"/>
              <w:rPr>
                <w:rFonts w:hint="default" w:ascii="宋体" w:hAnsi="宋体" w:cs="宋体"/>
                <w:kern w:val="0"/>
                <w:sz w:val="24"/>
                <w:lang w:eastAsia="en-US"/>
              </w:rPr>
            </w:pPr>
            <w:r>
              <w:rPr>
                <w:rFonts w:hint="default" w:ascii="宋体" w:hAnsi="宋体" w:cs="宋体"/>
                <w:kern w:val="0"/>
                <w:sz w:val="24"/>
                <w:lang w:eastAsia="en-US"/>
              </w:rPr>
              <w:t>序号</w:t>
            </w:r>
          </w:p>
        </w:tc>
        <w:tc>
          <w:tcPr>
            <w:tcW w:w="4027" w:type="dxa"/>
            <w:vAlign w:val="center"/>
          </w:tcPr>
          <w:p>
            <w:pPr>
              <w:keepNext w:val="0"/>
              <w:keepLines w:val="0"/>
              <w:suppressLineNumbers w:val="0"/>
              <w:spacing w:before="0" w:beforeAutospacing="0" w:after="0" w:afterAutospacing="0" w:line="560" w:lineRule="exact"/>
              <w:ind w:left="0" w:right="0"/>
              <w:jc w:val="center"/>
              <w:rPr>
                <w:rFonts w:hint="default" w:ascii="宋体" w:hAnsi="宋体" w:cs="宋体"/>
                <w:kern w:val="0"/>
                <w:sz w:val="24"/>
              </w:rPr>
            </w:pPr>
            <w:r>
              <w:rPr>
                <w:rFonts w:hint="default" w:ascii="宋体" w:hAnsi="宋体" w:cs="宋体"/>
                <w:kern w:val="0"/>
                <w:sz w:val="24"/>
                <w:lang w:eastAsia="en-US"/>
              </w:rPr>
              <w:t>评审因素</w:t>
            </w:r>
          </w:p>
        </w:tc>
        <w:tc>
          <w:tcPr>
            <w:tcW w:w="3008" w:type="dxa"/>
            <w:vAlign w:val="center"/>
          </w:tcPr>
          <w:p>
            <w:pPr>
              <w:keepNext w:val="0"/>
              <w:keepLines w:val="0"/>
              <w:suppressLineNumbers w:val="0"/>
              <w:spacing w:before="0" w:beforeAutospacing="0" w:after="0" w:afterAutospacing="0" w:line="560" w:lineRule="exact"/>
              <w:ind w:left="0" w:right="0"/>
              <w:jc w:val="center"/>
              <w:rPr>
                <w:rFonts w:hint="default" w:ascii="宋体" w:hAnsi="宋体" w:cs="宋体"/>
                <w:kern w:val="0"/>
                <w:sz w:val="24"/>
                <w:lang w:eastAsia="en-US"/>
              </w:rPr>
            </w:pPr>
            <w:r>
              <w:rPr>
                <w:rFonts w:hint="default" w:ascii="宋体" w:hAnsi="宋体" w:cs="宋体"/>
                <w:kern w:val="0"/>
                <w:sz w:val="24"/>
                <w:lang w:eastAsia="en-US"/>
              </w:rPr>
              <w:t>评审标准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85" w:hRule="atLeast"/>
          <w:jc w:val="center"/>
        </w:trPr>
        <w:tc>
          <w:tcPr>
            <w:tcW w:w="1175" w:type="dxa"/>
            <w:vMerge w:val="restart"/>
            <w:vAlign w:val="center"/>
          </w:tcPr>
          <w:p>
            <w:pPr>
              <w:keepNext w:val="0"/>
              <w:keepLines w:val="0"/>
              <w:suppressLineNumbers w:val="0"/>
              <w:spacing w:before="0" w:beforeAutospacing="0" w:after="0" w:afterAutospacing="0" w:line="560" w:lineRule="exact"/>
              <w:ind w:left="0" w:right="0"/>
              <w:jc w:val="center"/>
              <w:rPr>
                <w:rFonts w:hint="default" w:ascii="宋体" w:hAnsi="宋体" w:cs="宋体"/>
                <w:kern w:val="0"/>
                <w:sz w:val="24"/>
                <w:lang w:eastAsia="en-US"/>
              </w:rPr>
            </w:pPr>
          </w:p>
          <w:p>
            <w:pPr>
              <w:keepNext w:val="0"/>
              <w:keepLines w:val="0"/>
              <w:suppressLineNumbers w:val="0"/>
              <w:spacing w:before="0" w:beforeAutospacing="0" w:after="0" w:afterAutospacing="0" w:line="560" w:lineRule="exact"/>
              <w:ind w:left="0" w:right="0"/>
              <w:jc w:val="center"/>
              <w:rPr>
                <w:rFonts w:hint="default" w:ascii="宋体" w:hAnsi="宋体" w:cs="宋体"/>
                <w:kern w:val="0"/>
                <w:sz w:val="24"/>
                <w:lang w:eastAsia="en-US"/>
              </w:rPr>
            </w:pPr>
            <w:r>
              <w:rPr>
                <w:rFonts w:hint="eastAsia" w:ascii="宋体" w:hAnsi="宋体" w:cs="宋体"/>
                <w:kern w:val="0"/>
                <w:sz w:val="24"/>
                <w:lang w:eastAsia="en-US"/>
              </w:rPr>
              <w:t>符合性</w:t>
            </w:r>
          </w:p>
          <w:p>
            <w:pPr>
              <w:keepNext w:val="0"/>
              <w:keepLines w:val="0"/>
              <w:suppressLineNumbers w:val="0"/>
              <w:spacing w:before="0" w:beforeAutospacing="0" w:after="0" w:afterAutospacing="0" w:line="560" w:lineRule="exact"/>
              <w:ind w:left="0" w:right="0"/>
              <w:jc w:val="center"/>
              <w:rPr>
                <w:rFonts w:hint="default" w:ascii="宋体" w:hAnsi="宋体" w:cs="宋体"/>
                <w:kern w:val="0"/>
                <w:sz w:val="24"/>
                <w:lang w:eastAsia="en-US"/>
              </w:rPr>
            </w:pPr>
            <w:r>
              <w:rPr>
                <w:rFonts w:hint="default" w:ascii="宋体" w:hAnsi="宋体" w:cs="宋体"/>
                <w:kern w:val="0"/>
                <w:sz w:val="24"/>
                <w:lang w:eastAsia="en-US"/>
              </w:rPr>
              <w:t>评审</w:t>
            </w:r>
          </w:p>
          <w:p>
            <w:pPr>
              <w:keepNext w:val="0"/>
              <w:keepLines w:val="0"/>
              <w:suppressLineNumbers w:val="0"/>
              <w:spacing w:before="0" w:beforeAutospacing="0" w:after="0" w:afterAutospacing="0" w:line="560" w:lineRule="exact"/>
              <w:ind w:left="0" w:right="0"/>
              <w:jc w:val="center"/>
              <w:rPr>
                <w:rFonts w:hint="default" w:ascii="宋体" w:hAnsi="宋体" w:cs="宋体"/>
                <w:kern w:val="0"/>
                <w:sz w:val="24"/>
                <w:lang w:eastAsia="en-US"/>
              </w:rPr>
            </w:pPr>
          </w:p>
          <w:p>
            <w:pPr>
              <w:keepNext w:val="0"/>
              <w:keepLines w:val="0"/>
              <w:suppressLineNumbers w:val="0"/>
              <w:spacing w:before="0" w:beforeAutospacing="0" w:after="0" w:afterAutospacing="0" w:line="560" w:lineRule="exact"/>
              <w:ind w:left="0" w:right="0"/>
              <w:jc w:val="center"/>
              <w:rPr>
                <w:rFonts w:hint="default" w:ascii="宋体" w:hAnsi="宋体" w:cs="宋体"/>
                <w:kern w:val="0"/>
                <w:sz w:val="24"/>
                <w:lang w:eastAsia="en-US"/>
              </w:rPr>
            </w:pPr>
          </w:p>
        </w:tc>
        <w:tc>
          <w:tcPr>
            <w:tcW w:w="1065" w:type="dxa"/>
            <w:vAlign w:val="center"/>
          </w:tcPr>
          <w:p>
            <w:pPr>
              <w:keepNext w:val="0"/>
              <w:keepLines w:val="0"/>
              <w:suppressLineNumbers w:val="0"/>
              <w:spacing w:before="0" w:beforeAutospacing="0" w:after="0" w:afterAutospacing="0" w:line="560" w:lineRule="exact"/>
              <w:ind w:left="0" w:right="0"/>
              <w:jc w:val="center"/>
              <w:rPr>
                <w:rFonts w:hint="default" w:ascii="宋体" w:hAnsi="宋体" w:cs="宋体"/>
                <w:kern w:val="0"/>
                <w:sz w:val="24"/>
                <w:lang w:eastAsia="en-US"/>
              </w:rPr>
            </w:pPr>
            <w:r>
              <w:rPr>
                <w:rFonts w:hint="default" w:ascii="宋体" w:hAnsi="宋体" w:cs="宋体"/>
                <w:kern w:val="0"/>
                <w:sz w:val="24"/>
                <w:lang w:eastAsia="en-US"/>
              </w:rPr>
              <w:t>1</w:t>
            </w:r>
          </w:p>
        </w:tc>
        <w:tc>
          <w:tcPr>
            <w:tcW w:w="4027" w:type="dxa"/>
          </w:tcPr>
          <w:p>
            <w:pPr>
              <w:keepNext w:val="0"/>
              <w:keepLines w:val="0"/>
              <w:suppressLineNumbers w:val="0"/>
              <w:autoSpaceDE w:val="0"/>
              <w:autoSpaceDN w:val="0"/>
              <w:spacing w:before="0" w:beforeAutospacing="0" w:after="0" w:afterAutospacing="0"/>
              <w:ind w:left="0" w:right="0"/>
              <w:jc w:val="center"/>
              <w:rPr>
                <w:rFonts w:hint="default" w:ascii="宋体" w:hAnsi="宋体" w:cs="宋体"/>
                <w:sz w:val="24"/>
              </w:rPr>
            </w:pPr>
          </w:p>
          <w:p>
            <w:pPr>
              <w:keepNext w:val="0"/>
              <w:keepLines w:val="0"/>
              <w:suppressLineNumbers w:val="0"/>
              <w:autoSpaceDE w:val="0"/>
              <w:autoSpaceDN w:val="0"/>
              <w:spacing w:before="0" w:beforeAutospacing="0" w:after="0" w:afterAutospacing="0"/>
              <w:ind w:left="0" w:right="0"/>
              <w:jc w:val="center"/>
              <w:rPr>
                <w:rFonts w:hint="default" w:ascii="宋体" w:hAnsi="宋体" w:cs="宋体"/>
                <w:kern w:val="0"/>
                <w:sz w:val="24"/>
                <w:lang w:eastAsia="en-US"/>
              </w:rPr>
            </w:pPr>
            <w:r>
              <w:rPr>
                <w:rFonts w:hint="eastAsia" w:ascii="宋体" w:hAnsi="宋体" w:cs="宋体"/>
                <w:sz w:val="24"/>
              </w:rPr>
              <w:t>投标人名称</w:t>
            </w:r>
          </w:p>
        </w:tc>
        <w:tc>
          <w:tcPr>
            <w:tcW w:w="3008" w:type="dxa"/>
            <w:vAlign w:val="center"/>
          </w:tcPr>
          <w:p>
            <w:pPr>
              <w:keepNext w:val="0"/>
              <w:keepLines w:val="0"/>
              <w:suppressLineNumbers w:val="0"/>
              <w:spacing w:before="0" w:beforeAutospacing="0" w:after="0" w:afterAutospacing="0" w:line="560" w:lineRule="exact"/>
              <w:ind w:left="0" w:right="0"/>
              <w:jc w:val="center"/>
              <w:rPr>
                <w:rFonts w:hint="default" w:ascii="宋体" w:hAnsi="宋体" w:cs="宋体"/>
                <w:kern w:val="0"/>
                <w:sz w:val="24"/>
                <w:lang w:eastAsia="en-US"/>
              </w:rPr>
            </w:pPr>
            <w:r>
              <w:rPr>
                <w:rFonts w:hint="eastAsia" w:ascii="宋体" w:hAnsi="宋体" w:cs="宋体"/>
                <w:kern w:val="0"/>
                <w:sz w:val="24"/>
              </w:rPr>
              <w:t>符合</w:t>
            </w:r>
            <w:r>
              <w:rPr>
                <w:rFonts w:hint="eastAsia" w:ascii="宋体" w:hAnsi="宋体" w:cs="宋体"/>
                <w:kern w:val="0"/>
                <w:sz w:val="24"/>
                <w:lang w:eastAsia="zh-CN"/>
              </w:rPr>
              <w:t>招标</w:t>
            </w:r>
            <w:r>
              <w:rPr>
                <w:rFonts w:hint="eastAsia" w:ascii="宋体" w:hAnsi="宋体" w:cs="宋体"/>
                <w:kern w:val="0"/>
                <w:sz w:val="24"/>
              </w:rPr>
              <w:t>文件要求</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885" w:hRule="atLeast"/>
          <w:jc w:val="center"/>
        </w:trPr>
        <w:tc>
          <w:tcPr>
            <w:tcW w:w="1175" w:type="dxa"/>
            <w:vMerge w:val="continue"/>
          </w:tcPr>
          <w:p>
            <w:pPr>
              <w:keepNext w:val="0"/>
              <w:keepLines w:val="0"/>
              <w:suppressLineNumbers w:val="0"/>
              <w:spacing w:before="0" w:beforeAutospacing="0" w:after="0" w:afterAutospacing="0" w:line="560" w:lineRule="exact"/>
              <w:ind w:left="0" w:right="0"/>
              <w:jc w:val="center"/>
              <w:rPr>
                <w:rFonts w:hint="default" w:ascii="宋体" w:hAnsi="宋体" w:cs="宋体"/>
                <w:kern w:val="0"/>
                <w:sz w:val="24"/>
                <w:lang w:eastAsia="en-US"/>
              </w:rPr>
            </w:pPr>
          </w:p>
        </w:tc>
        <w:tc>
          <w:tcPr>
            <w:tcW w:w="1065" w:type="dxa"/>
            <w:vAlign w:val="center"/>
          </w:tcPr>
          <w:p>
            <w:pPr>
              <w:keepNext w:val="0"/>
              <w:keepLines w:val="0"/>
              <w:suppressLineNumbers w:val="0"/>
              <w:spacing w:before="0" w:beforeAutospacing="0" w:after="0" w:afterAutospacing="0" w:line="560" w:lineRule="exact"/>
              <w:ind w:left="0" w:right="0"/>
              <w:jc w:val="center"/>
              <w:rPr>
                <w:rFonts w:hint="default" w:ascii="宋体" w:hAnsi="宋体" w:cs="宋体"/>
                <w:kern w:val="0"/>
                <w:sz w:val="24"/>
                <w:lang w:eastAsia="en-US"/>
              </w:rPr>
            </w:pPr>
            <w:r>
              <w:rPr>
                <w:rFonts w:hint="default" w:ascii="宋体" w:hAnsi="宋体" w:cs="宋体"/>
                <w:kern w:val="0"/>
                <w:sz w:val="24"/>
                <w:lang w:eastAsia="en-US"/>
              </w:rPr>
              <w:t>2</w:t>
            </w:r>
          </w:p>
        </w:tc>
        <w:tc>
          <w:tcPr>
            <w:tcW w:w="4027" w:type="dxa"/>
          </w:tcPr>
          <w:p>
            <w:pPr>
              <w:keepNext w:val="0"/>
              <w:keepLines w:val="0"/>
              <w:suppressLineNumbers w:val="0"/>
              <w:autoSpaceDE w:val="0"/>
              <w:autoSpaceDN w:val="0"/>
              <w:spacing w:before="0" w:beforeAutospacing="0" w:after="0" w:afterAutospacing="0"/>
              <w:ind w:left="0" w:right="0"/>
              <w:jc w:val="center"/>
              <w:rPr>
                <w:rFonts w:hint="default" w:ascii="宋体" w:hAnsi="宋体" w:cs="宋体"/>
                <w:sz w:val="24"/>
              </w:rPr>
            </w:pPr>
          </w:p>
          <w:p>
            <w:pPr>
              <w:keepNext w:val="0"/>
              <w:keepLines w:val="0"/>
              <w:suppressLineNumbers w:val="0"/>
              <w:autoSpaceDE w:val="0"/>
              <w:autoSpaceDN w:val="0"/>
              <w:spacing w:before="0" w:beforeAutospacing="0" w:after="0" w:afterAutospacing="0"/>
              <w:ind w:left="0" w:right="0"/>
              <w:jc w:val="center"/>
              <w:rPr>
                <w:rFonts w:hint="default" w:ascii="宋体" w:hAnsi="宋体" w:cs="宋体"/>
                <w:kern w:val="0"/>
                <w:sz w:val="24"/>
                <w:lang w:eastAsia="en-US"/>
              </w:rPr>
            </w:pPr>
            <w:r>
              <w:rPr>
                <w:rFonts w:hint="eastAsia" w:ascii="宋体" w:hAnsi="宋体" w:cs="宋体"/>
                <w:sz w:val="24"/>
              </w:rPr>
              <w:t>投标文件签署</w:t>
            </w:r>
          </w:p>
        </w:tc>
        <w:tc>
          <w:tcPr>
            <w:tcW w:w="3008" w:type="dxa"/>
            <w:vAlign w:val="center"/>
          </w:tcPr>
          <w:p>
            <w:pPr>
              <w:keepNext w:val="0"/>
              <w:keepLines w:val="0"/>
              <w:suppressLineNumbers w:val="0"/>
              <w:spacing w:before="0" w:beforeAutospacing="0" w:after="0" w:afterAutospacing="0" w:line="560" w:lineRule="exact"/>
              <w:ind w:left="0" w:right="0"/>
              <w:jc w:val="center"/>
              <w:rPr>
                <w:rFonts w:hint="default" w:ascii="宋体" w:hAnsi="宋体" w:cs="宋体"/>
                <w:kern w:val="0"/>
                <w:sz w:val="24"/>
                <w:lang w:eastAsia="en-US"/>
              </w:rPr>
            </w:pPr>
            <w:r>
              <w:rPr>
                <w:rFonts w:hint="eastAsia" w:ascii="宋体" w:hAnsi="宋体" w:cs="宋体"/>
                <w:kern w:val="0"/>
                <w:sz w:val="24"/>
              </w:rPr>
              <w:t>符合</w:t>
            </w:r>
            <w:r>
              <w:rPr>
                <w:rFonts w:hint="eastAsia" w:ascii="宋体" w:hAnsi="宋体" w:cs="宋体"/>
                <w:kern w:val="0"/>
                <w:sz w:val="24"/>
                <w:lang w:eastAsia="zh-CN"/>
              </w:rPr>
              <w:t>招标</w:t>
            </w:r>
            <w:r>
              <w:rPr>
                <w:rFonts w:hint="eastAsia" w:ascii="宋体" w:hAnsi="宋体" w:cs="宋体"/>
                <w:kern w:val="0"/>
                <w:sz w:val="24"/>
              </w:rPr>
              <w:t>文件要求</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870" w:hRule="atLeast"/>
          <w:jc w:val="center"/>
        </w:trPr>
        <w:tc>
          <w:tcPr>
            <w:tcW w:w="1175" w:type="dxa"/>
            <w:vMerge w:val="continue"/>
          </w:tcPr>
          <w:p>
            <w:pPr>
              <w:keepNext w:val="0"/>
              <w:keepLines w:val="0"/>
              <w:suppressLineNumbers w:val="0"/>
              <w:spacing w:before="0" w:beforeAutospacing="0" w:after="0" w:afterAutospacing="0" w:line="560" w:lineRule="exact"/>
              <w:ind w:left="0" w:right="0"/>
              <w:jc w:val="center"/>
              <w:rPr>
                <w:rFonts w:hint="default" w:ascii="宋体" w:hAnsi="宋体" w:cs="宋体"/>
                <w:kern w:val="0"/>
                <w:sz w:val="24"/>
                <w:lang w:eastAsia="en-US"/>
              </w:rPr>
            </w:pPr>
          </w:p>
        </w:tc>
        <w:tc>
          <w:tcPr>
            <w:tcW w:w="1065" w:type="dxa"/>
            <w:vAlign w:val="center"/>
          </w:tcPr>
          <w:p>
            <w:pPr>
              <w:keepNext w:val="0"/>
              <w:keepLines w:val="0"/>
              <w:suppressLineNumbers w:val="0"/>
              <w:spacing w:before="0" w:beforeAutospacing="0" w:after="0" w:afterAutospacing="0" w:line="560" w:lineRule="exact"/>
              <w:ind w:left="0" w:right="0"/>
              <w:jc w:val="center"/>
              <w:rPr>
                <w:rFonts w:hint="default" w:ascii="宋体" w:hAnsi="宋体" w:cs="宋体"/>
                <w:kern w:val="0"/>
                <w:sz w:val="24"/>
                <w:lang w:eastAsia="en-US"/>
              </w:rPr>
            </w:pPr>
            <w:r>
              <w:rPr>
                <w:rFonts w:hint="default" w:ascii="宋体" w:hAnsi="宋体" w:cs="宋体"/>
                <w:kern w:val="0"/>
                <w:sz w:val="24"/>
                <w:lang w:eastAsia="en-US"/>
              </w:rPr>
              <w:t>3</w:t>
            </w:r>
          </w:p>
        </w:tc>
        <w:tc>
          <w:tcPr>
            <w:tcW w:w="4027" w:type="dxa"/>
          </w:tcPr>
          <w:p>
            <w:pPr>
              <w:pStyle w:val="48"/>
              <w:keepNext w:val="0"/>
              <w:keepLines w:val="0"/>
              <w:suppressLineNumbers w:val="0"/>
              <w:spacing w:before="0" w:beforeAutospacing="0" w:after="0" w:afterAutospacing="0"/>
              <w:ind w:left="0" w:right="0" w:firstLine="0" w:firstLineChars="0"/>
              <w:jc w:val="center"/>
              <w:rPr>
                <w:rFonts w:hint="default" w:ascii="宋体" w:hAnsi="宋体" w:cs="宋体"/>
                <w:sz w:val="24"/>
              </w:rPr>
            </w:pPr>
          </w:p>
          <w:p>
            <w:pPr>
              <w:pStyle w:val="48"/>
              <w:keepNext w:val="0"/>
              <w:keepLines w:val="0"/>
              <w:suppressLineNumbers w:val="0"/>
              <w:spacing w:before="0" w:beforeAutospacing="0" w:after="0" w:afterAutospacing="0"/>
              <w:ind w:left="0" w:right="0" w:firstLine="0" w:firstLineChars="0"/>
              <w:jc w:val="center"/>
              <w:rPr>
                <w:rFonts w:hint="default" w:ascii="宋体" w:hAnsi="宋体" w:cs="宋体"/>
                <w:kern w:val="0"/>
                <w:sz w:val="24"/>
                <w:lang w:eastAsia="en-US"/>
              </w:rPr>
            </w:pPr>
            <w:r>
              <w:rPr>
                <w:rFonts w:hint="eastAsia" w:ascii="宋体" w:hAnsi="宋体" w:cs="宋体"/>
                <w:sz w:val="24"/>
              </w:rPr>
              <w:t>投标方案</w:t>
            </w:r>
          </w:p>
        </w:tc>
        <w:tc>
          <w:tcPr>
            <w:tcW w:w="3008" w:type="dxa"/>
            <w:vAlign w:val="center"/>
          </w:tcPr>
          <w:p>
            <w:pPr>
              <w:keepNext w:val="0"/>
              <w:keepLines w:val="0"/>
              <w:suppressLineNumbers w:val="0"/>
              <w:spacing w:before="0" w:beforeAutospacing="0" w:after="0" w:afterAutospacing="0" w:line="560" w:lineRule="exact"/>
              <w:ind w:left="0" w:right="0"/>
              <w:jc w:val="center"/>
              <w:rPr>
                <w:rFonts w:hint="default" w:ascii="宋体" w:hAnsi="宋体" w:cs="宋体"/>
                <w:kern w:val="0"/>
                <w:sz w:val="24"/>
                <w:lang w:eastAsia="en-US"/>
              </w:rPr>
            </w:pPr>
            <w:r>
              <w:rPr>
                <w:rFonts w:hint="eastAsia" w:ascii="宋体" w:hAnsi="宋体" w:cs="宋体"/>
                <w:kern w:val="0"/>
                <w:sz w:val="24"/>
              </w:rPr>
              <w:t>符合</w:t>
            </w:r>
            <w:r>
              <w:rPr>
                <w:rFonts w:hint="eastAsia" w:ascii="宋体" w:hAnsi="宋体" w:cs="宋体"/>
                <w:kern w:val="0"/>
                <w:sz w:val="24"/>
                <w:lang w:eastAsia="zh-CN"/>
              </w:rPr>
              <w:t>招标</w:t>
            </w:r>
            <w:r>
              <w:rPr>
                <w:rFonts w:hint="eastAsia" w:ascii="宋体" w:hAnsi="宋体" w:cs="宋体"/>
                <w:kern w:val="0"/>
                <w:sz w:val="24"/>
              </w:rPr>
              <w:t>文件要求</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990" w:hRule="atLeast"/>
          <w:jc w:val="center"/>
        </w:trPr>
        <w:tc>
          <w:tcPr>
            <w:tcW w:w="1175" w:type="dxa"/>
            <w:vMerge w:val="continue"/>
          </w:tcPr>
          <w:p>
            <w:pPr>
              <w:keepNext w:val="0"/>
              <w:keepLines w:val="0"/>
              <w:suppressLineNumbers w:val="0"/>
              <w:spacing w:before="0" w:beforeAutospacing="0" w:after="0" w:afterAutospacing="0" w:line="560" w:lineRule="exact"/>
              <w:ind w:left="0" w:right="0"/>
              <w:jc w:val="center"/>
              <w:rPr>
                <w:rFonts w:hint="default" w:ascii="宋体" w:hAnsi="宋体" w:cs="宋体"/>
                <w:kern w:val="0"/>
                <w:sz w:val="24"/>
                <w:lang w:eastAsia="en-US"/>
              </w:rPr>
            </w:pPr>
          </w:p>
        </w:tc>
        <w:tc>
          <w:tcPr>
            <w:tcW w:w="1065" w:type="dxa"/>
            <w:vAlign w:val="center"/>
          </w:tcPr>
          <w:p>
            <w:pPr>
              <w:keepNext w:val="0"/>
              <w:keepLines w:val="0"/>
              <w:suppressLineNumbers w:val="0"/>
              <w:spacing w:before="0" w:beforeAutospacing="0" w:after="0" w:afterAutospacing="0" w:line="560" w:lineRule="exact"/>
              <w:ind w:left="0" w:right="0"/>
              <w:jc w:val="center"/>
              <w:rPr>
                <w:rFonts w:hint="default" w:ascii="宋体" w:hAnsi="宋体" w:cs="宋体"/>
                <w:kern w:val="0"/>
                <w:sz w:val="24"/>
                <w:lang w:eastAsia="en-US"/>
              </w:rPr>
            </w:pPr>
            <w:r>
              <w:rPr>
                <w:rFonts w:hint="default" w:ascii="宋体" w:hAnsi="宋体" w:cs="宋体"/>
                <w:kern w:val="0"/>
                <w:sz w:val="24"/>
                <w:lang w:eastAsia="en-US"/>
              </w:rPr>
              <w:t>4</w:t>
            </w:r>
          </w:p>
        </w:tc>
        <w:tc>
          <w:tcPr>
            <w:tcW w:w="4027" w:type="dxa"/>
          </w:tcPr>
          <w:p>
            <w:pPr>
              <w:keepNext w:val="0"/>
              <w:keepLines w:val="0"/>
              <w:suppressLineNumbers w:val="0"/>
              <w:autoSpaceDE w:val="0"/>
              <w:autoSpaceDN w:val="0"/>
              <w:spacing w:before="0" w:beforeAutospacing="0" w:after="0" w:afterAutospacing="0"/>
              <w:ind w:left="0" w:right="0"/>
              <w:jc w:val="center"/>
              <w:rPr>
                <w:rFonts w:hint="default" w:ascii="宋体" w:hAnsi="宋体" w:cs="宋体"/>
                <w:sz w:val="24"/>
              </w:rPr>
            </w:pPr>
          </w:p>
          <w:p>
            <w:pPr>
              <w:keepNext w:val="0"/>
              <w:keepLines w:val="0"/>
              <w:suppressLineNumbers w:val="0"/>
              <w:autoSpaceDE w:val="0"/>
              <w:autoSpaceDN w:val="0"/>
              <w:spacing w:before="0" w:beforeAutospacing="0" w:after="0" w:afterAutospacing="0"/>
              <w:ind w:left="0" w:right="0"/>
              <w:jc w:val="center"/>
              <w:rPr>
                <w:rFonts w:hint="default" w:ascii="宋体" w:hAnsi="宋体" w:cs="宋体"/>
                <w:kern w:val="0"/>
                <w:sz w:val="24"/>
                <w:lang w:eastAsia="en-US"/>
              </w:rPr>
            </w:pPr>
            <w:r>
              <w:rPr>
                <w:rFonts w:hint="eastAsia" w:ascii="宋体" w:hAnsi="宋体" w:cs="宋体"/>
                <w:sz w:val="24"/>
              </w:rPr>
              <w:t>投标报价</w:t>
            </w:r>
          </w:p>
        </w:tc>
        <w:tc>
          <w:tcPr>
            <w:tcW w:w="3008" w:type="dxa"/>
            <w:vAlign w:val="center"/>
          </w:tcPr>
          <w:p>
            <w:pPr>
              <w:keepNext w:val="0"/>
              <w:keepLines w:val="0"/>
              <w:suppressLineNumbers w:val="0"/>
              <w:spacing w:before="0" w:beforeAutospacing="0" w:after="0" w:afterAutospacing="0" w:line="560" w:lineRule="exact"/>
              <w:ind w:left="0" w:right="0"/>
              <w:jc w:val="center"/>
              <w:rPr>
                <w:rFonts w:hint="default" w:ascii="宋体" w:hAnsi="宋体" w:cs="宋体"/>
                <w:kern w:val="0"/>
                <w:sz w:val="24"/>
                <w:lang w:eastAsia="en-US"/>
              </w:rPr>
            </w:pPr>
            <w:r>
              <w:rPr>
                <w:rFonts w:hint="eastAsia" w:ascii="宋体" w:hAnsi="宋体" w:cs="宋体"/>
                <w:kern w:val="0"/>
                <w:sz w:val="24"/>
              </w:rPr>
              <w:t>符合</w:t>
            </w:r>
            <w:r>
              <w:rPr>
                <w:rFonts w:hint="eastAsia" w:ascii="宋体" w:hAnsi="宋体" w:cs="宋体"/>
                <w:kern w:val="0"/>
                <w:sz w:val="24"/>
                <w:lang w:eastAsia="zh-CN"/>
              </w:rPr>
              <w:t>招标</w:t>
            </w:r>
            <w:r>
              <w:rPr>
                <w:rFonts w:hint="eastAsia" w:ascii="宋体" w:hAnsi="宋体" w:cs="宋体"/>
                <w:kern w:val="0"/>
                <w:sz w:val="24"/>
              </w:rPr>
              <w:t>文件要求</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865" w:hRule="atLeast"/>
          <w:jc w:val="center"/>
        </w:trPr>
        <w:tc>
          <w:tcPr>
            <w:tcW w:w="1175" w:type="dxa"/>
            <w:vMerge w:val="continue"/>
          </w:tcPr>
          <w:p>
            <w:pPr>
              <w:keepNext w:val="0"/>
              <w:keepLines w:val="0"/>
              <w:suppressLineNumbers w:val="0"/>
              <w:spacing w:before="0" w:beforeAutospacing="0" w:after="0" w:afterAutospacing="0" w:line="560" w:lineRule="exact"/>
              <w:ind w:left="0" w:right="0"/>
              <w:jc w:val="center"/>
              <w:rPr>
                <w:rFonts w:hint="default" w:ascii="宋体" w:hAnsi="宋体" w:cs="宋体"/>
                <w:kern w:val="0"/>
                <w:sz w:val="24"/>
                <w:lang w:eastAsia="en-US"/>
              </w:rPr>
            </w:pPr>
          </w:p>
        </w:tc>
        <w:tc>
          <w:tcPr>
            <w:tcW w:w="1065" w:type="dxa"/>
            <w:vAlign w:val="center"/>
          </w:tcPr>
          <w:p>
            <w:pPr>
              <w:pStyle w:val="48"/>
              <w:keepNext w:val="0"/>
              <w:keepLines w:val="0"/>
              <w:suppressLineNumbers w:val="0"/>
              <w:spacing w:before="0" w:beforeAutospacing="0" w:after="0" w:afterAutospacing="0"/>
              <w:ind w:left="0" w:right="0" w:firstLine="0" w:firstLineChars="0"/>
              <w:jc w:val="center"/>
              <w:rPr>
                <w:rFonts w:hint="eastAsia" w:ascii="宋体" w:hAnsi="宋体" w:eastAsia="宋体" w:cs="宋体"/>
                <w:sz w:val="24"/>
                <w:lang w:eastAsia="zh-CN"/>
              </w:rPr>
            </w:pPr>
            <w:r>
              <w:rPr>
                <w:rFonts w:hint="eastAsia" w:ascii="宋体" w:hAnsi="宋体" w:cs="宋体"/>
                <w:sz w:val="24"/>
                <w:lang w:val="en-US" w:eastAsia="zh-CN"/>
              </w:rPr>
              <w:t>5</w:t>
            </w:r>
          </w:p>
        </w:tc>
        <w:tc>
          <w:tcPr>
            <w:tcW w:w="4027" w:type="dxa"/>
          </w:tcPr>
          <w:p>
            <w:pPr>
              <w:pStyle w:val="48"/>
              <w:keepNext w:val="0"/>
              <w:keepLines w:val="0"/>
              <w:suppressLineNumbers w:val="0"/>
              <w:spacing w:before="0" w:beforeAutospacing="0" w:after="0" w:afterAutospacing="0"/>
              <w:ind w:left="0" w:right="0" w:firstLine="0" w:firstLineChars="0"/>
              <w:jc w:val="center"/>
              <w:rPr>
                <w:rFonts w:hint="default" w:ascii="宋体" w:hAnsi="宋体" w:cs="宋体"/>
                <w:sz w:val="24"/>
              </w:rPr>
            </w:pPr>
          </w:p>
          <w:p>
            <w:pPr>
              <w:pStyle w:val="48"/>
              <w:keepNext w:val="0"/>
              <w:keepLines w:val="0"/>
              <w:suppressLineNumbers w:val="0"/>
              <w:spacing w:before="0" w:beforeAutospacing="0" w:after="0" w:afterAutospacing="0"/>
              <w:ind w:left="0" w:right="0" w:firstLine="0" w:firstLineChars="0"/>
              <w:jc w:val="center"/>
              <w:rPr>
                <w:rFonts w:hint="default" w:ascii="宋体" w:hAnsi="宋体" w:cs="宋体"/>
                <w:sz w:val="24"/>
                <w:lang w:eastAsia="en-US"/>
              </w:rPr>
            </w:pPr>
            <w:r>
              <w:rPr>
                <w:rFonts w:hint="eastAsia" w:ascii="宋体" w:hAnsi="宋体" w:cs="宋体"/>
                <w:sz w:val="24"/>
              </w:rPr>
              <w:t>投标有效期</w:t>
            </w:r>
          </w:p>
        </w:tc>
        <w:tc>
          <w:tcPr>
            <w:tcW w:w="3008" w:type="dxa"/>
            <w:vAlign w:val="center"/>
          </w:tcPr>
          <w:p>
            <w:pPr>
              <w:keepNext w:val="0"/>
              <w:keepLines w:val="0"/>
              <w:suppressLineNumbers w:val="0"/>
              <w:spacing w:before="0" w:beforeAutospacing="0" w:after="0" w:afterAutospacing="0" w:line="560" w:lineRule="exact"/>
              <w:ind w:left="0" w:right="0"/>
              <w:jc w:val="center"/>
              <w:rPr>
                <w:rFonts w:hint="default" w:ascii="宋体" w:hAnsi="宋体" w:cs="宋体"/>
                <w:kern w:val="0"/>
                <w:sz w:val="24"/>
                <w:lang w:eastAsia="en-US"/>
              </w:rPr>
            </w:pPr>
            <w:r>
              <w:rPr>
                <w:rFonts w:hint="eastAsia" w:ascii="宋体" w:hAnsi="宋体" w:cs="宋体"/>
                <w:kern w:val="0"/>
                <w:sz w:val="24"/>
              </w:rPr>
              <w:t>符合</w:t>
            </w:r>
            <w:r>
              <w:rPr>
                <w:rFonts w:hint="eastAsia" w:ascii="宋体" w:hAnsi="宋体" w:cs="宋体"/>
                <w:kern w:val="0"/>
                <w:sz w:val="24"/>
                <w:lang w:eastAsia="zh-CN"/>
              </w:rPr>
              <w:t>招标</w:t>
            </w:r>
            <w:r>
              <w:rPr>
                <w:rFonts w:hint="eastAsia" w:ascii="宋体" w:hAnsi="宋体" w:cs="宋体"/>
                <w:kern w:val="0"/>
                <w:sz w:val="24"/>
              </w:rPr>
              <w:t>文件要求</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930" w:hRule="atLeast"/>
          <w:jc w:val="center"/>
        </w:trPr>
        <w:tc>
          <w:tcPr>
            <w:tcW w:w="1175" w:type="dxa"/>
            <w:vMerge w:val="continue"/>
          </w:tcPr>
          <w:p>
            <w:pPr>
              <w:keepNext w:val="0"/>
              <w:keepLines w:val="0"/>
              <w:suppressLineNumbers w:val="0"/>
              <w:spacing w:before="0" w:beforeAutospacing="0" w:after="0" w:afterAutospacing="0" w:line="560" w:lineRule="exact"/>
              <w:ind w:left="0" w:right="0"/>
              <w:jc w:val="center"/>
              <w:rPr>
                <w:rFonts w:hint="default" w:ascii="宋体" w:hAnsi="宋体" w:cs="宋体"/>
                <w:kern w:val="0"/>
                <w:sz w:val="24"/>
                <w:lang w:eastAsia="en-US"/>
              </w:rPr>
            </w:pPr>
          </w:p>
        </w:tc>
        <w:tc>
          <w:tcPr>
            <w:tcW w:w="1065" w:type="dxa"/>
            <w:vAlign w:val="center"/>
          </w:tcPr>
          <w:p>
            <w:pPr>
              <w:keepNext w:val="0"/>
              <w:keepLines w:val="0"/>
              <w:suppressLineNumbers w:val="0"/>
              <w:spacing w:before="0" w:beforeAutospacing="0" w:after="0" w:afterAutospacing="0" w:line="560" w:lineRule="exact"/>
              <w:ind w:left="0" w:right="0"/>
              <w:jc w:val="center"/>
              <w:rPr>
                <w:rFonts w:hint="eastAsia" w:ascii="宋体" w:hAnsi="宋体" w:eastAsia="宋体" w:cs="宋体"/>
                <w:kern w:val="0"/>
                <w:sz w:val="24"/>
                <w:lang w:eastAsia="zh-CN"/>
              </w:rPr>
            </w:pPr>
            <w:r>
              <w:rPr>
                <w:rFonts w:hint="eastAsia" w:ascii="宋体" w:hAnsi="宋体" w:cs="宋体"/>
                <w:kern w:val="0"/>
                <w:sz w:val="24"/>
                <w:lang w:val="en-US" w:eastAsia="zh-CN"/>
              </w:rPr>
              <w:t>6</w:t>
            </w:r>
          </w:p>
        </w:tc>
        <w:tc>
          <w:tcPr>
            <w:tcW w:w="4027" w:type="dxa"/>
          </w:tcPr>
          <w:p>
            <w:pPr>
              <w:keepNext w:val="0"/>
              <w:keepLines w:val="0"/>
              <w:suppressLineNumbers w:val="0"/>
              <w:autoSpaceDE w:val="0"/>
              <w:autoSpaceDN w:val="0"/>
              <w:spacing w:before="0" w:beforeAutospacing="0" w:after="0" w:afterAutospacing="0"/>
              <w:ind w:left="0" w:right="0"/>
              <w:jc w:val="center"/>
              <w:rPr>
                <w:rFonts w:hint="default" w:ascii="宋体" w:hAnsi="宋体" w:cs="宋体"/>
                <w:sz w:val="24"/>
              </w:rPr>
            </w:pPr>
          </w:p>
          <w:p>
            <w:pPr>
              <w:keepNext w:val="0"/>
              <w:keepLines w:val="0"/>
              <w:suppressLineNumbers w:val="0"/>
              <w:autoSpaceDE w:val="0"/>
              <w:autoSpaceDN w:val="0"/>
              <w:spacing w:before="0" w:beforeAutospacing="0" w:after="0" w:afterAutospacing="0"/>
              <w:ind w:left="0" w:right="0"/>
              <w:jc w:val="center"/>
              <w:rPr>
                <w:rFonts w:hint="default" w:ascii="宋体" w:hAnsi="宋体" w:cs="宋体"/>
                <w:kern w:val="0"/>
                <w:sz w:val="24"/>
              </w:rPr>
            </w:pPr>
            <w:r>
              <w:rPr>
                <w:rFonts w:hint="eastAsia" w:ascii="宋体" w:hAnsi="宋体" w:cs="宋体"/>
                <w:sz w:val="24"/>
              </w:rPr>
              <w:t>供货期、地点、质保期、付款方式</w:t>
            </w:r>
          </w:p>
        </w:tc>
        <w:tc>
          <w:tcPr>
            <w:tcW w:w="3008" w:type="dxa"/>
            <w:vAlign w:val="center"/>
          </w:tcPr>
          <w:p>
            <w:pPr>
              <w:keepNext w:val="0"/>
              <w:keepLines w:val="0"/>
              <w:suppressLineNumbers w:val="0"/>
              <w:spacing w:before="0" w:beforeAutospacing="0" w:after="0" w:afterAutospacing="0" w:line="560" w:lineRule="exact"/>
              <w:ind w:left="0" w:right="0"/>
              <w:jc w:val="center"/>
              <w:rPr>
                <w:rFonts w:hint="default" w:ascii="宋体" w:hAnsi="宋体" w:cs="宋体"/>
                <w:kern w:val="0"/>
                <w:sz w:val="24"/>
                <w:lang w:eastAsia="en-US"/>
              </w:rPr>
            </w:pPr>
            <w:r>
              <w:rPr>
                <w:rFonts w:hint="eastAsia" w:ascii="宋体" w:hAnsi="宋体" w:cs="宋体"/>
                <w:kern w:val="0"/>
                <w:sz w:val="24"/>
              </w:rPr>
              <w:t>符合</w:t>
            </w:r>
            <w:r>
              <w:rPr>
                <w:rFonts w:hint="eastAsia" w:ascii="宋体" w:hAnsi="宋体" w:cs="宋体"/>
                <w:kern w:val="0"/>
                <w:sz w:val="24"/>
                <w:lang w:eastAsia="zh-CN"/>
              </w:rPr>
              <w:t>招标</w:t>
            </w:r>
            <w:r>
              <w:rPr>
                <w:rFonts w:hint="eastAsia" w:ascii="宋体" w:hAnsi="宋体" w:cs="宋体"/>
                <w:kern w:val="0"/>
                <w:sz w:val="24"/>
              </w:rPr>
              <w:t>文件要求</w:t>
            </w:r>
          </w:p>
        </w:tc>
      </w:tr>
    </w:tbl>
    <w:p>
      <w:pPr>
        <w:pStyle w:val="3"/>
        <w:spacing w:line="560" w:lineRule="exact"/>
        <w:jc w:val="both"/>
        <w:rPr>
          <w:rFonts w:hint="eastAsia"/>
        </w:rPr>
      </w:pPr>
      <w:bookmarkStart w:id="269" w:name="_Toc216582812"/>
      <w:bookmarkStart w:id="270" w:name="_Toc46235126"/>
      <w:bookmarkStart w:id="271" w:name="_Toc518923106"/>
      <w:bookmarkStart w:id="272" w:name="_Toc22337"/>
    </w:p>
    <w:p>
      <w:pPr>
        <w:jc w:val="center"/>
        <w:rPr>
          <w:rFonts w:hint="eastAsia"/>
        </w:rPr>
      </w:pPr>
    </w:p>
    <w:p>
      <w:pPr>
        <w:pStyle w:val="2"/>
        <w:rPr>
          <w:rFonts w:hint="eastAsia"/>
        </w:rPr>
      </w:pPr>
    </w:p>
    <w:p>
      <w:pPr>
        <w:pStyle w:val="3"/>
        <w:spacing w:line="560" w:lineRule="exact"/>
        <w:jc w:val="center"/>
      </w:pPr>
      <w:bookmarkStart w:id="273" w:name="_Toc14965"/>
      <w:r>
        <w:rPr>
          <w:rFonts w:hint="eastAsia"/>
        </w:rPr>
        <w:t>第五章 响应文件格式</w:t>
      </w:r>
      <w:bookmarkEnd w:id="269"/>
      <w:bookmarkEnd w:id="270"/>
      <w:bookmarkEnd w:id="271"/>
      <w:bookmarkEnd w:id="272"/>
      <w:bookmarkEnd w:id="273"/>
    </w:p>
    <w:p>
      <w:pPr>
        <w:pStyle w:val="4"/>
        <w:spacing w:line="560" w:lineRule="exact"/>
        <w:ind w:left="774" w:hanging="774" w:hangingChars="257"/>
      </w:pPr>
      <w:bookmarkStart w:id="274" w:name="_Toc46235127"/>
      <w:bookmarkStart w:id="275" w:name="_Toc32677"/>
      <w:bookmarkStart w:id="276" w:name="_Toc32043"/>
      <w:r>
        <w:rPr>
          <w:rFonts w:hint="eastAsia"/>
        </w:rPr>
        <w:t>一、</w:t>
      </w:r>
      <w:bookmarkEnd w:id="274"/>
      <w:bookmarkStart w:id="277" w:name="_Toc46235128"/>
      <w:bookmarkStart w:id="278" w:name="_Toc518923108"/>
      <w:r>
        <w:rPr>
          <w:rFonts w:hint="eastAsia"/>
        </w:rPr>
        <w:t>开标一览表</w:t>
      </w:r>
      <w:bookmarkEnd w:id="275"/>
      <w:bookmarkEnd w:id="276"/>
      <w:bookmarkEnd w:id="277"/>
      <w:bookmarkEnd w:id="278"/>
      <w:bookmarkStart w:id="279" w:name="_Hlt520356241"/>
      <w:bookmarkEnd w:id="279"/>
      <w:bookmarkStart w:id="280" w:name="_Toc520356217"/>
      <w:bookmarkStart w:id="281" w:name="_Ref467988698"/>
      <w:bookmarkStart w:id="282" w:name="_Toc480942349"/>
      <w:bookmarkStart w:id="283" w:name="_Toc216582813"/>
      <w:r>
        <w:rPr>
          <w:rFonts w:hint="eastAsia"/>
        </w:rPr>
        <w:t xml:space="preserve">                               </w:t>
      </w:r>
    </w:p>
    <w:p>
      <w:pPr>
        <w:keepNext/>
        <w:keepLines/>
        <w:spacing w:before="360" w:after="120" w:line="560" w:lineRule="exact"/>
        <w:rPr>
          <w:rFonts w:ascii="宋体" w:hAnsi="宋体" w:cs="宋体"/>
          <w:b/>
          <w:sz w:val="24"/>
        </w:rPr>
      </w:pPr>
      <w:r>
        <w:rPr>
          <w:rFonts w:ascii="宋体" w:hAnsi="宋体" w:cs="宋体"/>
          <w:b/>
          <w:sz w:val="24"/>
        </w:rPr>
        <w:t>报价单位：</w:t>
      </w:r>
    </w:p>
    <w:tbl>
      <w:tblPr>
        <w:tblStyle w:val="38"/>
        <w:tblW w:w="89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09"/>
        <w:gridCol w:w="57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3" w:hRule="atLeast"/>
        </w:trPr>
        <w:tc>
          <w:tcPr>
            <w:tcW w:w="320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560" w:lineRule="exact"/>
              <w:ind w:left="0" w:right="0"/>
              <w:jc w:val="center"/>
              <w:rPr>
                <w:rFonts w:hint="default" w:ascii="宋体" w:hAnsi="宋体" w:cs="宋体"/>
                <w:sz w:val="24"/>
              </w:rPr>
            </w:pPr>
            <w:r>
              <w:rPr>
                <w:rFonts w:hint="eastAsia" w:ascii="宋体" w:hAnsi="宋体" w:cs="宋体"/>
                <w:sz w:val="24"/>
              </w:rPr>
              <w:t>项目名称</w:t>
            </w:r>
          </w:p>
        </w:tc>
        <w:tc>
          <w:tcPr>
            <w:tcW w:w="5719" w:type="dxa"/>
            <w:tcBorders>
              <w:top w:val="single" w:color="auto" w:sz="4" w:space="0"/>
              <w:left w:val="nil"/>
              <w:bottom w:val="single" w:color="auto" w:sz="4" w:space="0"/>
              <w:right w:val="single" w:color="auto" w:sz="4" w:space="0"/>
            </w:tcBorders>
            <w:vAlign w:val="center"/>
          </w:tcPr>
          <w:p>
            <w:pPr>
              <w:pStyle w:val="35"/>
              <w:keepNext w:val="0"/>
              <w:keepLines w:val="0"/>
              <w:suppressLineNumbers w:val="0"/>
              <w:spacing w:before="0" w:beforeAutospacing="0" w:afterAutospacing="0" w:line="560" w:lineRule="exact"/>
              <w:ind w:left="0" w:right="0"/>
              <w:rPr>
                <w:rFonts w:hint="default" w:cs="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3" w:hRule="atLeast"/>
        </w:trPr>
        <w:tc>
          <w:tcPr>
            <w:tcW w:w="320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560" w:lineRule="exact"/>
              <w:ind w:left="0" w:right="0"/>
              <w:jc w:val="center"/>
              <w:rPr>
                <w:rFonts w:hint="default" w:ascii="宋体" w:hAnsi="宋体" w:cs="宋体"/>
                <w:sz w:val="24"/>
              </w:rPr>
            </w:pPr>
            <w:r>
              <w:rPr>
                <w:rFonts w:hint="eastAsia" w:ascii="宋体" w:hAnsi="宋体" w:cs="宋体"/>
                <w:sz w:val="24"/>
              </w:rPr>
              <w:t>项目编号</w:t>
            </w:r>
          </w:p>
        </w:tc>
        <w:tc>
          <w:tcPr>
            <w:tcW w:w="5719"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560" w:lineRule="exact"/>
              <w:ind w:left="0" w:right="0"/>
              <w:jc w:val="center"/>
              <w:rPr>
                <w:rFonts w:hint="default"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3" w:hRule="atLeast"/>
        </w:trPr>
        <w:tc>
          <w:tcPr>
            <w:tcW w:w="320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560" w:lineRule="exact"/>
              <w:ind w:left="0" w:right="0"/>
              <w:jc w:val="center"/>
              <w:rPr>
                <w:rFonts w:hint="default" w:ascii="宋体" w:hAnsi="宋体" w:cs="宋体"/>
                <w:sz w:val="24"/>
              </w:rPr>
            </w:pPr>
            <w:r>
              <w:rPr>
                <w:rFonts w:hint="eastAsia" w:ascii="宋体" w:hAnsi="宋体" w:cs="宋体"/>
                <w:sz w:val="24"/>
              </w:rPr>
              <w:t>供应商名称</w:t>
            </w:r>
          </w:p>
        </w:tc>
        <w:tc>
          <w:tcPr>
            <w:tcW w:w="5719"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560" w:lineRule="exact"/>
              <w:ind w:left="0" w:right="0"/>
              <w:jc w:val="center"/>
              <w:rPr>
                <w:rFonts w:hint="default" w:ascii="宋体" w:hAnsi="宋体" w:cs="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320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560" w:lineRule="exact"/>
              <w:ind w:left="0" w:right="0"/>
              <w:jc w:val="center"/>
              <w:rPr>
                <w:rFonts w:hint="default" w:ascii="宋体" w:hAnsi="宋体" w:cs="宋体"/>
                <w:sz w:val="24"/>
              </w:rPr>
            </w:pPr>
            <w:r>
              <w:rPr>
                <w:rFonts w:hint="eastAsia" w:ascii="宋体" w:hAnsi="宋体" w:cs="宋体"/>
                <w:sz w:val="24"/>
              </w:rPr>
              <w:t>报价</w:t>
            </w:r>
          </w:p>
        </w:tc>
        <w:tc>
          <w:tcPr>
            <w:tcW w:w="5719" w:type="dxa"/>
            <w:tcBorders>
              <w:top w:val="single" w:color="auto" w:sz="4" w:space="0"/>
              <w:left w:val="nil"/>
              <w:bottom w:val="single" w:color="auto" w:sz="4" w:space="0"/>
              <w:right w:val="single" w:color="auto" w:sz="4" w:space="0"/>
            </w:tcBorders>
            <w:vAlign w:val="center"/>
          </w:tcPr>
          <w:p>
            <w:pPr>
              <w:pStyle w:val="35"/>
              <w:keepNext w:val="0"/>
              <w:keepLines w:val="0"/>
              <w:suppressLineNumbers w:val="0"/>
              <w:spacing w:before="0" w:beforeAutospacing="0" w:afterAutospacing="0" w:line="560" w:lineRule="exact"/>
              <w:ind w:left="0" w:right="0"/>
              <w:jc w:val="left"/>
              <w:rPr>
                <w:rFonts w:hint="default" w:cs="宋体"/>
                <w:sz w:val="24"/>
                <w:u w:val="single"/>
              </w:rPr>
            </w:pPr>
            <w:bookmarkStart w:id="284" w:name="_Toc2372"/>
            <w:r>
              <w:rPr>
                <w:rFonts w:hint="eastAsia" w:cs="宋体"/>
                <w:sz w:val="24"/>
              </w:rPr>
              <w:t>大写：</w:t>
            </w:r>
            <w:bookmarkEnd w:id="284"/>
          </w:p>
          <w:p>
            <w:pPr>
              <w:pStyle w:val="35"/>
              <w:keepNext w:val="0"/>
              <w:keepLines w:val="0"/>
              <w:suppressLineNumbers w:val="0"/>
              <w:spacing w:before="0" w:beforeAutospacing="0" w:afterAutospacing="0" w:line="560" w:lineRule="exact"/>
              <w:ind w:left="0" w:right="0"/>
              <w:jc w:val="left"/>
              <w:rPr>
                <w:rFonts w:hint="default" w:cs="宋体"/>
                <w:sz w:val="24"/>
                <w:u w:val="single"/>
              </w:rPr>
            </w:pPr>
            <w:bookmarkStart w:id="285" w:name="_Toc9979"/>
            <w:r>
              <w:rPr>
                <w:rFonts w:hint="eastAsia" w:cs="宋体"/>
                <w:sz w:val="24"/>
              </w:rPr>
              <w:t>小写：</w:t>
            </w:r>
            <w:bookmarkEnd w:id="28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320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560" w:lineRule="exact"/>
              <w:ind w:left="0" w:right="0"/>
              <w:jc w:val="center"/>
              <w:rPr>
                <w:rFonts w:hint="default" w:ascii="宋体" w:hAnsi="宋体" w:cs="宋体"/>
                <w:sz w:val="24"/>
              </w:rPr>
            </w:pPr>
            <w:r>
              <w:rPr>
                <w:rFonts w:hint="eastAsia" w:ascii="宋体" w:hAnsi="宋体" w:cs="宋体"/>
                <w:sz w:val="24"/>
              </w:rPr>
              <w:t>供货期</w:t>
            </w:r>
          </w:p>
        </w:tc>
        <w:tc>
          <w:tcPr>
            <w:tcW w:w="5719"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560" w:lineRule="exact"/>
              <w:ind w:left="0" w:right="0"/>
              <w:jc w:val="center"/>
              <w:rPr>
                <w:rFonts w:hint="default" w:ascii="宋体" w:hAnsi="宋体" w:cs="宋体"/>
                <w:sz w:val="24"/>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320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560" w:lineRule="exact"/>
              <w:ind w:left="0" w:right="0"/>
              <w:jc w:val="center"/>
              <w:rPr>
                <w:rFonts w:hint="default" w:ascii="宋体" w:hAnsi="宋体" w:cs="宋体"/>
                <w:sz w:val="24"/>
              </w:rPr>
            </w:pPr>
            <w:r>
              <w:rPr>
                <w:rFonts w:hint="eastAsia" w:ascii="宋体" w:hAnsi="宋体" w:cs="宋体"/>
                <w:sz w:val="24"/>
              </w:rPr>
              <w:t>质保期</w:t>
            </w:r>
          </w:p>
        </w:tc>
        <w:tc>
          <w:tcPr>
            <w:tcW w:w="5719"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560" w:lineRule="exact"/>
              <w:ind w:left="0" w:right="0"/>
              <w:jc w:val="center"/>
              <w:rPr>
                <w:rFonts w:hint="default" w:ascii="宋体" w:hAnsi="宋体" w:cs="宋体"/>
                <w:sz w:val="24"/>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0" w:hRule="atLeast"/>
        </w:trPr>
        <w:tc>
          <w:tcPr>
            <w:tcW w:w="320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560" w:lineRule="exact"/>
              <w:ind w:left="0" w:right="0"/>
              <w:jc w:val="center"/>
              <w:rPr>
                <w:rFonts w:hint="default" w:ascii="宋体" w:hAnsi="宋体" w:cs="宋体"/>
                <w:sz w:val="24"/>
              </w:rPr>
            </w:pPr>
            <w:r>
              <w:rPr>
                <w:rFonts w:hint="eastAsia" w:ascii="宋体" w:hAnsi="宋体" w:cs="宋体"/>
                <w:sz w:val="24"/>
              </w:rPr>
              <w:t>备注</w:t>
            </w:r>
          </w:p>
        </w:tc>
        <w:tc>
          <w:tcPr>
            <w:tcW w:w="5719"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560" w:lineRule="exact"/>
              <w:ind w:left="0" w:right="0"/>
              <w:jc w:val="center"/>
              <w:rPr>
                <w:rFonts w:hint="default" w:ascii="宋体" w:hAnsi="宋体" w:cs="宋体"/>
                <w:sz w:val="24"/>
                <w:u w:val="single"/>
              </w:rPr>
            </w:pPr>
          </w:p>
        </w:tc>
      </w:tr>
    </w:tbl>
    <w:p>
      <w:pPr>
        <w:spacing w:line="560" w:lineRule="exact"/>
        <w:rPr>
          <w:rFonts w:ascii="宋体" w:hAnsi="宋体" w:cs="宋体"/>
          <w:sz w:val="24"/>
        </w:rPr>
      </w:pPr>
    </w:p>
    <w:p>
      <w:pPr>
        <w:spacing w:line="560" w:lineRule="exact"/>
        <w:rPr>
          <w:rFonts w:ascii="宋体" w:hAnsi="宋体" w:cs="宋体"/>
          <w:sz w:val="24"/>
        </w:rPr>
      </w:pPr>
      <w:r>
        <w:rPr>
          <w:rFonts w:hint="eastAsia" w:ascii="宋体" w:hAnsi="宋体" w:cs="宋体"/>
          <w:sz w:val="24"/>
        </w:rPr>
        <w:t>供应商</w:t>
      </w:r>
      <w:r>
        <w:rPr>
          <w:rFonts w:ascii="宋体" w:hAnsi="宋体" w:cs="宋体"/>
          <w:sz w:val="24"/>
        </w:rPr>
        <w:t>名称（公章）：</w:t>
      </w:r>
    </w:p>
    <w:p>
      <w:pPr>
        <w:spacing w:line="560" w:lineRule="exact"/>
        <w:rPr>
          <w:rFonts w:ascii="宋体" w:hAnsi="宋体" w:cs="宋体"/>
          <w:sz w:val="24"/>
        </w:rPr>
      </w:pPr>
      <w:r>
        <w:rPr>
          <w:rFonts w:ascii="宋体" w:hAnsi="宋体" w:cs="宋体"/>
          <w:sz w:val="24"/>
        </w:rPr>
        <w:t>法定代表人（非法人组织的负责人）或其授权代表（签章）：</w:t>
      </w:r>
    </w:p>
    <w:p>
      <w:pPr>
        <w:spacing w:line="560" w:lineRule="exact"/>
        <w:rPr>
          <w:rFonts w:ascii="宋体" w:hAnsi="宋体" w:cs="宋体"/>
          <w:sz w:val="24"/>
        </w:rPr>
      </w:pPr>
      <w:r>
        <w:rPr>
          <w:rFonts w:ascii="宋体" w:hAnsi="宋体" w:cs="宋体"/>
          <w:sz w:val="24"/>
        </w:rPr>
        <w:t>日    期：      年   月   日</w:t>
      </w:r>
    </w:p>
    <w:p>
      <w:pPr>
        <w:pStyle w:val="4"/>
        <w:spacing w:line="560" w:lineRule="exact"/>
        <w:jc w:val="both"/>
      </w:pPr>
      <w:bookmarkStart w:id="286" w:name="_Toc8619"/>
      <w:bookmarkStart w:id="287" w:name="_Toc46235130"/>
      <w:bookmarkStart w:id="288" w:name="_Toc45562505"/>
    </w:p>
    <w:p/>
    <w:p>
      <w:pPr>
        <w:pStyle w:val="46"/>
      </w:pPr>
    </w:p>
    <w:p/>
    <w:p>
      <w:pPr>
        <w:pStyle w:val="2"/>
      </w:pPr>
    </w:p>
    <w:p>
      <w:pPr>
        <w:pStyle w:val="2"/>
      </w:pPr>
    </w:p>
    <w:p/>
    <w:p>
      <w:pPr>
        <w:pStyle w:val="4"/>
        <w:spacing w:line="560" w:lineRule="exact"/>
        <w:ind w:left="774" w:hanging="774" w:hangingChars="257"/>
      </w:pPr>
      <w:bookmarkStart w:id="289" w:name="_Toc26843"/>
      <w:r>
        <w:rPr>
          <w:rFonts w:hint="eastAsia"/>
        </w:rPr>
        <w:t>二、资格证明文件</w:t>
      </w:r>
      <w:bookmarkEnd w:id="286"/>
      <w:bookmarkEnd w:id="287"/>
      <w:bookmarkEnd w:id="288"/>
      <w:bookmarkEnd w:id="289"/>
    </w:p>
    <w:p>
      <w:pPr>
        <w:tabs>
          <w:tab w:val="left" w:pos="5580"/>
        </w:tabs>
        <w:spacing w:line="560" w:lineRule="exact"/>
        <w:ind w:left="1080" w:leftChars="257" w:hanging="540"/>
        <w:jc w:val="center"/>
        <w:rPr>
          <w:rFonts w:ascii="宋体" w:hAnsi="宋体"/>
          <w:b/>
          <w:sz w:val="24"/>
          <w:szCs w:val="20"/>
        </w:rPr>
      </w:pPr>
    </w:p>
    <w:p>
      <w:pPr>
        <w:tabs>
          <w:tab w:val="left" w:pos="5580"/>
        </w:tabs>
        <w:spacing w:line="560" w:lineRule="exact"/>
        <w:rPr>
          <w:rFonts w:ascii="宋体" w:hAnsi="宋体" w:cs="宋体"/>
          <w:b/>
          <w:bCs/>
          <w:sz w:val="24"/>
        </w:rPr>
      </w:pPr>
      <w:bookmarkStart w:id="290" w:name="_Toc12793"/>
      <w:r>
        <w:rPr>
          <w:rFonts w:hint="eastAsia" w:ascii="宋体" w:hAnsi="宋体" w:cs="宋体"/>
          <w:sz w:val="24"/>
        </w:rPr>
        <w:t>2.</w:t>
      </w:r>
      <w:r>
        <w:rPr>
          <w:rFonts w:ascii="宋体" w:hAnsi="宋体" w:cs="宋体"/>
          <w:b/>
          <w:bCs/>
          <w:sz w:val="24"/>
        </w:rPr>
        <w:t>法人或者其他组织的营业执照等证明文件或自然人的身份证明的有效证件(</w:t>
      </w:r>
      <w:r>
        <w:rPr>
          <w:rFonts w:hint="eastAsia" w:ascii="宋体" w:hAnsi="宋体" w:cs="宋体"/>
          <w:b/>
          <w:bCs/>
          <w:sz w:val="24"/>
        </w:rPr>
        <w:t>扫描件</w:t>
      </w:r>
      <w:r>
        <w:rPr>
          <w:rFonts w:ascii="宋体" w:hAnsi="宋体" w:cs="宋体"/>
          <w:b/>
          <w:bCs/>
          <w:sz w:val="24"/>
        </w:rPr>
        <w:t>)</w:t>
      </w:r>
      <w:bookmarkEnd w:id="290"/>
    </w:p>
    <w:p>
      <w:pPr>
        <w:spacing w:line="560" w:lineRule="exact"/>
        <w:ind w:firstLine="480" w:firstLineChars="200"/>
        <w:jc w:val="left"/>
        <w:rPr>
          <w:rFonts w:ascii="宋体" w:hAnsi="宋体"/>
          <w:bCs/>
          <w:sz w:val="24"/>
        </w:rPr>
      </w:pPr>
      <w:bookmarkStart w:id="291" w:name="_Toc18586"/>
      <w:bookmarkStart w:id="292" w:name="_Toc518923115"/>
      <w:r>
        <w:rPr>
          <w:rFonts w:hint="eastAsia" w:ascii="宋体" w:hAnsi="宋体"/>
          <w:bCs/>
          <w:sz w:val="24"/>
        </w:rPr>
        <w:t>a、</w:t>
      </w:r>
      <w:r>
        <w:rPr>
          <w:rFonts w:hint="eastAsia" w:ascii="宋体" w:hAnsi="宋体"/>
          <w:sz w:val="24"/>
        </w:rPr>
        <w:t>加载统一社会信用代码的《营业执照》原件扫描件</w:t>
      </w:r>
      <w:r>
        <w:rPr>
          <w:rFonts w:hint="eastAsia" w:ascii="宋体" w:hAnsi="宋体"/>
          <w:bCs/>
          <w:sz w:val="24"/>
        </w:rPr>
        <w:t>；</w:t>
      </w:r>
    </w:p>
    <w:p>
      <w:pPr>
        <w:spacing w:line="560" w:lineRule="exact"/>
        <w:ind w:firstLine="480" w:firstLineChars="200"/>
        <w:jc w:val="left"/>
        <w:rPr>
          <w:rFonts w:ascii="宋体" w:hAnsi="宋体"/>
          <w:bCs/>
          <w:sz w:val="24"/>
          <w:lang w:val="zh-CN"/>
        </w:rPr>
      </w:pPr>
      <w:r>
        <w:rPr>
          <w:rFonts w:hint="eastAsia" w:ascii="宋体" w:hAnsi="宋体"/>
          <w:bCs/>
          <w:sz w:val="24"/>
        </w:rPr>
        <w:t>b、</w:t>
      </w:r>
      <w:r>
        <w:rPr>
          <w:rFonts w:hint="eastAsia" w:ascii="宋体" w:hAnsi="宋体"/>
          <w:bCs/>
          <w:sz w:val="24"/>
          <w:lang w:val="zh-CN"/>
        </w:rPr>
        <w:t>供应商为代理商须具有产品所属类别的有效的《医疗器械经营备案凭证》或《医疗器械经营许可证》</w:t>
      </w:r>
      <w:r>
        <w:rPr>
          <w:rFonts w:hint="eastAsia" w:ascii="宋体" w:hAnsi="宋体"/>
          <w:bCs/>
          <w:sz w:val="24"/>
        </w:rPr>
        <w:t>原件扫描件</w:t>
      </w:r>
      <w:r>
        <w:rPr>
          <w:rFonts w:hint="eastAsia" w:ascii="宋体" w:hAnsi="宋体"/>
          <w:bCs/>
          <w:sz w:val="24"/>
          <w:lang w:val="zh-CN"/>
        </w:rPr>
        <w:t>；若供应商为生产厂家，须具</w:t>
      </w:r>
      <w:r>
        <w:rPr>
          <w:rFonts w:hint="eastAsia" w:ascii="宋体" w:hAnsi="宋体"/>
          <w:sz w:val="24"/>
          <w:lang w:val="zh-CN"/>
        </w:rPr>
        <w:t>①</w:t>
      </w:r>
      <w:r>
        <w:rPr>
          <w:rFonts w:hint="eastAsia" w:ascii="宋体" w:hAnsi="宋体"/>
          <w:bCs/>
          <w:sz w:val="24"/>
          <w:lang w:val="zh-CN"/>
        </w:rPr>
        <w:t>有有效的《医疗器械生产许可证》或《医疗器械生产产品登记表》</w:t>
      </w:r>
      <w:r>
        <w:rPr>
          <w:rFonts w:hint="eastAsia" w:ascii="宋体" w:hAnsi="宋体"/>
          <w:bCs/>
          <w:sz w:val="24"/>
        </w:rPr>
        <w:t>原件扫描件</w:t>
      </w:r>
      <w:r>
        <w:rPr>
          <w:rFonts w:hint="eastAsia" w:ascii="宋体" w:hAnsi="宋体"/>
          <w:bCs/>
          <w:sz w:val="24"/>
          <w:lang w:val="zh-CN"/>
        </w:rPr>
        <w:t>；②《医疗器械注册证》或备案凭证</w:t>
      </w:r>
      <w:r>
        <w:rPr>
          <w:rFonts w:hint="eastAsia" w:ascii="宋体" w:hAnsi="宋体"/>
          <w:bCs/>
          <w:sz w:val="24"/>
        </w:rPr>
        <w:t>原件扫描件</w:t>
      </w:r>
      <w:r>
        <w:rPr>
          <w:rFonts w:hint="eastAsia" w:ascii="宋体" w:hAnsi="宋体"/>
          <w:bCs/>
          <w:sz w:val="24"/>
          <w:lang w:val="zh-CN"/>
        </w:rPr>
        <w:t>；</w:t>
      </w:r>
    </w:p>
    <w:p>
      <w:pPr>
        <w:spacing w:line="560" w:lineRule="exact"/>
        <w:ind w:firstLine="480" w:firstLineChars="200"/>
        <w:jc w:val="left"/>
        <w:rPr>
          <w:rFonts w:ascii="宋体" w:hAnsi="宋体"/>
          <w:bCs/>
          <w:sz w:val="24"/>
        </w:rPr>
      </w:pPr>
      <w:r>
        <w:rPr>
          <w:rFonts w:hint="eastAsia" w:ascii="宋体" w:hAnsi="宋体"/>
          <w:bCs/>
          <w:sz w:val="24"/>
        </w:rPr>
        <w:t>c</w:t>
      </w:r>
      <w:r>
        <w:rPr>
          <w:rFonts w:hint="eastAsia" w:ascii="宋体" w:hAnsi="宋体"/>
          <w:bCs/>
          <w:sz w:val="24"/>
          <w:lang w:val="zh-CN"/>
        </w:rPr>
        <w:t>、如法定代表人参加会议，须提供①“法定代表人身份证明书”原件扫描件，②法定代表人身份证原件扫描件；如被授权代表参加会议，须提供①“法定代表人授权委托书”原件扫描件；</w:t>
      </w:r>
      <w:r>
        <w:rPr>
          <w:rFonts w:hint="eastAsia" w:ascii="宋体" w:hAnsi="宋体"/>
          <w:bCs/>
          <w:sz w:val="24"/>
        </w:rPr>
        <w:t>②被授权人身份证原件扫描件；</w:t>
      </w:r>
      <w:r>
        <w:rPr>
          <w:rFonts w:hint="eastAsia" w:ascii="宋体" w:hAnsi="宋体"/>
          <w:bCs/>
          <w:sz w:val="24"/>
          <w:lang w:val="zh-CN"/>
        </w:rPr>
        <w:t>达到国家法定退休年龄的需提供退休证原件扫描件；</w:t>
      </w:r>
    </w:p>
    <w:p>
      <w:pPr>
        <w:spacing w:line="560" w:lineRule="exact"/>
        <w:ind w:firstLine="480" w:firstLineChars="200"/>
        <w:jc w:val="left"/>
        <w:rPr>
          <w:rFonts w:ascii="宋体" w:hAnsi="宋体"/>
          <w:bCs/>
          <w:sz w:val="24"/>
          <w:lang w:val="zh-CN"/>
        </w:rPr>
      </w:pPr>
      <w:r>
        <w:rPr>
          <w:rFonts w:hint="eastAsia" w:ascii="宋体" w:hAnsi="宋体"/>
          <w:bCs/>
          <w:sz w:val="24"/>
        </w:rPr>
        <w:t>d</w:t>
      </w:r>
      <w:r>
        <w:rPr>
          <w:rFonts w:hint="eastAsia" w:ascii="宋体" w:hAnsi="宋体"/>
          <w:bCs/>
          <w:sz w:val="24"/>
          <w:lang w:val="zh-CN"/>
        </w:rPr>
        <w:t>、</w:t>
      </w:r>
      <w:r>
        <w:rPr>
          <w:rFonts w:hint="eastAsia" w:ascii="宋体" w:hAnsi="宋体"/>
          <w:bCs/>
          <w:sz w:val="24"/>
        </w:rPr>
        <w:t>政府采购供应商信用承诺书</w:t>
      </w:r>
      <w:r>
        <w:rPr>
          <w:rFonts w:hint="eastAsia" w:ascii="宋体" w:hAnsi="宋体"/>
          <w:bCs/>
          <w:sz w:val="24"/>
          <w:lang w:val="zh-CN"/>
        </w:rPr>
        <w:t>原件扫描件。</w:t>
      </w:r>
    </w:p>
    <w:p>
      <w:pPr>
        <w:spacing w:line="560" w:lineRule="exact"/>
      </w:pPr>
    </w:p>
    <w:p>
      <w:pPr>
        <w:spacing w:line="560" w:lineRule="exact"/>
      </w:pPr>
    </w:p>
    <w:p>
      <w:pPr>
        <w:spacing w:line="560" w:lineRule="exact"/>
      </w:pPr>
    </w:p>
    <w:p>
      <w:pPr>
        <w:spacing w:line="560" w:lineRule="exact"/>
      </w:pPr>
    </w:p>
    <w:p>
      <w:pPr>
        <w:spacing w:line="560" w:lineRule="exact"/>
      </w:pPr>
    </w:p>
    <w:p>
      <w:pPr>
        <w:spacing w:line="560" w:lineRule="exact"/>
      </w:pPr>
    </w:p>
    <w:p>
      <w:r>
        <w:br w:type="page"/>
      </w:r>
    </w:p>
    <w:p/>
    <w:p>
      <w:pPr>
        <w:spacing w:line="560" w:lineRule="exact"/>
        <w:rPr>
          <w:b/>
          <w:bCs/>
        </w:rPr>
      </w:pPr>
      <w:r>
        <w:rPr>
          <w:b/>
          <w:bCs/>
          <w:sz w:val="24"/>
        </w:rPr>
        <w:t>3.法定代表人（非法人组织的负责人）身份证明书</w:t>
      </w:r>
      <w:bookmarkEnd w:id="291"/>
    </w:p>
    <w:p>
      <w:pPr>
        <w:spacing w:line="560" w:lineRule="exact"/>
        <w:jc w:val="center"/>
        <w:rPr>
          <w:rFonts w:eastAsia="Calibri" w:cs="Calibri"/>
          <w:b/>
          <w:sz w:val="30"/>
        </w:rPr>
      </w:pPr>
      <w:r>
        <w:rPr>
          <w:rFonts w:ascii="宋体" w:hAnsi="宋体" w:cs="宋体"/>
          <w:b/>
          <w:sz w:val="30"/>
        </w:rPr>
        <w:t>法定代表人（非法人组织的负责人）身份证明书</w:t>
      </w:r>
    </w:p>
    <w:p>
      <w:pPr>
        <w:spacing w:line="560" w:lineRule="exact"/>
        <w:jc w:val="center"/>
        <w:rPr>
          <w:rFonts w:eastAsia="Calibri" w:cs="Calibri"/>
          <w:sz w:val="24"/>
        </w:rPr>
      </w:pPr>
      <w:r>
        <w:rPr>
          <w:rFonts w:ascii="宋体" w:hAnsi="宋体" w:cs="宋体"/>
          <w:sz w:val="24"/>
        </w:rPr>
        <w:t>【注：自然人</w:t>
      </w:r>
      <w:r>
        <w:rPr>
          <w:rFonts w:hint="eastAsia" w:ascii="宋体" w:hAnsi="宋体" w:cs="宋体"/>
          <w:sz w:val="24"/>
        </w:rPr>
        <w:t>响应</w:t>
      </w:r>
      <w:r>
        <w:rPr>
          <w:rFonts w:ascii="宋体" w:hAnsi="宋体" w:cs="宋体"/>
          <w:sz w:val="24"/>
        </w:rPr>
        <w:t>的无需提供】</w:t>
      </w:r>
    </w:p>
    <w:p>
      <w:pPr>
        <w:tabs>
          <w:tab w:val="left" w:pos="5580"/>
        </w:tabs>
        <w:spacing w:line="560" w:lineRule="exact"/>
        <w:ind w:left="1103" w:hanging="1161"/>
        <w:rPr>
          <w:rFonts w:ascii="宋体" w:hAnsi="宋体" w:cs="宋体"/>
          <w:sz w:val="24"/>
        </w:rPr>
      </w:pPr>
      <w:r>
        <w:rPr>
          <w:rFonts w:ascii="宋体" w:hAnsi="宋体" w:cs="宋体"/>
          <w:sz w:val="24"/>
        </w:rPr>
        <w:t>致：</w:t>
      </w:r>
      <w:r>
        <w:rPr>
          <w:rFonts w:ascii="宋体" w:hAnsi="宋体" w:cs="宋体"/>
          <w:sz w:val="24"/>
          <w:u w:val="single"/>
        </w:rPr>
        <w:t>（采购人单位名称） </w:t>
      </w:r>
    </w:p>
    <w:p>
      <w:pPr>
        <w:spacing w:line="560" w:lineRule="exact"/>
        <w:ind w:firstLine="480"/>
        <w:rPr>
          <w:rFonts w:ascii="宋体" w:hAnsi="宋体" w:cs="宋体"/>
          <w:sz w:val="24"/>
        </w:rPr>
      </w:pPr>
      <w:r>
        <w:rPr>
          <w:rFonts w:ascii="宋体" w:hAnsi="宋体" w:cs="宋体"/>
          <w:sz w:val="24"/>
        </w:rPr>
        <w:t>供应商名称：</w:t>
      </w:r>
    </w:p>
    <w:p>
      <w:pPr>
        <w:spacing w:line="560" w:lineRule="exact"/>
        <w:ind w:firstLine="480"/>
        <w:rPr>
          <w:rFonts w:ascii="Arial" w:hAnsi="Arial" w:cs="Arial"/>
          <w:sz w:val="24"/>
        </w:rPr>
      </w:pPr>
      <w:r>
        <w:rPr>
          <w:rFonts w:ascii="宋体" w:hAnsi="宋体" w:cs="宋体"/>
          <w:sz w:val="24"/>
        </w:rPr>
        <w:t>单位性质：</w:t>
      </w:r>
    </w:p>
    <w:p>
      <w:pPr>
        <w:spacing w:line="560" w:lineRule="exact"/>
        <w:ind w:firstLine="480"/>
        <w:rPr>
          <w:rFonts w:ascii="宋体" w:hAnsi="宋体" w:cs="宋体"/>
          <w:sz w:val="24"/>
        </w:rPr>
      </w:pPr>
      <w:r>
        <w:rPr>
          <w:rFonts w:ascii="宋体" w:hAnsi="宋体" w:cs="宋体"/>
          <w:sz w:val="24"/>
        </w:rPr>
        <w:t>地址：</w:t>
      </w:r>
    </w:p>
    <w:p>
      <w:pPr>
        <w:spacing w:line="560" w:lineRule="exact"/>
        <w:ind w:firstLine="480"/>
        <w:rPr>
          <w:rFonts w:ascii="宋体" w:hAnsi="宋体" w:cs="宋体"/>
          <w:sz w:val="24"/>
        </w:rPr>
      </w:pPr>
      <w:r>
        <w:rPr>
          <w:rFonts w:ascii="宋体" w:hAnsi="宋体" w:cs="宋体"/>
          <w:sz w:val="24"/>
        </w:rPr>
        <w:t>成立时间：年</w:t>
      </w:r>
      <w:r>
        <w:rPr>
          <w:rFonts w:hint="eastAsia" w:ascii="宋体" w:hAnsi="宋体" w:cs="宋体"/>
          <w:sz w:val="24"/>
        </w:rPr>
        <w:t xml:space="preserve">     </w:t>
      </w:r>
      <w:r>
        <w:rPr>
          <w:rFonts w:ascii="宋体" w:hAnsi="宋体" w:cs="宋体"/>
          <w:sz w:val="24"/>
        </w:rPr>
        <w:t>月</w:t>
      </w:r>
      <w:r>
        <w:rPr>
          <w:rFonts w:hint="eastAsia" w:ascii="宋体" w:hAnsi="宋体" w:cs="宋体"/>
          <w:sz w:val="24"/>
        </w:rPr>
        <w:t xml:space="preserve">     </w:t>
      </w:r>
      <w:r>
        <w:rPr>
          <w:rFonts w:ascii="宋体" w:hAnsi="宋体" w:cs="宋体"/>
          <w:sz w:val="24"/>
        </w:rPr>
        <w:t>日</w:t>
      </w:r>
    </w:p>
    <w:p>
      <w:pPr>
        <w:spacing w:line="560" w:lineRule="exact"/>
        <w:ind w:firstLine="480"/>
        <w:rPr>
          <w:rFonts w:ascii="宋体" w:hAnsi="宋体" w:cs="宋体"/>
          <w:sz w:val="24"/>
        </w:rPr>
      </w:pPr>
      <w:r>
        <w:rPr>
          <w:rFonts w:ascii="宋体" w:hAnsi="宋体" w:cs="宋体"/>
          <w:sz w:val="24"/>
        </w:rPr>
        <w:t>经营期限：</w:t>
      </w:r>
    </w:p>
    <w:p>
      <w:pPr>
        <w:spacing w:line="560" w:lineRule="exact"/>
        <w:ind w:firstLine="480"/>
        <w:rPr>
          <w:rFonts w:ascii="宋体" w:hAnsi="宋体" w:cs="宋体"/>
          <w:sz w:val="24"/>
        </w:rPr>
      </w:pPr>
      <w:r>
        <w:rPr>
          <w:rFonts w:ascii="宋体" w:hAnsi="宋体" w:cs="宋体"/>
          <w:sz w:val="24"/>
        </w:rPr>
        <w:t>姓名：性别：年龄：职务：</w:t>
      </w:r>
      <w:r>
        <w:rPr>
          <w:rFonts w:ascii="宋体" w:hAnsi="宋体" w:cs="宋体"/>
          <w:sz w:val="24"/>
          <w:u w:val="single"/>
        </w:rPr>
        <w:t>（董事长、总经理等）</w:t>
      </w:r>
    </w:p>
    <w:p>
      <w:pPr>
        <w:spacing w:line="560" w:lineRule="exact"/>
        <w:ind w:firstLine="480"/>
        <w:rPr>
          <w:rFonts w:ascii="宋体" w:hAnsi="宋体" w:cs="宋体"/>
          <w:sz w:val="24"/>
        </w:rPr>
      </w:pPr>
      <w:r>
        <w:rPr>
          <w:rFonts w:ascii="宋体" w:hAnsi="宋体" w:cs="宋体"/>
          <w:sz w:val="24"/>
        </w:rPr>
        <w:t>系（供应商名称）的法定代表人（非法人组织的负责人）。</w:t>
      </w:r>
    </w:p>
    <w:p>
      <w:pPr>
        <w:spacing w:line="560" w:lineRule="exact"/>
        <w:ind w:firstLine="480"/>
        <w:rPr>
          <w:rFonts w:ascii="宋体" w:hAnsi="宋体" w:cs="宋体"/>
          <w:sz w:val="24"/>
        </w:rPr>
      </w:pPr>
      <w:r>
        <w:rPr>
          <w:rFonts w:ascii="宋体" w:hAnsi="宋体" w:cs="宋体"/>
          <w:sz w:val="24"/>
        </w:rPr>
        <w:t>特此证明。</w:t>
      </w:r>
    </w:p>
    <w:p>
      <w:pPr>
        <w:spacing w:line="560" w:lineRule="exact"/>
        <w:ind w:firstLine="480"/>
        <w:rPr>
          <w:rFonts w:ascii="宋体" w:hAnsi="宋体" w:cs="宋体"/>
          <w:sz w:val="24"/>
        </w:rPr>
      </w:pPr>
      <w:r>
        <w:rPr>
          <w:rFonts w:ascii="宋体" w:hAnsi="宋体" w:cs="宋体"/>
          <w:sz w:val="24"/>
        </w:rPr>
        <w:t>附：法定代表人（非法人组织的负责人）身份证扫描件</w:t>
      </w:r>
    </w:p>
    <w:tbl>
      <w:tblPr>
        <w:tblStyle w:val="38"/>
        <w:tblW w:w="8787" w:type="dxa"/>
        <w:jc w:val="center"/>
        <w:tblLayout w:type="fixed"/>
        <w:tblCellMar>
          <w:top w:w="0" w:type="dxa"/>
          <w:left w:w="10" w:type="dxa"/>
          <w:bottom w:w="0" w:type="dxa"/>
          <w:right w:w="10" w:type="dxa"/>
        </w:tblCellMar>
      </w:tblPr>
      <w:tblGrid>
        <w:gridCol w:w="8787"/>
      </w:tblGrid>
      <w:tr>
        <w:tblPrEx>
          <w:tblCellMar>
            <w:top w:w="0" w:type="dxa"/>
            <w:left w:w="10" w:type="dxa"/>
            <w:bottom w:w="0" w:type="dxa"/>
            <w:right w:w="10" w:type="dxa"/>
          </w:tblCellMar>
        </w:tblPrEx>
        <w:trPr>
          <w:trHeight w:val="3029" w:hRule="atLeast"/>
          <w:jc w:val="center"/>
        </w:trPr>
        <w:tc>
          <w:tcPr>
            <w:tcW w:w="8787"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pPr>
              <w:keepNext w:val="0"/>
              <w:keepLines w:val="0"/>
              <w:suppressLineNumbers w:val="0"/>
              <w:spacing w:before="0" w:beforeAutospacing="0" w:after="0" w:afterAutospacing="0" w:line="560" w:lineRule="exact"/>
              <w:ind w:left="0" w:right="0"/>
              <w:jc w:val="center"/>
              <w:rPr>
                <w:rFonts w:hint="default" w:eastAsia="Calibri" w:cs="Calibri"/>
                <w:b/>
                <w:sz w:val="24"/>
              </w:rPr>
            </w:pPr>
            <w:r>
              <w:rPr>
                <w:rFonts w:hint="default" w:ascii="宋体" w:hAnsi="宋体" w:cs="宋体"/>
                <w:b/>
                <w:sz w:val="24"/>
              </w:rPr>
              <w:t>法定代表人（非法人组织的负责人）身份证扫描件，可另外单页提供</w:t>
            </w:r>
          </w:p>
          <w:p>
            <w:pPr>
              <w:keepNext w:val="0"/>
              <w:keepLines w:val="0"/>
              <w:suppressLineNumbers w:val="0"/>
              <w:spacing w:before="0" w:beforeAutospacing="0" w:after="0" w:afterAutospacing="0" w:line="560" w:lineRule="exact"/>
              <w:ind w:left="0" w:right="0"/>
              <w:jc w:val="center"/>
              <w:rPr>
                <w:rFonts w:hint="default"/>
              </w:rPr>
            </w:pPr>
            <w:r>
              <w:rPr>
                <w:rFonts w:hint="default" w:ascii="宋体" w:hAnsi="宋体" w:cs="宋体"/>
                <w:b/>
                <w:sz w:val="24"/>
              </w:rPr>
              <w:t>（正面、背面）</w:t>
            </w:r>
          </w:p>
        </w:tc>
      </w:tr>
    </w:tbl>
    <w:p>
      <w:pPr>
        <w:spacing w:line="560" w:lineRule="exact"/>
        <w:ind w:firstLine="2880"/>
        <w:rPr>
          <w:rFonts w:ascii="宋体" w:hAnsi="宋体" w:cs="宋体"/>
          <w:sz w:val="24"/>
        </w:rPr>
      </w:pPr>
    </w:p>
    <w:p>
      <w:pPr>
        <w:spacing w:line="560" w:lineRule="exact"/>
        <w:ind w:firstLine="2880"/>
        <w:rPr>
          <w:rFonts w:ascii="宋体" w:hAnsi="宋体" w:cs="宋体"/>
          <w:sz w:val="24"/>
        </w:rPr>
      </w:pPr>
      <w:r>
        <w:rPr>
          <w:rFonts w:ascii="宋体" w:hAnsi="宋体" w:cs="宋体"/>
          <w:sz w:val="24"/>
        </w:rPr>
        <w:t>供应商名称：</w:t>
      </w:r>
      <w:r>
        <w:rPr>
          <w:rFonts w:ascii="宋体" w:hAnsi="宋体" w:cs="宋体"/>
          <w:sz w:val="24"/>
          <w:u w:val="single"/>
        </w:rPr>
        <w:t xml:space="preserve">                  （</w:t>
      </w:r>
      <w:r>
        <w:rPr>
          <w:rFonts w:hint="eastAsia" w:ascii="宋体" w:hAnsi="宋体" w:cs="宋体"/>
          <w:b/>
          <w:bCs/>
          <w:sz w:val="24"/>
          <w:u w:val="single"/>
        </w:rPr>
        <w:t>公</w:t>
      </w:r>
      <w:r>
        <w:rPr>
          <w:rFonts w:ascii="宋体" w:hAnsi="宋体" w:cs="宋体"/>
          <w:b/>
          <w:bCs/>
          <w:sz w:val="24"/>
          <w:u w:val="single"/>
        </w:rPr>
        <w:t>章</w:t>
      </w:r>
      <w:r>
        <w:rPr>
          <w:rFonts w:ascii="宋体" w:hAnsi="宋体" w:cs="宋体"/>
          <w:sz w:val="24"/>
          <w:u w:val="single"/>
        </w:rPr>
        <w:t xml:space="preserve">） </w:t>
      </w:r>
    </w:p>
    <w:p>
      <w:pPr>
        <w:spacing w:line="560" w:lineRule="exact"/>
        <w:ind w:firstLine="2880"/>
        <w:rPr>
          <w:rFonts w:ascii="宋体" w:hAnsi="宋体" w:cs="宋体"/>
          <w:sz w:val="24"/>
        </w:rPr>
      </w:pPr>
      <w:r>
        <w:rPr>
          <w:rFonts w:ascii="宋体" w:hAnsi="宋体" w:cs="宋体"/>
          <w:sz w:val="24"/>
        </w:rPr>
        <w:t>日   期：</w:t>
      </w:r>
      <w:r>
        <w:rPr>
          <w:rFonts w:ascii="宋体" w:hAnsi="宋体" w:cs="宋体"/>
          <w:sz w:val="24"/>
          <w:u w:val="single"/>
        </w:rPr>
        <w:t xml:space="preserve">     </w:t>
      </w:r>
      <w:r>
        <w:rPr>
          <w:rFonts w:ascii="宋体" w:hAnsi="宋体" w:cs="宋体"/>
          <w:sz w:val="24"/>
        </w:rPr>
        <w:t>年</w:t>
      </w:r>
      <w:r>
        <w:rPr>
          <w:rFonts w:ascii="宋体" w:hAnsi="宋体" w:cs="宋体"/>
          <w:sz w:val="24"/>
          <w:u w:val="single"/>
        </w:rPr>
        <w:t xml:space="preserve">     </w:t>
      </w:r>
      <w:r>
        <w:rPr>
          <w:rFonts w:ascii="宋体" w:hAnsi="宋体" w:cs="宋体"/>
          <w:sz w:val="24"/>
        </w:rPr>
        <w:t>月</w:t>
      </w:r>
      <w:r>
        <w:rPr>
          <w:rFonts w:ascii="宋体" w:hAnsi="宋体" w:cs="宋体"/>
          <w:sz w:val="24"/>
          <w:u w:val="single"/>
        </w:rPr>
        <w:t xml:space="preserve">     </w:t>
      </w:r>
      <w:r>
        <w:rPr>
          <w:rFonts w:ascii="宋体" w:hAnsi="宋体" w:cs="宋体"/>
          <w:sz w:val="24"/>
        </w:rPr>
        <w:t>日</w:t>
      </w:r>
      <w:bookmarkStart w:id="293" w:name="_Toc18055"/>
    </w:p>
    <w:p>
      <w:pPr>
        <w:rPr>
          <w:sz w:val="24"/>
        </w:rPr>
      </w:pPr>
      <w:r>
        <w:br w:type="page"/>
      </w:r>
    </w:p>
    <w:p>
      <w:pPr>
        <w:spacing w:line="560" w:lineRule="exact"/>
        <w:rPr>
          <w:b/>
          <w:bCs/>
          <w:sz w:val="24"/>
        </w:rPr>
      </w:pPr>
      <w:r>
        <w:rPr>
          <w:b/>
          <w:bCs/>
          <w:sz w:val="24"/>
        </w:rPr>
        <w:t>4.法定代表人（非法人组织的负责人）授权书</w:t>
      </w:r>
      <w:bookmarkEnd w:id="293"/>
    </w:p>
    <w:p>
      <w:pPr>
        <w:spacing w:line="560" w:lineRule="exact"/>
        <w:jc w:val="center"/>
        <w:rPr>
          <w:rFonts w:eastAsia="Calibri" w:cs="Calibri"/>
          <w:b/>
          <w:sz w:val="30"/>
        </w:rPr>
      </w:pPr>
      <w:r>
        <w:rPr>
          <w:rFonts w:ascii="宋体" w:hAnsi="宋体" w:cs="宋体"/>
          <w:b/>
          <w:sz w:val="30"/>
        </w:rPr>
        <w:t>法定代表人（非法人组织的负责人）授权书</w:t>
      </w:r>
    </w:p>
    <w:p>
      <w:pPr>
        <w:spacing w:line="560" w:lineRule="exact"/>
        <w:jc w:val="center"/>
        <w:rPr>
          <w:rFonts w:eastAsia="Calibri" w:cs="Calibri"/>
          <w:sz w:val="24"/>
        </w:rPr>
      </w:pPr>
      <w:r>
        <w:rPr>
          <w:rFonts w:ascii="宋体" w:hAnsi="宋体" w:cs="宋体"/>
          <w:sz w:val="24"/>
        </w:rPr>
        <w:t>【注：自然人</w:t>
      </w:r>
      <w:r>
        <w:rPr>
          <w:rFonts w:hint="eastAsia" w:ascii="宋体" w:hAnsi="宋体" w:cs="宋体"/>
          <w:sz w:val="24"/>
        </w:rPr>
        <w:t>响应</w:t>
      </w:r>
      <w:r>
        <w:rPr>
          <w:rFonts w:ascii="宋体" w:hAnsi="宋体" w:cs="宋体"/>
          <w:sz w:val="24"/>
        </w:rPr>
        <w:t>的无需提供】</w:t>
      </w:r>
    </w:p>
    <w:p>
      <w:pPr>
        <w:spacing w:line="560" w:lineRule="exact"/>
        <w:rPr>
          <w:rFonts w:eastAsia="Calibri" w:cs="Calibri"/>
          <w:sz w:val="24"/>
        </w:rPr>
      </w:pPr>
      <w:r>
        <w:rPr>
          <w:rFonts w:ascii="宋体" w:hAnsi="宋体" w:cs="宋体"/>
          <w:sz w:val="24"/>
          <w:u w:val="single"/>
        </w:rPr>
        <w:t> （采购人单位名称） </w:t>
      </w:r>
      <w:r>
        <w:rPr>
          <w:rFonts w:ascii="宋体" w:hAnsi="宋体" w:cs="宋体"/>
          <w:sz w:val="24"/>
        </w:rPr>
        <w:t>：</w:t>
      </w:r>
    </w:p>
    <w:p>
      <w:pPr>
        <w:tabs>
          <w:tab w:val="left" w:pos="5580"/>
        </w:tabs>
        <w:spacing w:line="560" w:lineRule="exact"/>
        <w:ind w:firstLine="480"/>
        <w:rPr>
          <w:rFonts w:ascii="宋体" w:hAnsi="宋体" w:cs="宋体"/>
          <w:sz w:val="24"/>
        </w:rPr>
      </w:pPr>
      <w:r>
        <w:rPr>
          <w:rFonts w:ascii="宋体" w:hAnsi="宋体" w:cs="宋体"/>
          <w:sz w:val="24"/>
        </w:rPr>
        <w:t>本授权书声明：注册于</w:t>
      </w:r>
      <w:r>
        <w:rPr>
          <w:rFonts w:ascii="宋体" w:hAnsi="宋体" w:cs="宋体"/>
          <w:sz w:val="24"/>
          <w:u w:val="single"/>
        </w:rPr>
        <w:t>（国家或地区的名称）</w:t>
      </w:r>
      <w:r>
        <w:rPr>
          <w:rFonts w:ascii="宋体" w:hAnsi="宋体" w:cs="宋体"/>
          <w:sz w:val="24"/>
        </w:rPr>
        <w:t>的（</w:t>
      </w:r>
      <w:r>
        <w:rPr>
          <w:rFonts w:ascii="宋体" w:hAnsi="宋体" w:cs="宋体"/>
          <w:i/>
          <w:sz w:val="24"/>
          <w:u w:val="single"/>
        </w:rPr>
        <w:t>供应商名称</w:t>
      </w:r>
      <w:r>
        <w:rPr>
          <w:rFonts w:ascii="宋体" w:hAnsi="宋体" w:cs="宋体"/>
          <w:sz w:val="24"/>
        </w:rPr>
        <w:t>）的在下面签字的（</w:t>
      </w:r>
      <w:r>
        <w:rPr>
          <w:rFonts w:ascii="宋体" w:hAnsi="宋体" w:cs="宋体"/>
          <w:i/>
          <w:sz w:val="24"/>
          <w:u w:val="single"/>
        </w:rPr>
        <w:t>法定代表人（非法人组织的负责人）姓名、职务</w:t>
      </w:r>
      <w:r>
        <w:rPr>
          <w:rFonts w:ascii="宋体" w:hAnsi="宋体" w:cs="宋体"/>
          <w:sz w:val="24"/>
        </w:rPr>
        <w:t>）代表我单位授权（</w:t>
      </w:r>
      <w:r>
        <w:rPr>
          <w:rFonts w:ascii="宋体" w:hAnsi="宋体" w:cs="宋体"/>
          <w:i/>
          <w:sz w:val="24"/>
          <w:u w:val="single"/>
        </w:rPr>
        <w:t>供应商名称</w:t>
      </w:r>
      <w:r>
        <w:rPr>
          <w:rFonts w:ascii="宋体" w:hAnsi="宋体" w:cs="宋体"/>
          <w:sz w:val="24"/>
        </w:rPr>
        <w:t>）的在下面签字的（</w:t>
      </w:r>
      <w:r>
        <w:rPr>
          <w:rFonts w:ascii="宋体" w:hAnsi="宋体" w:cs="宋体"/>
          <w:i/>
          <w:sz w:val="24"/>
          <w:u w:val="single"/>
        </w:rPr>
        <w:t>被授权人的姓名、职务</w:t>
      </w:r>
      <w:r>
        <w:rPr>
          <w:rFonts w:ascii="宋体" w:hAnsi="宋体" w:cs="宋体"/>
          <w:sz w:val="24"/>
        </w:rPr>
        <w:t>）为我单位的合法代理人，就（</w:t>
      </w:r>
      <w:r>
        <w:rPr>
          <w:rFonts w:ascii="宋体" w:hAnsi="宋体" w:cs="宋体"/>
          <w:i/>
          <w:sz w:val="24"/>
          <w:u w:val="single"/>
        </w:rPr>
        <w:t>项目名称、项目编号</w:t>
      </w:r>
      <w:r>
        <w:rPr>
          <w:rFonts w:ascii="宋体" w:hAnsi="宋体" w:cs="宋体"/>
          <w:sz w:val="24"/>
        </w:rPr>
        <w:t>）的（</w:t>
      </w:r>
      <w:r>
        <w:rPr>
          <w:rFonts w:ascii="宋体" w:hAnsi="宋体" w:cs="宋体"/>
          <w:i/>
          <w:sz w:val="24"/>
          <w:u w:val="single"/>
        </w:rPr>
        <w:t>合同名称/(项目名称、标段**)</w:t>
      </w:r>
      <w:r>
        <w:rPr>
          <w:rFonts w:ascii="宋体" w:hAnsi="宋体" w:cs="宋体"/>
          <w:sz w:val="24"/>
        </w:rPr>
        <w:t>）</w:t>
      </w:r>
      <w:r>
        <w:rPr>
          <w:rFonts w:hint="eastAsia" w:ascii="宋体" w:hAnsi="宋体" w:cs="宋体"/>
          <w:sz w:val="24"/>
        </w:rPr>
        <w:t>响应</w:t>
      </w:r>
      <w:r>
        <w:rPr>
          <w:rFonts w:ascii="宋体" w:hAnsi="宋体" w:cs="宋体"/>
          <w:sz w:val="24"/>
        </w:rPr>
        <w:t>，以我单位名义处理一切与之有关的事务。</w:t>
      </w:r>
    </w:p>
    <w:p>
      <w:pPr>
        <w:tabs>
          <w:tab w:val="left" w:pos="5580"/>
        </w:tabs>
        <w:spacing w:line="560" w:lineRule="exact"/>
        <w:ind w:firstLine="480"/>
        <w:rPr>
          <w:rFonts w:ascii="宋体" w:hAnsi="宋体" w:cs="宋体"/>
          <w:sz w:val="24"/>
        </w:rPr>
      </w:pPr>
      <w:r>
        <w:rPr>
          <w:rFonts w:ascii="宋体" w:hAnsi="宋体" w:cs="宋体"/>
          <w:sz w:val="24"/>
        </w:rPr>
        <w:t>　　本授权书于</w:t>
      </w:r>
      <w:r>
        <w:rPr>
          <w:rFonts w:hint="eastAsia" w:ascii="宋体" w:hAnsi="宋体" w:cs="宋体"/>
          <w:sz w:val="24"/>
        </w:rPr>
        <w:t xml:space="preserve">  </w:t>
      </w:r>
      <w:r>
        <w:rPr>
          <w:rFonts w:ascii="宋体" w:hAnsi="宋体" w:cs="宋体"/>
          <w:sz w:val="24"/>
        </w:rPr>
        <w:t>年</w:t>
      </w:r>
      <w:r>
        <w:rPr>
          <w:rFonts w:hint="eastAsia" w:ascii="宋体" w:hAnsi="宋体" w:cs="宋体"/>
          <w:sz w:val="24"/>
        </w:rPr>
        <w:t xml:space="preserve"> </w:t>
      </w:r>
      <w:r>
        <w:rPr>
          <w:rFonts w:ascii="宋体" w:hAnsi="宋体" w:cs="宋体"/>
          <w:sz w:val="24"/>
        </w:rPr>
        <w:t>月</w:t>
      </w:r>
      <w:r>
        <w:rPr>
          <w:rFonts w:hint="eastAsia" w:ascii="宋体" w:hAnsi="宋体" w:cs="宋体"/>
          <w:sz w:val="24"/>
        </w:rPr>
        <w:t xml:space="preserve"> </w:t>
      </w:r>
      <w:r>
        <w:rPr>
          <w:rFonts w:ascii="宋体" w:hAnsi="宋体" w:cs="宋体"/>
          <w:sz w:val="24"/>
        </w:rPr>
        <w:t>日签字生效,特此声明。</w:t>
      </w:r>
    </w:p>
    <w:tbl>
      <w:tblPr>
        <w:tblStyle w:val="38"/>
        <w:tblW w:w="8787" w:type="dxa"/>
        <w:jc w:val="center"/>
        <w:tblLayout w:type="fixed"/>
        <w:tblCellMar>
          <w:top w:w="0" w:type="dxa"/>
          <w:left w:w="10" w:type="dxa"/>
          <w:bottom w:w="0" w:type="dxa"/>
          <w:right w:w="10" w:type="dxa"/>
        </w:tblCellMar>
      </w:tblPr>
      <w:tblGrid>
        <w:gridCol w:w="8787"/>
      </w:tblGrid>
      <w:tr>
        <w:tblPrEx>
          <w:tblCellMar>
            <w:top w:w="0" w:type="dxa"/>
            <w:left w:w="10" w:type="dxa"/>
            <w:bottom w:w="0" w:type="dxa"/>
            <w:right w:w="10" w:type="dxa"/>
          </w:tblCellMar>
        </w:tblPrEx>
        <w:trPr>
          <w:trHeight w:val="1754" w:hRule="atLeast"/>
          <w:jc w:val="center"/>
        </w:trPr>
        <w:tc>
          <w:tcPr>
            <w:tcW w:w="8787"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pPr>
              <w:keepNext w:val="0"/>
              <w:keepLines w:val="0"/>
              <w:suppressLineNumbers w:val="0"/>
              <w:spacing w:before="0" w:beforeAutospacing="0" w:after="0" w:afterAutospacing="0" w:line="560" w:lineRule="exact"/>
              <w:ind w:left="0" w:right="0"/>
              <w:jc w:val="center"/>
              <w:rPr>
                <w:rFonts w:hint="default" w:eastAsia="Calibri" w:cs="Calibri"/>
                <w:b/>
                <w:sz w:val="24"/>
              </w:rPr>
            </w:pPr>
            <w:r>
              <w:rPr>
                <w:rFonts w:hint="default" w:ascii="宋体" w:hAnsi="宋体" w:cs="宋体"/>
                <w:b/>
                <w:sz w:val="24"/>
              </w:rPr>
              <w:t>被授权代表人身份证扫描件，可另外单页提供</w:t>
            </w:r>
          </w:p>
          <w:p>
            <w:pPr>
              <w:keepNext w:val="0"/>
              <w:keepLines w:val="0"/>
              <w:suppressLineNumbers w:val="0"/>
              <w:spacing w:before="0" w:beforeAutospacing="0" w:after="0" w:afterAutospacing="0" w:line="560" w:lineRule="exact"/>
              <w:ind w:left="0" w:right="0"/>
              <w:jc w:val="center"/>
              <w:rPr>
                <w:rFonts w:hint="default"/>
              </w:rPr>
            </w:pPr>
            <w:r>
              <w:rPr>
                <w:rFonts w:hint="default" w:ascii="宋体" w:hAnsi="宋体" w:cs="宋体"/>
                <w:b/>
                <w:sz w:val="24"/>
              </w:rPr>
              <w:t>（正面、背面）</w:t>
            </w:r>
          </w:p>
        </w:tc>
      </w:tr>
    </w:tbl>
    <w:p>
      <w:pPr>
        <w:spacing w:line="560" w:lineRule="exact"/>
        <w:rPr>
          <w:rFonts w:ascii="宋体" w:hAnsi="宋体" w:cs="宋体"/>
          <w:sz w:val="24"/>
          <w:u w:val="single"/>
        </w:rPr>
      </w:pPr>
      <w:r>
        <w:rPr>
          <w:rFonts w:ascii="宋体" w:hAnsi="宋体" w:cs="宋体"/>
          <w:sz w:val="24"/>
        </w:rPr>
        <w:t>附：供应商名</w:t>
      </w:r>
      <w:r>
        <w:rPr>
          <w:rFonts w:ascii="宋体" w:hAnsi="宋体"/>
          <w:sz w:val="24"/>
        </w:rPr>
        <w:t>称（公章）</w:t>
      </w:r>
      <w:r>
        <w:rPr>
          <w:rFonts w:ascii="宋体" w:hAnsi="宋体" w:cs="宋体"/>
          <w:sz w:val="24"/>
        </w:rPr>
        <w:t>：</w:t>
      </w:r>
      <w:r>
        <w:rPr>
          <w:rFonts w:hint="eastAsia" w:ascii="宋体" w:hAnsi="宋体"/>
          <w:sz w:val="24"/>
          <w:szCs w:val="20"/>
          <w:u w:val="single"/>
        </w:rPr>
        <w:t xml:space="preserve">  </w:t>
      </w:r>
      <w:r>
        <w:rPr>
          <w:rFonts w:ascii="宋体" w:hAnsi="宋体"/>
          <w:sz w:val="24"/>
          <w:szCs w:val="20"/>
          <w:u w:val="single"/>
        </w:rPr>
        <w:t xml:space="preserve">              </w:t>
      </w:r>
      <w:r>
        <w:rPr>
          <w:rFonts w:hint="eastAsia" w:ascii="宋体" w:hAnsi="宋体"/>
          <w:sz w:val="24"/>
          <w:szCs w:val="20"/>
          <w:u w:val="single"/>
        </w:rPr>
        <w:t>.</w:t>
      </w:r>
    </w:p>
    <w:p>
      <w:pPr>
        <w:tabs>
          <w:tab w:val="left" w:pos="5580"/>
        </w:tabs>
        <w:spacing w:line="560" w:lineRule="exact"/>
        <w:ind w:left="-539" w:firstLine="900"/>
        <w:rPr>
          <w:rFonts w:ascii="Arial" w:hAnsi="Arial" w:cs="Arial"/>
          <w:sz w:val="24"/>
        </w:rPr>
      </w:pPr>
      <w:r>
        <w:rPr>
          <w:rFonts w:ascii="宋体" w:hAnsi="宋体" w:cs="宋体"/>
          <w:sz w:val="24"/>
        </w:rPr>
        <w:t>法定代表人（非法人组织的负</w:t>
      </w:r>
      <w:r>
        <w:rPr>
          <w:rFonts w:ascii="宋体" w:hAnsi="宋体"/>
          <w:sz w:val="24"/>
        </w:rPr>
        <w:t>责人） (</w:t>
      </w:r>
      <w:r>
        <w:rPr>
          <w:rFonts w:hint="eastAsia" w:ascii="宋体" w:hAnsi="宋体"/>
          <w:sz w:val="24"/>
        </w:rPr>
        <w:t>签章</w:t>
      </w:r>
      <w:r>
        <w:rPr>
          <w:rFonts w:ascii="宋体" w:hAnsi="宋体"/>
          <w:sz w:val="24"/>
        </w:rPr>
        <w:t>)</w:t>
      </w:r>
      <w:r>
        <w:rPr>
          <w:rFonts w:ascii="宋体" w:hAnsi="宋体" w:cs="宋体"/>
          <w:sz w:val="24"/>
        </w:rPr>
        <w:t>：</w:t>
      </w:r>
      <w:r>
        <w:rPr>
          <w:rFonts w:hint="eastAsia" w:ascii="宋体" w:hAnsi="宋体"/>
          <w:sz w:val="24"/>
          <w:szCs w:val="20"/>
          <w:u w:val="single"/>
        </w:rPr>
        <w:t xml:space="preserve">  </w:t>
      </w:r>
      <w:r>
        <w:rPr>
          <w:rFonts w:ascii="宋体" w:hAnsi="宋体"/>
          <w:sz w:val="24"/>
          <w:szCs w:val="20"/>
          <w:u w:val="single"/>
        </w:rPr>
        <w:t xml:space="preserve">              </w:t>
      </w:r>
      <w:r>
        <w:rPr>
          <w:rFonts w:hint="eastAsia" w:ascii="宋体" w:hAnsi="宋体"/>
          <w:sz w:val="24"/>
          <w:szCs w:val="20"/>
          <w:u w:val="single"/>
        </w:rPr>
        <w:t>.</w:t>
      </w:r>
    </w:p>
    <w:p>
      <w:pPr>
        <w:tabs>
          <w:tab w:val="left" w:pos="5580"/>
        </w:tabs>
        <w:spacing w:line="560" w:lineRule="exact"/>
        <w:ind w:left="-539" w:firstLine="900"/>
        <w:rPr>
          <w:rFonts w:ascii="宋体" w:hAnsi="宋体" w:cs="宋体"/>
          <w:sz w:val="24"/>
          <w:u w:val="single"/>
        </w:rPr>
      </w:pPr>
      <w:r>
        <w:rPr>
          <w:rFonts w:ascii="宋体" w:hAnsi="宋体" w:cs="宋体"/>
          <w:sz w:val="24"/>
        </w:rPr>
        <w:t>法定代表人（非法人组织的负责人）身份证号码：</w:t>
      </w:r>
      <w:r>
        <w:rPr>
          <w:rFonts w:hint="eastAsia" w:ascii="宋体" w:hAnsi="宋体"/>
          <w:sz w:val="24"/>
          <w:szCs w:val="20"/>
          <w:u w:val="single"/>
        </w:rPr>
        <w:t xml:space="preserve">  </w:t>
      </w:r>
      <w:r>
        <w:rPr>
          <w:rFonts w:ascii="宋体" w:hAnsi="宋体"/>
          <w:sz w:val="24"/>
          <w:szCs w:val="20"/>
          <w:u w:val="single"/>
        </w:rPr>
        <w:t xml:space="preserve">              </w:t>
      </w:r>
      <w:r>
        <w:rPr>
          <w:rFonts w:hint="eastAsia" w:ascii="宋体" w:hAnsi="宋体"/>
          <w:sz w:val="24"/>
          <w:szCs w:val="20"/>
          <w:u w:val="single"/>
        </w:rPr>
        <w:t>.</w:t>
      </w:r>
    </w:p>
    <w:p>
      <w:pPr>
        <w:tabs>
          <w:tab w:val="left" w:pos="5580"/>
        </w:tabs>
        <w:spacing w:line="560" w:lineRule="exact"/>
        <w:ind w:firstLine="360"/>
        <w:rPr>
          <w:rFonts w:ascii="宋体" w:hAnsi="宋体" w:cs="宋体"/>
          <w:sz w:val="24"/>
          <w:u w:val="single"/>
        </w:rPr>
      </w:pPr>
      <w:r>
        <w:rPr>
          <w:rFonts w:ascii="宋体" w:hAnsi="宋体" w:cs="宋体"/>
          <w:sz w:val="24"/>
        </w:rPr>
        <w:t>委托代理人：</w:t>
      </w:r>
      <w:r>
        <w:rPr>
          <w:rFonts w:ascii="宋体" w:hAnsi="宋体" w:cs="宋体"/>
          <w:sz w:val="24"/>
          <w:u w:val="single"/>
        </w:rPr>
        <w:t xml:space="preserve"> （姓名） </w:t>
      </w:r>
    </w:p>
    <w:p>
      <w:pPr>
        <w:tabs>
          <w:tab w:val="left" w:pos="5580"/>
        </w:tabs>
        <w:spacing w:line="560" w:lineRule="exact"/>
        <w:ind w:firstLine="360"/>
        <w:rPr>
          <w:rFonts w:ascii="宋体" w:hAnsi="宋体" w:cs="宋体"/>
          <w:sz w:val="24"/>
        </w:rPr>
      </w:pPr>
      <w:r>
        <w:rPr>
          <w:rFonts w:ascii="宋体" w:hAnsi="宋体" w:cs="宋体"/>
          <w:sz w:val="24"/>
        </w:rPr>
        <w:t>委托代理人身份证号码：</w:t>
      </w:r>
      <w:r>
        <w:rPr>
          <w:rFonts w:hint="eastAsia" w:ascii="宋体" w:hAnsi="宋体"/>
          <w:sz w:val="24"/>
          <w:szCs w:val="20"/>
          <w:u w:val="single"/>
        </w:rPr>
        <w:t xml:space="preserve">  </w:t>
      </w:r>
      <w:r>
        <w:rPr>
          <w:rFonts w:ascii="宋体" w:hAnsi="宋体"/>
          <w:sz w:val="24"/>
          <w:szCs w:val="20"/>
          <w:u w:val="single"/>
        </w:rPr>
        <w:t xml:space="preserve">              </w:t>
      </w:r>
      <w:r>
        <w:rPr>
          <w:rFonts w:hint="eastAsia" w:ascii="宋体" w:hAnsi="宋体"/>
          <w:sz w:val="24"/>
          <w:szCs w:val="20"/>
          <w:u w:val="single"/>
        </w:rPr>
        <w:t>.</w:t>
      </w:r>
    </w:p>
    <w:p>
      <w:pPr>
        <w:tabs>
          <w:tab w:val="left" w:pos="5580"/>
        </w:tabs>
        <w:spacing w:line="560" w:lineRule="exact"/>
        <w:ind w:firstLine="360"/>
        <w:rPr>
          <w:rFonts w:ascii="宋体" w:hAnsi="宋体" w:cs="宋体"/>
          <w:sz w:val="24"/>
        </w:rPr>
      </w:pPr>
      <w:r>
        <w:rPr>
          <w:rFonts w:ascii="宋体" w:hAnsi="宋体" w:cs="宋体"/>
          <w:sz w:val="24"/>
        </w:rPr>
        <w:t>详细通讯地址：</w:t>
      </w:r>
      <w:r>
        <w:rPr>
          <w:rFonts w:hint="eastAsia" w:ascii="宋体" w:hAnsi="宋体"/>
          <w:sz w:val="24"/>
          <w:szCs w:val="20"/>
          <w:u w:val="single"/>
        </w:rPr>
        <w:t xml:space="preserve">  </w:t>
      </w:r>
      <w:r>
        <w:rPr>
          <w:rFonts w:ascii="宋体" w:hAnsi="宋体"/>
          <w:sz w:val="24"/>
          <w:szCs w:val="20"/>
          <w:u w:val="single"/>
        </w:rPr>
        <w:t xml:space="preserve">              </w:t>
      </w:r>
      <w:r>
        <w:rPr>
          <w:rFonts w:hint="eastAsia" w:ascii="宋体" w:hAnsi="宋体"/>
          <w:sz w:val="24"/>
          <w:szCs w:val="20"/>
          <w:u w:val="single"/>
        </w:rPr>
        <w:t>.</w:t>
      </w:r>
    </w:p>
    <w:p>
      <w:pPr>
        <w:tabs>
          <w:tab w:val="left" w:pos="5580"/>
        </w:tabs>
        <w:spacing w:line="560" w:lineRule="exact"/>
        <w:ind w:firstLine="360"/>
        <w:rPr>
          <w:rFonts w:ascii="宋体" w:hAnsi="宋体" w:cs="宋体"/>
          <w:sz w:val="24"/>
        </w:rPr>
      </w:pPr>
      <w:r>
        <w:rPr>
          <w:rFonts w:ascii="宋体" w:hAnsi="宋体" w:cs="宋体"/>
          <w:sz w:val="24"/>
        </w:rPr>
        <w:t>邮 政 编 码 ：</w:t>
      </w:r>
      <w:r>
        <w:rPr>
          <w:rFonts w:hint="eastAsia" w:ascii="宋体" w:hAnsi="宋体"/>
          <w:sz w:val="24"/>
          <w:szCs w:val="20"/>
          <w:u w:val="single"/>
        </w:rPr>
        <w:t xml:space="preserve">  </w:t>
      </w:r>
      <w:r>
        <w:rPr>
          <w:rFonts w:ascii="宋体" w:hAnsi="宋体"/>
          <w:sz w:val="24"/>
          <w:szCs w:val="20"/>
          <w:u w:val="single"/>
        </w:rPr>
        <w:t xml:space="preserve">              </w:t>
      </w:r>
      <w:r>
        <w:rPr>
          <w:rFonts w:hint="eastAsia" w:ascii="宋体" w:hAnsi="宋体"/>
          <w:sz w:val="24"/>
          <w:szCs w:val="20"/>
          <w:u w:val="single"/>
        </w:rPr>
        <w:t>.</w:t>
      </w:r>
    </w:p>
    <w:p>
      <w:pPr>
        <w:tabs>
          <w:tab w:val="left" w:pos="5580"/>
        </w:tabs>
        <w:spacing w:line="560" w:lineRule="exact"/>
        <w:ind w:firstLine="360"/>
        <w:rPr>
          <w:rFonts w:ascii="宋体" w:hAnsi="宋体" w:cs="宋体"/>
          <w:sz w:val="24"/>
        </w:rPr>
      </w:pPr>
      <w:r>
        <w:rPr>
          <w:rFonts w:ascii="宋体" w:hAnsi="宋体" w:cs="宋体"/>
          <w:sz w:val="24"/>
        </w:rPr>
        <w:t>传　　　　真：</w:t>
      </w:r>
      <w:r>
        <w:rPr>
          <w:rFonts w:hint="eastAsia" w:ascii="宋体" w:hAnsi="宋体"/>
          <w:sz w:val="24"/>
          <w:szCs w:val="20"/>
          <w:u w:val="single"/>
        </w:rPr>
        <w:t xml:space="preserve">  </w:t>
      </w:r>
      <w:r>
        <w:rPr>
          <w:rFonts w:ascii="宋体" w:hAnsi="宋体"/>
          <w:sz w:val="24"/>
          <w:szCs w:val="20"/>
          <w:u w:val="single"/>
        </w:rPr>
        <w:t xml:space="preserve">              </w:t>
      </w:r>
      <w:r>
        <w:rPr>
          <w:rFonts w:hint="eastAsia" w:ascii="宋体" w:hAnsi="宋体"/>
          <w:sz w:val="24"/>
          <w:szCs w:val="20"/>
          <w:u w:val="single"/>
        </w:rPr>
        <w:t>.</w:t>
      </w:r>
    </w:p>
    <w:p>
      <w:pPr>
        <w:tabs>
          <w:tab w:val="left" w:pos="5580"/>
        </w:tabs>
        <w:spacing w:line="560" w:lineRule="exact"/>
        <w:ind w:firstLine="360"/>
        <w:rPr>
          <w:rFonts w:ascii="宋体" w:hAnsi="宋体" w:cs="宋体"/>
          <w:sz w:val="24"/>
        </w:rPr>
      </w:pPr>
      <w:r>
        <w:rPr>
          <w:rFonts w:ascii="宋体" w:hAnsi="宋体" w:cs="宋体"/>
          <w:sz w:val="24"/>
        </w:rPr>
        <w:t>电　　　　话：</w:t>
      </w:r>
      <w:r>
        <w:rPr>
          <w:rFonts w:hint="eastAsia" w:ascii="宋体" w:hAnsi="宋体"/>
          <w:sz w:val="24"/>
          <w:szCs w:val="20"/>
          <w:u w:val="single"/>
        </w:rPr>
        <w:t xml:space="preserve">  </w:t>
      </w:r>
      <w:r>
        <w:rPr>
          <w:rFonts w:ascii="宋体" w:hAnsi="宋体"/>
          <w:sz w:val="24"/>
          <w:szCs w:val="20"/>
          <w:u w:val="single"/>
        </w:rPr>
        <w:t xml:space="preserve">              </w:t>
      </w:r>
      <w:r>
        <w:rPr>
          <w:rFonts w:hint="eastAsia" w:ascii="宋体" w:hAnsi="宋体"/>
          <w:sz w:val="24"/>
          <w:szCs w:val="20"/>
          <w:u w:val="single"/>
        </w:rPr>
        <w:t>.</w:t>
      </w:r>
    </w:p>
    <w:p>
      <w:pPr>
        <w:rPr>
          <w:rFonts w:ascii="宋体"/>
          <w:b/>
          <w:kern w:val="0"/>
          <w:sz w:val="24"/>
          <w:szCs w:val="20"/>
        </w:rPr>
      </w:pPr>
      <w:bookmarkStart w:id="294" w:name="_Toc32263"/>
    </w:p>
    <w:p>
      <w:pPr>
        <w:rPr>
          <w:rFonts w:ascii="宋体"/>
          <w:b/>
          <w:kern w:val="0"/>
          <w:sz w:val="24"/>
          <w:szCs w:val="20"/>
        </w:rPr>
      </w:pPr>
    </w:p>
    <w:p>
      <w:pPr>
        <w:pStyle w:val="2"/>
      </w:pPr>
    </w:p>
    <w:p>
      <w:pPr>
        <w:pStyle w:val="2"/>
      </w:pPr>
    </w:p>
    <w:p>
      <w:pPr>
        <w:pStyle w:val="2"/>
      </w:pPr>
    </w:p>
    <w:p>
      <w:pPr>
        <w:pStyle w:val="2"/>
      </w:pPr>
    </w:p>
    <w:p>
      <w:pPr>
        <w:pStyle w:val="2"/>
      </w:pPr>
    </w:p>
    <w:bookmarkEnd w:id="294"/>
    <w:p>
      <w:pPr>
        <w:numPr>
          <w:ilvl w:val="0"/>
          <w:numId w:val="3"/>
        </w:numPr>
        <w:rPr>
          <w:rFonts w:ascii="宋体" w:hAnsi="宋体" w:cs="宋体"/>
          <w:b/>
          <w:kern w:val="0"/>
          <w:sz w:val="24"/>
          <w:szCs w:val="20"/>
        </w:rPr>
      </w:pPr>
      <w:r>
        <w:rPr>
          <w:rFonts w:hint="eastAsia" w:ascii="宋体" w:hAnsi="宋体" w:cs="宋体"/>
          <w:b/>
          <w:kern w:val="0"/>
          <w:sz w:val="24"/>
          <w:szCs w:val="20"/>
        </w:rPr>
        <w:t>政府采购供应商信用承诺书</w:t>
      </w:r>
    </w:p>
    <w:p>
      <w:pPr>
        <w:pStyle w:val="5"/>
      </w:pPr>
    </w:p>
    <w:p>
      <w:pPr>
        <w:pStyle w:val="46"/>
        <w:ind w:firstLine="0" w:firstLineChars="0"/>
      </w:pPr>
    </w:p>
    <w:p>
      <w:pPr>
        <w:pageBreakBefore w:val="0"/>
        <w:tabs>
          <w:tab w:val="left" w:pos="5580"/>
        </w:tabs>
        <w:kinsoku/>
        <w:wordWrap/>
        <w:overflowPunct/>
        <w:topLinePunct w:val="0"/>
        <w:bidi w:val="0"/>
        <w:spacing w:line="560" w:lineRule="exact"/>
        <w:jc w:val="center"/>
        <w:textAlignment w:val="auto"/>
        <w:rPr>
          <w:rFonts w:hint="eastAsia" w:ascii="宋体" w:hAnsi="宋体"/>
          <w:b/>
          <w:bCs/>
          <w:color w:val="auto"/>
          <w:sz w:val="24"/>
          <w:szCs w:val="20"/>
          <w:highlight w:val="none"/>
        </w:rPr>
      </w:pPr>
      <w:bookmarkStart w:id="295" w:name="_Toc397"/>
      <w:r>
        <w:rPr>
          <w:rFonts w:hint="eastAsia" w:ascii="宋体" w:hAnsi="宋体"/>
          <w:b w:val="0"/>
          <w:bCs w:val="0"/>
          <w:color w:val="auto"/>
          <w:sz w:val="36"/>
          <w:szCs w:val="36"/>
          <w:highlight w:val="none"/>
        </w:rPr>
        <w:t>政府采购供应商信用承诺书</w:t>
      </w:r>
    </w:p>
    <w:p>
      <w:pPr>
        <w:pageBreakBefore w:val="0"/>
        <w:tabs>
          <w:tab w:val="left" w:pos="5580"/>
        </w:tabs>
        <w:kinsoku/>
        <w:wordWrap/>
        <w:overflowPunct/>
        <w:topLinePunct w:val="0"/>
        <w:bidi w:val="0"/>
        <w:spacing w:line="560" w:lineRule="exact"/>
        <w:textAlignment w:val="auto"/>
        <w:rPr>
          <w:rFonts w:hint="eastAsia" w:ascii="宋体" w:hAnsi="宋体"/>
          <w:color w:val="auto"/>
          <w:sz w:val="24"/>
          <w:szCs w:val="20"/>
          <w:highlight w:val="none"/>
        </w:rPr>
      </w:pPr>
      <w:r>
        <w:rPr>
          <w:rFonts w:hint="eastAsia" w:ascii="宋体" w:hAnsi="宋体"/>
          <w:color w:val="auto"/>
          <w:sz w:val="24"/>
          <w:szCs w:val="20"/>
          <w:highlight w:val="none"/>
        </w:rPr>
        <w:t>本公司郑重声明:</w:t>
      </w:r>
    </w:p>
    <w:p>
      <w:pPr>
        <w:pageBreakBefore w:val="0"/>
        <w:tabs>
          <w:tab w:val="left" w:pos="5580"/>
        </w:tabs>
        <w:kinsoku/>
        <w:wordWrap/>
        <w:overflowPunct/>
        <w:topLinePunct w:val="0"/>
        <w:bidi w:val="0"/>
        <w:spacing w:line="560" w:lineRule="exact"/>
        <w:ind w:left="1080" w:leftChars="257" w:hanging="540"/>
        <w:textAlignment w:val="auto"/>
        <w:rPr>
          <w:rFonts w:hint="eastAsia" w:ascii="宋体" w:hAnsi="宋体"/>
          <w:color w:val="auto"/>
          <w:sz w:val="24"/>
          <w:szCs w:val="20"/>
          <w:highlight w:val="none"/>
        </w:rPr>
      </w:pPr>
      <w:r>
        <w:rPr>
          <w:rFonts w:hint="eastAsia" w:ascii="宋体" w:hAnsi="宋体"/>
          <w:color w:val="auto"/>
          <w:sz w:val="24"/>
          <w:szCs w:val="20"/>
          <w:highlight w:val="none"/>
        </w:rPr>
        <w:t>1、承诺具有良好的商业信誉和健全的财务会计制度;</w:t>
      </w:r>
    </w:p>
    <w:p>
      <w:pPr>
        <w:pageBreakBefore w:val="0"/>
        <w:tabs>
          <w:tab w:val="left" w:pos="5580"/>
        </w:tabs>
        <w:kinsoku/>
        <w:wordWrap/>
        <w:overflowPunct/>
        <w:topLinePunct w:val="0"/>
        <w:bidi w:val="0"/>
        <w:spacing w:line="560" w:lineRule="exact"/>
        <w:ind w:left="1080" w:leftChars="257" w:hanging="540"/>
        <w:textAlignment w:val="auto"/>
        <w:rPr>
          <w:rFonts w:hint="eastAsia" w:ascii="宋体" w:hAnsi="宋体"/>
          <w:color w:val="auto"/>
          <w:sz w:val="24"/>
          <w:szCs w:val="20"/>
          <w:highlight w:val="none"/>
        </w:rPr>
      </w:pPr>
      <w:r>
        <w:rPr>
          <w:rFonts w:hint="eastAsia" w:ascii="宋体" w:hAnsi="宋体"/>
          <w:color w:val="auto"/>
          <w:sz w:val="24"/>
          <w:szCs w:val="20"/>
          <w:highlight w:val="none"/>
        </w:rPr>
        <w:t>2、承诺依法缴纳税收和社会保障资金;</w:t>
      </w:r>
    </w:p>
    <w:p>
      <w:pPr>
        <w:pageBreakBefore w:val="0"/>
        <w:tabs>
          <w:tab w:val="left" w:pos="5580"/>
        </w:tabs>
        <w:kinsoku/>
        <w:wordWrap/>
        <w:overflowPunct/>
        <w:topLinePunct w:val="0"/>
        <w:bidi w:val="0"/>
        <w:spacing w:line="560" w:lineRule="exact"/>
        <w:ind w:left="1080" w:leftChars="257" w:hanging="540"/>
        <w:textAlignment w:val="auto"/>
        <w:rPr>
          <w:rFonts w:hint="eastAsia" w:ascii="宋体" w:hAnsi="宋体"/>
          <w:color w:val="auto"/>
          <w:sz w:val="24"/>
          <w:szCs w:val="20"/>
          <w:highlight w:val="none"/>
        </w:rPr>
      </w:pPr>
      <w:r>
        <w:rPr>
          <w:rFonts w:hint="eastAsia" w:ascii="宋体" w:hAnsi="宋体"/>
          <w:color w:val="auto"/>
          <w:sz w:val="24"/>
          <w:szCs w:val="20"/>
          <w:highlight w:val="none"/>
        </w:rPr>
        <w:t>3、承诺参加政府采购活动前3年内在经营活动中没有重大违法记录;</w:t>
      </w:r>
    </w:p>
    <w:p>
      <w:pPr>
        <w:pageBreakBefore w:val="0"/>
        <w:tabs>
          <w:tab w:val="left" w:pos="5580"/>
        </w:tabs>
        <w:kinsoku/>
        <w:wordWrap/>
        <w:overflowPunct/>
        <w:topLinePunct w:val="0"/>
        <w:bidi w:val="0"/>
        <w:spacing w:line="560" w:lineRule="exact"/>
        <w:ind w:firstLine="480" w:firstLineChars="200"/>
        <w:textAlignment w:val="auto"/>
        <w:rPr>
          <w:rFonts w:hint="eastAsia" w:ascii="宋体" w:hAnsi="宋体"/>
          <w:color w:val="auto"/>
          <w:sz w:val="24"/>
          <w:szCs w:val="20"/>
          <w:highlight w:val="none"/>
        </w:rPr>
      </w:pPr>
      <w:r>
        <w:rPr>
          <w:rFonts w:hint="eastAsia" w:ascii="宋体" w:hAnsi="宋体"/>
          <w:color w:val="auto"/>
          <w:sz w:val="24"/>
          <w:szCs w:val="20"/>
          <w:highlight w:val="none"/>
        </w:rPr>
        <w:t>供应商应当遵循诚实守信用原则，不得作出虚假承诺，若承诺不实的，属于提供虚假材料谋取中标、成交，应依法承担相应的法律责任。</w:t>
      </w:r>
    </w:p>
    <w:p>
      <w:pPr>
        <w:pStyle w:val="48"/>
        <w:ind w:left="0" w:leftChars="0" w:firstLine="0" w:firstLineChars="0"/>
        <w:rPr>
          <w:rFonts w:hint="eastAsia"/>
        </w:rPr>
      </w:pPr>
    </w:p>
    <w:p>
      <w:pPr>
        <w:pageBreakBefore w:val="0"/>
        <w:tabs>
          <w:tab w:val="left" w:pos="5580"/>
        </w:tabs>
        <w:kinsoku/>
        <w:wordWrap/>
        <w:overflowPunct/>
        <w:topLinePunct w:val="0"/>
        <w:bidi w:val="0"/>
        <w:spacing w:line="560" w:lineRule="exact"/>
        <w:ind w:left="1080" w:leftChars="257" w:hanging="540"/>
        <w:textAlignment w:val="auto"/>
        <w:rPr>
          <w:rFonts w:hint="eastAsia" w:ascii="宋体" w:hAnsi="宋体"/>
          <w:color w:val="auto"/>
          <w:sz w:val="24"/>
          <w:szCs w:val="20"/>
          <w:highlight w:val="none"/>
        </w:rPr>
      </w:pPr>
      <w:r>
        <w:rPr>
          <w:rFonts w:hint="eastAsia" w:ascii="宋体" w:hAnsi="宋体"/>
          <w:color w:val="auto"/>
          <w:sz w:val="24"/>
          <w:szCs w:val="20"/>
          <w:highlight w:val="none"/>
        </w:rPr>
        <w:t>特此声明!</w:t>
      </w:r>
    </w:p>
    <w:p>
      <w:pPr>
        <w:pStyle w:val="48"/>
        <w:rPr>
          <w:rFonts w:hint="eastAsia" w:ascii="宋体" w:hAnsi="宋体"/>
          <w:color w:val="auto"/>
          <w:sz w:val="24"/>
          <w:szCs w:val="20"/>
          <w:highlight w:val="none"/>
        </w:rPr>
      </w:pPr>
    </w:p>
    <w:p>
      <w:pPr>
        <w:rPr>
          <w:rFonts w:hint="eastAsia" w:ascii="宋体" w:hAnsi="宋体"/>
          <w:color w:val="auto"/>
          <w:sz w:val="24"/>
          <w:szCs w:val="20"/>
          <w:highlight w:val="none"/>
        </w:rPr>
      </w:pPr>
    </w:p>
    <w:p>
      <w:pPr>
        <w:pStyle w:val="48"/>
        <w:rPr>
          <w:rFonts w:hint="eastAsia"/>
        </w:rPr>
      </w:pPr>
    </w:p>
    <w:p>
      <w:pPr>
        <w:rPr>
          <w:rFonts w:hint="eastAsia"/>
        </w:rPr>
      </w:pPr>
    </w:p>
    <w:p>
      <w:pPr>
        <w:pageBreakBefore w:val="0"/>
        <w:tabs>
          <w:tab w:val="left" w:pos="5580"/>
        </w:tabs>
        <w:kinsoku/>
        <w:wordWrap/>
        <w:overflowPunct/>
        <w:topLinePunct w:val="0"/>
        <w:bidi w:val="0"/>
        <w:spacing w:line="560" w:lineRule="exact"/>
        <w:ind w:left="1080" w:leftChars="257" w:hanging="540"/>
        <w:textAlignment w:val="auto"/>
        <w:rPr>
          <w:rFonts w:hint="eastAsia" w:ascii="宋体" w:hAnsi="宋体"/>
          <w:color w:val="auto"/>
          <w:sz w:val="24"/>
          <w:szCs w:val="20"/>
          <w:highlight w:val="none"/>
        </w:rPr>
      </w:pPr>
      <w:r>
        <w:rPr>
          <w:rFonts w:hint="eastAsia" w:ascii="宋体" w:hAnsi="宋体"/>
          <w:color w:val="auto"/>
          <w:sz w:val="24"/>
          <w:szCs w:val="20"/>
          <w:highlight w:val="none"/>
        </w:rPr>
        <w:t>投标人名称(公章):</w:t>
      </w:r>
    </w:p>
    <w:p>
      <w:pPr>
        <w:pageBreakBefore w:val="0"/>
        <w:tabs>
          <w:tab w:val="left" w:pos="5580"/>
        </w:tabs>
        <w:kinsoku/>
        <w:wordWrap/>
        <w:overflowPunct/>
        <w:topLinePunct w:val="0"/>
        <w:bidi w:val="0"/>
        <w:spacing w:line="560" w:lineRule="exact"/>
        <w:ind w:left="1080" w:leftChars="257" w:hanging="540"/>
        <w:textAlignment w:val="auto"/>
        <w:rPr>
          <w:rFonts w:hint="eastAsia" w:ascii="宋体" w:hAnsi="宋体"/>
          <w:color w:val="auto"/>
          <w:sz w:val="24"/>
          <w:szCs w:val="20"/>
          <w:highlight w:val="none"/>
        </w:rPr>
      </w:pPr>
      <w:r>
        <w:rPr>
          <w:rFonts w:hint="eastAsia" w:ascii="宋体" w:hAnsi="宋体"/>
          <w:color w:val="auto"/>
          <w:sz w:val="24"/>
          <w:szCs w:val="20"/>
          <w:highlight w:val="none"/>
        </w:rPr>
        <w:t>法定代表人或其授权代表(签章):</w:t>
      </w:r>
    </w:p>
    <w:p>
      <w:pPr>
        <w:pageBreakBefore w:val="0"/>
        <w:tabs>
          <w:tab w:val="left" w:pos="5580"/>
        </w:tabs>
        <w:kinsoku/>
        <w:wordWrap/>
        <w:overflowPunct/>
        <w:topLinePunct w:val="0"/>
        <w:bidi w:val="0"/>
        <w:spacing w:line="560" w:lineRule="exact"/>
        <w:ind w:left="1080" w:leftChars="257" w:hanging="540"/>
        <w:textAlignment w:val="auto"/>
        <w:rPr>
          <w:rFonts w:hint="eastAsia" w:ascii="宋体" w:hAnsi="宋体"/>
          <w:color w:val="auto"/>
          <w:sz w:val="24"/>
          <w:szCs w:val="20"/>
          <w:highlight w:val="none"/>
        </w:rPr>
      </w:pPr>
      <w:r>
        <w:rPr>
          <w:rFonts w:hint="eastAsia" w:ascii="宋体" w:hAnsi="宋体"/>
          <w:color w:val="auto"/>
          <w:sz w:val="24"/>
          <w:szCs w:val="20"/>
          <w:highlight w:val="none"/>
        </w:rPr>
        <w:t>日期:____ _年__月__日</w:t>
      </w:r>
    </w:p>
    <w:p>
      <w:pPr>
        <w:pageBreakBefore w:val="0"/>
        <w:tabs>
          <w:tab w:val="left" w:pos="5580"/>
        </w:tabs>
        <w:kinsoku/>
        <w:wordWrap/>
        <w:overflowPunct/>
        <w:topLinePunct w:val="0"/>
        <w:bidi w:val="0"/>
        <w:spacing w:line="560" w:lineRule="exact"/>
        <w:ind w:left="1080" w:leftChars="257" w:hanging="540"/>
        <w:textAlignment w:val="auto"/>
        <w:rPr>
          <w:rFonts w:ascii="宋体" w:hAnsi="宋体"/>
          <w:color w:val="auto"/>
          <w:sz w:val="24"/>
          <w:szCs w:val="20"/>
          <w:highlight w:val="none"/>
        </w:rPr>
      </w:pPr>
      <w:r>
        <w:rPr>
          <w:rFonts w:ascii="宋体" w:hAnsi="宋体"/>
          <w:color w:val="auto"/>
          <w:sz w:val="24"/>
          <w:szCs w:val="20"/>
          <w:highlight w:val="none"/>
        </w:rPr>
        <w:t xml:space="preserve"> </w:t>
      </w:r>
    </w:p>
    <w:p>
      <w:pPr>
        <w:pStyle w:val="48"/>
        <w:rPr>
          <w:rFonts w:ascii="宋体" w:hAnsi="宋体"/>
          <w:color w:val="auto"/>
          <w:sz w:val="24"/>
          <w:szCs w:val="20"/>
          <w:highlight w:val="none"/>
        </w:rPr>
      </w:pPr>
    </w:p>
    <w:p>
      <w:pPr>
        <w:rPr>
          <w:rFonts w:ascii="宋体" w:hAnsi="宋体"/>
          <w:color w:val="auto"/>
          <w:sz w:val="24"/>
          <w:szCs w:val="20"/>
          <w:highlight w:val="none"/>
        </w:rPr>
      </w:pPr>
    </w:p>
    <w:p>
      <w:pPr>
        <w:pStyle w:val="48"/>
        <w:rPr>
          <w:rFonts w:ascii="宋体" w:hAnsi="宋体"/>
          <w:color w:val="auto"/>
          <w:sz w:val="24"/>
          <w:szCs w:val="20"/>
          <w:highlight w:val="none"/>
        </w:rPr>
      </w:pPr>
    </w:p>
    <w:p>
      <w:pPr>
        <w:rPr>
          <w:rFonts w:ascii="宋体" w:hAnsi="宋体"/>
          <w:color w:val="auto"/>
          <w:sz w:val="24"/>
          <w:szCs w:val="20"/>
          <w:highlight w:val="none"/>
        </w:rPr>
      </w:pPr>
    </w:p>
    <w:p>
      <w:pPr>
        <w:pStyle w:val="48"/>
        <w:rPr>
          <w:rFonts w:ascii="宋体" w:hAnsi="宋体"/>
          <w:color w:val="auto"/>
          <w:sz w:val="24"/>
          <w:szCs w:val="20"/>
          <w:highlight w:val="none"/>
        </w:rPr>
      </w:pPr>
    </w:p>
    <w:p>
      <w:pPr>
        <w:rPr>
          <w:rFonts w:hint="eastAsia" w:ascii="宋体" w:hAnsi="宋体" w:eastAsia="宋体" w:cs="Times New Roman"/>
          <w:sz w:val="24"/>
        </w:rPr>
      </w:pPr>
      <w:r>
        <w:rPr>
          <w:rFonts w:hint="eastAsia" w:ascii="宋体" w:hAnsi="宋体" w:eastAsia="宋体" w:cs="Times New Roman"/>
          <w:sz w:val="24"/>
        </w:rPr>
        <w:br w:type="page"/>
      </w:r>
    </w:p>
    <w:p>
      <w:pPr>
        <w:spacing w:line="560" w:lineRule="exact"/>
        <w:rPr>
          <w:rFonts w:hint="eastAsia" w:ascii="宋体" w:hAnsi="宋体" w:eastAsia="宋体" w:cs="Times New Roman"/>
          <w:b/>
          <w:bCs/>
          <w:sz w:val="24"/>
        </w:rPr>
      </w:pPr>
      <w:r>
        <w:rPr>
          <w:rFonts w:hint="eastAsia" w:ascii="宋体" w:hAnsi="宋体" w:eastAsia="宋体" w:cs="Times New Roman"/>
          <w:b/>
          <w:bCs/>
          <w:sz w:val="24"/>
        </w:rPr>
        <w:t>6.供应商须知资料表要求的其他资格证明文件</w:t>
      </w:r>
      <w:bookmarkEnd w:id="295"/>
    </w:p>
    <w:p>
      <w:pPr>
        <w:spacing w:line="560" w:lineRule="exact"/>
        <w:ind w:left="1080" w:leftChars="257" w:hanging="540"/>
        <w:jc w:val="center"/>
        <w:rPr>
          <w:rFonts w:ascii="宋体" w:hAnsi="宋体"/>
          <w:b/>
          <w:bCs/>
          <w:sz w:val="24"/>
        </w:rPr>
      </w:pPr>
    </w:p>
    <w:p>
      <w:pPr>
        <w:spacing w:line="560" w:lineRule="exact"/>
        <w:ind w:left="1080" w:leftChars="257" w:hanging="540"/>
        <w:rPr>
          <w:rFonts w:ascii="宋体" w:hAnsi="宋体"/>
          <w:sz w:val="24"/>
        </w:rPr>
      </w:pPr>
      <w:r>
        <w:rPr>
          <w:rFonts w:hint="eastAsia" w:ascii="宋体" w:hAnsi="宋体"/>
          <w:sz w:val="24"/>
        </w:rPr>
        <w:t>说明：1.应提供</w:t>
      </w:r>
      <w:r>
        <w:rPr>
          <w:rFonts w:hint="eastAsia" w:ascii="宋体" w:hAnsi="宋体"/>
          <w:sz w:val="24"/>
          <w:u w:val="single"/>
        </w:rPr>
        <w:t>供应商须知资料表</w:t>
      </w:r>
      <w:r>
        <w:rPr>
          <w:rFonts w:hint="eastAsia" w:ascii="宋体" w:hAnsi="宋体"/>
          <w:sz w:val="24"/>
        </w:rPr>
        <w:t>要求的其他资格证明文件扫描件。</w:t>
      </w:r>
    </w:p>
    <w:p>
      <w:pPr>
        <w:spacing w:line="560" w:lineRule="exact"/>
        <w:ind w:left="1260" w:leftChars="344" w:hanging="538"/>
        <w:rPr>
          <w:rFonts w:ascii="宋体" w:hAnsi="宋体"/>
          <w:sz w:val="24"/>
        </w:rPr>
      </w:pPr>
      <w:r>
        <w:rPr>
          <w:rFonts w:hint="eastAsia" w:ascii="宋体" w:hAnsi="宋体"/>
          <w:sz w:val="24"/>
        </w:rPr>
        <w:t xml:space="preserve">   </w:t>
      </w:r>
    </w:p>
    <w:p>
      <w:pPr>
        <w:spacing w:line="560" w:lineRule="exact"/>
        <w:ind w:left="1260" w:leftChars="344" w:hanging="538"/>
        <w:rPr>
          <w:rFonts w:ascii="宋体" w:hAnsi="宋体"/>
          <w:sz w:val="24"/>
        </w:rPr>
      </w:pPr>
    </w:p>
    <w:p>
      <w:pPr>
        <w:spacing w:line="560" w:lineRule="exact"/>
        <w:ind w:left="1260" w:leftChars="344" w:hanging="538"/>
        <w:rPr>
          <w:rFonts w:ascii="宋体" w:hAnsi="宋体"/>
          <w:sz w:val="24"/>
        </w:rPr>
      </w:pPr>
    </w:p>
    <w:p>
      <w:pPr>
        <w:spacing w:line="560" w:lineRule="exact"/>
        <w:ind w:left="1260" w:leftChars="344" w:hanging="538"/>
        <w:rPr>
          <w:rFonts w:ascii="宋体" w:hAnsi="宋体"/>
          <w:sz w:val="24"/>
        </w:rPr>
      </w:pPr>
    </w:p>
    <w:p>
      <w:pPr>
        <w:spacing w:line="560" w:lineRule="exact"/>
        <w:rPr>
          <w:rFonts w:ascii="宋体" w:hAnsi="宋体"/>
        </w:rPr>
      </w:pPr>
    </w:p>
    <w:p>
      <w:pPr>
        <w:spacing w:line="560" w:lineRule="exact"/>
        <w:ind w:left="1260" w:leftChars="344" w:hanging="538"/>
        <w:rPr>
          <w:rFonts w:ascii="宋体" w:hAnsi="宋体"/>
          <w:sz w:val="24"/>
        </w:rPr>
      </w:pPr>
    </w:p>
    <w:p>
      <w:pPr>
        <w:spacing w:line="560" w:lineRule="exact"/>
        <w:ind w:left="1260" w:leftChars="344" w:hanging="538"/>
        <w:rPr>
          <w:rFonts w:ascii="宋体" w:hAnsi="宋体"/>
          <w:sz w:val="24"/>
        </w:rPr>
      </w:pPr>
    </w:p>
    <w:p>
      <w:pPr>
        <w:spacing w:line="560" w:lineRule="exact"/>
        <w:ind w:left="1260" w:leftChars="344" w:hanging="538"/>
        <w:rPr>
          <w:rFonts w:ascii="宋体" w:hAnsi="宋体"/>
          <w:sz w:val="24"/>
        </w:rPr>
      </w:pPr>
    </w:p>
    <w:p>
      <w:pPr>
        <w:spacing w:line="560" w:lineRule="exact"/>
        <w:ind w:left="1260" w:leftChars="344" w:hanging="538"/>
        <w:rPr>
          <w:rFonts w:ascii="宋体" w:hAnsi="宋体"/>
          <w:sz w:val="24"/>
        </w:rPr>
      </w:pPr>
      <w:r>
        <w:rPr>
          <w:rFonts w:ascii="宋体" w:hAnsi="宋体"/>
          <w:sz w:val="24"/>
        </w:rPr>
        <w:br w:type="page"/>
      </w:r>
    </w:p>
    <w:p>
      <w:pPr>
        <w:pStyle w:val="4"/>
        <w:spacing w:line="560" w:lineRule="exact"/>
        <w:ind w:left="774" w:hanging="774" w:hangingChars="257"/>
        <w:rPr>
          <w:rFonts w:ascii="宋体" w:hAnsi="宋体"/>
          <w:sz w:val="24"/>
        </w:rPr>
      </w:pPr>
      <w:bookmarkStart w:id="296" w:name="_Toc17429"/>
      <w:bookmarkStart w:id="297" w:name="_Toc46235139"/>
      <w:bookmarkStart w:id="298" w:name="_Toc6344"/>
      <w:r>
        <w:rPr>
          <w:rFonts w:hint="eastAsia"/>
        </w:rPr>
        <w:t>三、商务及</w:t>
      </w:r>
      <w:r>
        <w:t>技术</w:t>
      </w:r>
      <w:r>
        <w:rPr>
          <w:rFonts w:hint="eastAsia"/>
        </w:rPr>
        <w:t>文件</w:t>
      </w:r>
      <w:bookmarkEnd w:id="292"/>
      <w:bookmarkEnd w:id="296"/>
      <w:bookmarkEnd w:id="297"/>
      <w:bookmarkEnd w:id="298"/>
    </w:p>
    <w:p>
      <w:pPr>
        <w:spacing w:line="560" w:lineRule="exact"/>
        <w:rPr>
          <w:rFonts w:hint="eastAsia"/>
          <w:b/>
          <w:bCs/>
          <w:sz w:val="28"/>
          <w:szCs w:val="28"/>
        </w:rPr>
      </w:pPr>
      <w:bookmarkStart w:id="299" w:name="_Hlt520355504"/>
      <w:bookmarkEnd w:id="299"/>
      <w:bookmarkStart w:id="300" w:name="_Toc46235140"/>
      <w:bookmarkStart w:id="301" w:name="_Toc518923116"/>
      <w:bookmarkStart w:id="302" w:name="_Toc20569"/>
      <w:r>
        <w:rPr>
          <w:rFonts w:hint="eastAsia"/>
          <w:b/>
          <w:bCs/>
          <w:sz w:val="28"/>
          <w:szCs w:val="28"/>
        </w:rPr>
        <w:t>7.</w:t>
      </w:r>
      <w:bookmarkEnd w:id="280"/>
      <w:bookmarkEnd w:id="281"/>
      <w:bookmarkEnd w:id="282"/>
      <w:bookmarkEnd w:id="283"/>
      <w:bookmarkEnd w:id="300"/>
      <w:bookmarkEnd w:id="301"/>
      <w:r>
        <w:rPr>
          <w:rFonts w:hint="eastAsia"/>
          <w:b/>
          <w:bCs/>
          <w:sz w:val="28"/>
          <w:szCs w:val="28"/>
        </w:rPr>
        <w:t>响应函</w:t>
      </w:r>
      <w:bookmarkEnd w:id="302"/>
    </w:p>
    <w:p>
      <w:pPr>
        <w:pStyle w:val="5"/>
        <w:rPr>
          <w:rFonts w:hint="eastAsia"/>
        </w:rPr>
      </w:pPr>
    </w:p>
    <w:p>
      <w:pPr>
        <w:tabs>
          <w:tab w:val="left" w:pos="5580"/>
        </w:tabs>
        <w:spacing w:line="360" w:lineRule="auto"/>
        <w:ind w:left="1080" w:hanging="1080"/>
        <w:rPr>
          <w:rFonts w:ascii="宋体" w:hAnsi="宋体"/>
          <w:sz w:val="24"/>
          <w:szCs w:val="20"/>
        </w:rPr>
      </w:pPr>
      <w:bookmarkStart w:id="303" w:name="_Toc216582815"/>
      <w:r>
        <w:rPr>
          <w:rFonts w:hint="eastAsia" w:ascii="宋体" w:hAnsi="宋体"/>
          <w:sz w:val="24"/>
        </w:rPr>
        <w:t>致：</w:t>
      </w:r>
      <w:r>
        <w:rPr>
          <w:rFonts w:hint="eastAsia" w:ascii="宋体" w:hAnsi="宋体"/>
          <w:sz w:val="24"/>
          <w:u w:val="single"/>
        </w:rPr>
        <w:t xml:space="preserve">               </w:t>
      </w:r>
      <w:r>
        <w:rPr>
          <w:rFonts w:hint="eastAsia" w:ascii="宋体" w:hAnsi="宋体"/>
          <w:sz w:val="24"/>
        </w:rPr>
        <w:t>（采购人）</w:t>
      </w:r>
    </w:p>
    <w:p>
      <w:pPr>
        <w:pStyle w:val="22"/>
        <w:tabs>
          <w:tab w:val="left" w:pos="5580"/>
        </w:tabs>
        <w:spacing w:line="360" w:lineRule="auto"/>
        <w:ind w:left="2" w:leftChars="1" w:firstLine="480" w:firstLineChars="200"/>
        <w:rPr>
          <w:rFonts w:hAnsi="宋体"/>
          <w:b/>
          <w:sz w:val="24"/>
        </w:rPr>
      </w:pPr>
      <w:r>
        <w:rPr>
          <w:rFonts w:hint="eastAsia" w:hAnsi="宋体"/>
          <w:sz w:val="24"/>
          <w:u w:val="single"/>
        </w:rPr>
        <w:t> （供应商全称）</w:t>
      </w:r>
      <w:r>
        <w:rPr>
          <w:rFonts w:hint="eastAsia" w:hAnsi="宋体"/>
          <w:sz w:val="24"/>
        </w:rPr>
        <w:t>法定代表人</w:t>
      </w:r>
      <w:r>
        <w:rPr>
          <w:rFonts w:hint="eastAsia" w:hAnsi="宋体"/>
          <w:sz w:val="24"/>
          <w:u w:val="single"/>
        </w:rPr>
        <w:t xml:space="preserve">       </w:t>
      </w:r>
      <w:r>
        <w:rPr>
          <w:rFonts w:hint="eastAsia" w:hAnsi="宋体"/>
          <w:sz w:val="24"/>
        </w:rPr>
        <w:t>授权</w:t>
      </w:r>
      <w:r>
        <w:rPr>
          <w:rFonts w:hint="eastAsia" w:hAnsi="宋体"/>
          <w:sz w:val="24"/>
          <w:u w:val="single"/>
        </w:rPr>
        <w:t xml:space="preserve">       </w:t>
      </w:r>
      <w:r>
        <w:rPr>
          <w:rFonts w:hint="eastAsia" w:hAnsi="宋体"/>
          <w:sz w:val="24"/>
        </w:rPr>
        <w:t>（被授权代表人姓名）全权参加贵方组织的</w:t>
      </w:r>
      <w:r>
        <w:rPr>
          <w:rFonts w:hint="eastAsia" w:hAnsi="宋体"/>
          <w:sz w:val="24"/>
          <w:u w:val="single"/>
        </w:rPr>
        <w:t xml:space="preserve">             </w:t>
      </w:r>
      <w:r>
        <w:rPr>
          <w:rFonts w:hint="eastAsia" w:hAnsi="宋体"/>
          <w:sz w:val="24"/>
        </w:rPr>
        <w:t>（招标项目编号、项目名称）招标的有关活动，并对</w:t>
      </w:r>
      <w:r>
        <w:rPr>
          <w:rFonts w:hint="eastAsia" w:hAnsi="宋体"/>
          <w:sz w:val="24"/>
          <w:u w:val="single"/>
        </w:rPr>
        <w:t>       </w:t>
      </w:r>
      <w:r>
        <w:rPr>
          <w:rFonts w:hint="eastAsia" w:hAnsi="宋体"/>
          <w:sz w:val="24"/>
        </w:rPr>
        <w:t xml:space="preserve"> （招标项目名称）进行响应，提交加密电子响应文件</w:t>
      </w:r>
      <w:r>
        <w:rPr>
          <w:rFonts w:hAnsi="宋体"/>
          <w:sz w:val="24"/>
          <w:u w:val="single"/>
        </w:rPr>
        <w:t xml:space="preserve"> </w:t>
      </w:r>
      <w:r>
        <w:rPr>
          <w:rFonts w:hint="eastAsia" w:hAnsi="宋体"/>
          <w:sz w:val="24"/>
          <w:u w:val="single"/>
        </w:rPr>
        <w:t xml:space="preserve"> </w:t>
      </w:r>
      <w:r>
        <w:rPr>
          <w:rFonts w:hAnsi="宋体"/>
          <w:sz w:val="24"/>
          <w:u w:val="single"/>
        </w:rPr>
        <w:t xml:space="preserve"> </w:t>
      </w:r>
      <w:r>
        <w:rPr>
          <w:rFonts w:hint="eastAsia" w:hAnsi="宋体"/>
          <w:sz w:val="24"/>
        </w:rPr>
        <w:t>份。</w:t>
      </w:r>
    </w:p>
    <w:p>
      <w:pPr>
        <w:tabs>
          <w:tab w:val="left" w:pos="5580"/>
        </w:tabs>
        <w:spacing w:line="360" w:lineRule="auto"/>
        <w:ind w:left="1080" w:leftChars="257" w:hanging="540"/>
        <w:rPr>
          <w:rFonts w:ascii="宋体" w:hAnsi="宋体"/>
          <w:sz w:val="24"/>
          <w:szCs w:val="20"/>
        </w:rPr>
      </w:pPr>
      <w:r>
        <w:rPr>
          <w:rFonts w:hint="eastAsia" w:ascii="宋体" w:hAnsi="宋体"/>
          <w:sz w:val="24"/>
          <w:szCs w:val="20"/>
        </w:rPr>
        <w:t>据此，签字代表宣布同意如下：</w:t>
      </w:r>
    </w:p>
    <w:p>
      <w:pPr>
        <w:pStyle w:val="22"/>
        <w:tabs>
          <w:tab w:val="left" w:pos="900"/>
        </w:tabs>
        <w:spacing w:line="360" w:lineRule="auto"/>
        <w:ind w:left="250" w:leftChars="119" w:firstLine="220" w:firstLineChars="92"/>
        <w:rPr>
          <w:rFonts w:hAnsi="宋体"/>
          <w:sz w:val="24"/>
          <w:u w:val="single"/>
        </w:rPr>
      </w:pPr>
      <w:r>
        <w:rPr>
          <w:rFonts w:hint="eastAsia" w:hAnsi="宋体"/>
          <w:sz w:val="24"/>
        </w:rPr>
        <w:t>（1）报价详见开标</w:t>
      </w:r>
      <w:r>
        <w:rPr>
          <w:rFonts w:hAnsi="宋体"/>
          <w:sz w:val="24"/>
        </w:rPr>
        <w:t>一览表，</w:t>
      </w:r>
      <w:r>
        <w:rPr>
          <w:rFonts w:hint="eastAsia" w:hAnsi="宋体"/>
          <w:sz w:val="24"/>
          <w:u w:val="single"/>
        </w:rPr>
        <w:t>其中由</w:t>
      </w:r>
      <w:r>
        <w:rPr>
          <w:rFonts w:hAnsi="宋体"/>
          <w:sz w:val="24"/>
          <w:u w:val="single"/>
        </w:rPr>
        <w:t>小型和</w:t>
      </w:r>
      <w:r>
        <w:rPr>
          <w:rFonts w:hAnsi="宋体"/>
          <w:sz w:val="24"/>
        </w:rPr>
        <w:t>微型企业</w:t>
      </w:r>
      <w:r>
        <w:rPr>
          <w:rFonts w:hint="eastAsia" w:hAnsi="宋体"/>
          <w:sz w:val="24"/>
        </w:rPr>
        <w:t>制造</w:t>
      </w:r>
      <w:r>
        <w:rPr>
          <w:rFonts w:hAnsi="宋体"/>
          <w:sz w:val="24"/>
        </w:rPr>
        <w:t>产品的价格</w:t>
      </w:r>
      <w:r>
        <w:rPr>
          <w:rFonts w:hint="eastAsia" w:hAnsi="宋体"/>
          <w:sz w:val="24"/>
        </w:rPr>
        <w:t>为</w:t>
      </w:r>
      <w:r>
        <w:rPr>
          <w:rFonts w:hint="eastAsia" w:hAnsi="宋体"/>
          <w:sz w:val="24"/>
          <w:u w:val="single"/>
        </w:rPr>
        <w:t>　　  （用文字和数字表示），占报价总价   %</w:t>
      </w:r>
      <w:r>
        <w:rPr>
          <w:rFonts w:hint="eastAsia" w:hAnsi="宋体"/>
          <w:sz w:val="24"/>
        </w:rPr>
        <w:t>。</w:t>
      </w:r>
    </w:p>
    <w:p>
      <w:pPr>
        <w:tabs>
          <w:tab w:val="left" w:pos="5580"/>
        </w:tabs>
        <w:spacing w:line="360" w:lineRule="auto"/>
        <w:ind w:firstLine="420" w:firstLineChars="175"/>
        <w:rPr>
          <w:rFonts w:ascii="宋体" w:hAnsi="宋体"/>
          <w:sz w:val="24"/>
          <w:szCs w:val="20"/>
        </w:rPr>
      </w:pPr>
      <w:r>
        <w:rPr>
          <w:rFonts w:hint="eastAsia" w:ascii="宋体" w:hAnsi="宋体"/>
          <w:sz w:val="24"/>
          <w:szCs w:val="20"/>
        </w:rPr>
        <w:t>（2）本响应有效期为自提交响应文件截止之日起</w:t>
      </w:r>
      <w:r>
        <w:rPr>
          <w:rFonts w:hint="eastAsia" w:ascii="宋体" w:hAnsi="宋体"/>
          <w:sz w:val="24"/>
          <w:szCs w:val="20"/>
          <w:u w:val="single"/>
        </w:rPr>
        <w:t xml:space="preserve">    </w:t>
      </w:r>
      <w:r>
        <w:rPr>
          <w:rFonts w:hint="eastAsia" w:ascii="宋体" w:hAnsi="宋体"/>
          <w:sz w:val="24"/>
          <w:szCs w:val="20"/>
        </w:rPr>
        <w:t>个日历日。</w:t>
      </w:r>
    </w:p>
    <w:p>
      <w:pPr>
        <w:tabs>
          <w:tab w:val="left" w:pos="5580"/>
        </w:tabs>
        <w:spacing w:line="360" w:lineRule="auto"/>
        <w:ind w:firstLine="420"/>
        <w:rPr>
          <w:rFonts w:ascii="宋体" w:hAnsi="宋体"/>
          <w:sz w:val="24"/>
          <w:szCs w:val="20"/>
        </w:rPr>
      </w:pPr>
      <w:r>
        <w:rPr>
          <w:rFonts w:hint="eastAsia" w:ascii="宋体" w:hAnsi="宋体"/>
          <w:sz w:val="24"/>
          <w:szCs w:val="20"/>
        </w:rPr>
        <w:t>（3）已详细审查全部单一来源采购文件，包括所有补充通知（如果有的话），完全理解并同意放弃对这方面有不明、误解和质疑的权力。</w:t>
      </w:r>
    </w:p>
    <w:p>
      <w:pPr>
        <w:tabs>
          <w:tab w:val="left" w:pos="5580"/>
        </w:tabs>
        <w:spacing w:line="360" w:lineRule="auto"/>
        <w:ind w:firstLine="340" w:firstLineChars="142"/>
        <w:rPr>
          <w:rFonts w:ascii="宋体" w:hAnsi="宋体"/>
          <w:sz w:val="24"/>
          <w:szCs w:val="20"/>
          <w:u w:val="single"/>
        </w:rPr>
      </w:pPr>
      <w:r>
        <w:rPr>
          <w:rFonts w:hint="eastAsia" w:ascii="宋体" w:hAnsi="宋体"/>
          <w:sz w:val="24"/>
          <w:szCs w:val="20"/>
        </w:rPr>
        <w:t>（4）</w:t>
      </w:r>
      <w:r>
        <w:rPr>
          <w:rFonts w:ascii="宋体" w:hAnsi="宋体"/>
          <w:sz w:val="24"/>
          <w:szCs w:val="20"/>
        </w:rPr>
        <w:t>联合体</w:t>
      </w:r>
      <w:r>
        <w:rPr>
          <w:rFonts w:hint="eastAsia" w:ascii="宋体" w:hAnsi="宋体"/>
          <w:sz w:val="24"/>
          <w:szCs w:val="20"/>
        </w:rPr>
        <w:t>中</w:t>
      </w:r>
      <w:r>
        <w:rPr>
          <w:rFonts w:ascii="宋体" w:hAnsi="宋体"/>
          <w:sz w:val="24"/>
          <w:szCs w:val="20"/>
        </w:rPr>
        <w:t>的大中型企业和其他自然人、法人或者</w:t>
      </w:r>
      <w:r>
        <w:rPr>
          <w:rFonts w:hint="eastAsia" w:ascii="宋体" w:hAnsi="宋体"/>
          <w:sz w:val="24"/>
          <w:szCs w:val="20"/>
        </w:rPr>
        <w:t>其他组织</w:t>
      </w:r>
      <w:r>
        <w:rPr>
          <w:rFonts w:ascii="宋体" w:hAnsi="宋体"/>
          <w:sz w:val="24"/>
          <w:szCs w:val="20"/>
        </w:rPr>
        <w:t>，与</w:t>
      </w:r>
      <w:r>
        <w:rPr>
          <w:rFonts w:hint="eastAsia" w:ascii="宋体" w:hAnsi="宋体"/>
          <w:sz w:val="24"/>
          <w:szCs w:val="20"/>
        </w:rPr>
        <w:t>联合体中的</w:t>
      </w:r>
      <w:r>
        <w:rPr>
          <w:rFonts w:ascii="宋体" w:hAnsi="宋体"/>
          <w:sz w:val="24"/>
          <w:szCs w:val="20"/>
        </w:rPr>
        <w:t>小型、微型企业之间</w:t>
      </w:r>
      <w:r>
        <w:rPr>
          <w:rFonts w:hint="eastAsia" w:ascii="宋体" w:hAnsi="宋体"/>
          <w:sz w:val="24"/>
          <w:szCs w:val="20"/>
          <w:u w:val="single"/>
        </w:rPr>
        <w:t xml:space="preserve">     （</w:t>
      </w:r>
      <w:r>
        <w:rPr>
          <w:rFonts w:ascii="宋体" w:hAnsi="宋体"/>
          <w:sz w:val="24"/>
          <w:szCs w:val="20"/>
        </w:rPr>
        <w:t>存在</w:t>
      </w:r>
      <w:r>
        <w:rPr>
          <w:rFonts w:hint="eastAsia" w:ascii="宋体" w:hAnsi="宋体"/>
          <w:sz w:val="24"/>
          <w:szCs w:val="20"/>
        </w:rPr>
        <w:t>、不存在）</w:t>
      </w:r>
      <w:r>
        <w:rPr>
          <w:rFonts w:ascii="宋体" w:hAnsi="宋体"/>
          <w:sz w:val="24"/>
          <w:szCs w:val="20"/>
        </w:rPr>
        <w:t>投资关系</w:t>
      </w:r>
      <w:r>
        <w:rPr>
          <w:rFonts w:hint="eastAsia" w:ascii="宋体" w:hAnsi="宋体"/>
          <w:sz w:val="24"/>
          <w:szCs w:val="20"/>
        </w:rPr>
        <w:t>（如有）。</w:t>
      </w:r>
    </w:p>
    <w:p>
      <w:pPr>
        <w:tabs>
          <w:tab w:val="left" w:pos="5580"/>
        </w:tabs>
        <w:spacing w:line="360" w:lineRule="auto"/>
        <w:ind w:firstLine="340" w:firstLineChars="142"/>
        <w:rPr>
          <w:rFonts w:ascii="宋体" w:hAnsi="宋体"/>
          <w:sz w:val="24"/>
          <w:szCs w:val="20"/>
        </w:rPr>
      </w:pPr>
      <w:r>
        <w:rPr>
          <w:rFonts w:hint="eastAsia" w:ascii="宋体" w:hAnsi="宋体"/>
          <w:sz w:val="24"/>
          <w:szCs w:val="20"/>
        </w:rPr>
        <w:t>（5）按照贵方可能要求，提供与其响应有关的一切数据或资料，完全理解贵方不一定接受最低价的响应或收到的任何响应。</w:t>
      </w:r>
    </w:p>
    <w:p>
      <w:pPr>
        <w:pStyle w:val="90"/>
        <w:spacing w:line="360" w:lineRule="auto"/>
        <w:ind w:firstLine="480"/>
        <w:rPr>
          <w:rFonts w:ascii="宋体" w:hAnsi="宋体"/>
          <w:kern w:val="2"/>
          <w:szCs w:val="20"/>
        </w:rPr>
      </w:pPr>
      <w:r>
        <w:rPr>
          <w:rFonts w:hint="eastAsia" w:ascii="宋体" w:hAnsi="宋体"/>
        </w:rPr>
        <w:t>（6）</w:t>
      </w:r>
      <w:r>
        <w:rPr>
          <w:rFonts w:hint="eastAsia" w:ascii="宋体" w:hAnsi="宋体"/>
          <w:kern w:val="2"/>
          <w:szCs w:val="20"/>
        </w:rPr>
        <w:t>在领取成交通知书的</w:t>
      </w:r>
      <w:r>
        <w:rPr>
          <w:rFonts w:ascii="宋体" w:hAnsi="宋体"/>
          <w:kern w:val="2"/>
          <w:szCs w:val="20"/>
        </w:rPr>
        <w:t>同</w:t>
      </w:r>
      <w:r>
        <w:rPr>
          <w:rFonts w:hint="eastAsia" w:ascii="宋体" w:hAnsi="宋体"/>
          <w:kern w:val="2"/>
          <w:szCs w:val="20"/>
        </w:rPr>
        <w:t>时按单一来源采购文件规定的</w:t>
      </w:r>
      <w:r>
        <w:rPr>
          <w:rFonts w:ascii="宋体" w:hAnsi="宋体"/>
          <w:kern w:val="2"/>
          <w:szCs w:val="20"/>
        </w:rPr>
        <w:t>形式</w:t>
      </w:r>
      <w:r>
        <w:rPr>
          <w:rFonts w:hint="eastAsia" w:ascii="宋体" w:hAnsi="宋体"/>
          <w:kern w:val="2"/>
          <w:szCs w:val="20"/>
        </w:rPr>
        <w:t>，向采购代理机构一次性支付成交服务费。</w:t>
      </w:r>
    </w:p>
    <w:p>
      <w:pPr>
        <w:tabs>
          <w:tab w:val="left" w:pos="5580"/>
        </w:tabs>
        <w:spacing w:line="360" w:lineRule="auto"/>
        <w:ind w:left="1080" w:leftChars="257" w:hanging="540"/>
        <w:rPr>
          <w:rFonts w:ascii="宋体" w:hAnsi="宋体"/>
          <w:sz w:val="24"/>
          <w:szCs w:val="20"/>
        </w:rPr>
      </w:pPr>
      <w:r>
        <w:rPr>
          <w:rFonts w:hint="eastAsia" w:ascii="宋体" w:hAnsi="宋体"/>
          <w:sz w:val="24"/>
          <w:szCs w:val="20"/>
        </w:rPr>
        <w:t>（7）按照单一来源采购文件的规定履行合同责任和义务。</w:t>
      </w:r>
    </w:p>
    <w:p>
      <w:pPr>
        <w:tabs>
          <w:tab w:val="left" w:pos="5580"/>
        </w:tabs>
        <w:spacing w:line="360" w:lineRule="auto"/>
        <w:ind w:left="359" w:leftChars="68" w:hanging="216" w:hangingChars="90"/>
        <w:rPr>
          <w:rFonts w:ascii="宋体" w:hAnsi="宋体"/>
          <w:sz w:val="24"/>
          <w:szCs w:val="20"/>
        </w:rPr>
      </w:pPr>
      <w:r>
        <w:rPr>
          <w:rFonts w:hint="eastAsia" w:ascii="宋体" w:hAnsi="宋体"/>
          <w:sz w:val="24"/>
          <w:szCs w:val="20"/>
        </w:rPr>
        <w:t xml:space="preserve">  与本响应有关的一切正式往来信函请寄：</w:t>
      </w:r>
    </w:p>
    <w:p>
      <w:pPr>
        <w:tabs>
          <w:tab w:val="left" w:pos="5580"/>
        </w:tabs>
        <w:spacing w:line="360" w:lineRule="auto"/>
        <w:ind w:left="1080" w:leftChars="257" w:hanging="540"/>
        <w:rPr>
          <w:rFonts w:ascii="宋体" w:hAnsi="宋体"/>
          <w:sz w:val="24"/>
          <w:szCs w:val="20"/>
        </w:rPr>
      </w:pPr>
      <w:r>
        <w:rPr>
          <w:rFonts w:hint="eastAsia" w:ascii="宋体" w:hAnsi="宋体"/>
          <w:sz w:val="24"/>
          <w:szCs w:val="20"/>
        </w:rPr>
        <w:t>地址：</w:t>
      </w:r>
      <w:r>
        <w:rPr>
          <w:rFonts w:hint="eastAsia" w:ascii="宋体" w:hAnsi="宋体"/>
          <w:sz w:val="24"/>
          <w:szCs w:val="20"/>
          <w:u w:val="single"/>
        </w:rPr>
        <w:t xml:space="preserve">                         </w:t>
      </w:r>
      <w:r>
        <w:rPr>
          <w:rFonts w:hint="eastAsia" w:ascii="宋体" w:hAnsi="宋体"/>
          <w:sz w:val="24"/>
          <w:szCs w:val="20"/>
        </w:rPr>
        <w:t xml:space="preserve">     传真：</w:t>
      </w:r>
      <w:r>
        <w:rPr>
          <w:rFonts w:hint="eastAsia" w:ascii="宋体" w:hAnsi="宋体"/>
          <w:sz w:val="24"/>
          <w:szCs w:val="20"/>
          <w:u w:val="single"/>
        </w:rPr>
        <w:t xml:space="preserve">                             </w:t>
      </w:r>
    </w:p>
    <w:p>
      <w:pPr>
        <w:tabs>
          <w:tab w:val="left" w:pos="5580"/>
        </w:tabs>
        <w:spacing w:line="360" w:lineRule="auto"/>
        <w:ind w:left="1080" w:leftChars="257" w:hanging="540"/>
        <w:rPr>
          <w:rFonts w:ascii="宋体" w:hAnsi="宋体"/>
          <w:b/>
          <w:sz w:val="24"/>
          <w:szCs w:val="20"/>
        </w:rPr>
      </w:pPr>
      <w:r>
        <w:rPr>
          <w:rFonts w:hint="eastAsia" w:ascii="宋体" w:hAnsi="宋体"/>
          <w:sz w:val="24"/>
          <w:szCs w:val="20"/>
        </w:rPr>
        <w:t>电话：</w:t>
      </w:r>
      <w:r>
        <w:rPr>
          <w:rFonts w:hint="eastAsia" w:ascii="宋体" w:hAnsi="宋体"/>
          <w:sz w:val="24"/>
          <w:szCs w:val="20"/>
          <w:u w:val="single"/>
        </w:rPr>
        <w:t xml:space="preserve">                         </w:t>
      </w:r>
      <w:r>
        <w:rPr>
          <w:rFonts w:hint="eastAsia" w:ascii="宋体" w:hAnsi="宋体"/>
          <w:sz w:val="24"/>
          <w:szCs w:val="20"/>
        </w:rPr>
        <w:t xml:space="preserve">     电子函件：</w:t>
      </w:r>
      <w:r>
        <w:rPr>
          <w:rFonts w:hint="eastAsia" w:ascii="宋体" w:hAnsi="宋体"/>
          <w:sz w:val="24"/>
          <w:szCs w:val="20"/>
          <w:u w:val="single"/>
        </w:rPr>
        <w:t xml:space="preserve">                         </w:t>
      </w:r>
    </w:p>
    <w:p>
      <w:pPr>
        <w:tabs>
          <w:tab w:val="left" w:pos="5580"/>
        </w:tabs>
        <w:spacing w:line="360" w:lineRule="auto"/>
        <w:ind w:left="1080" w:leftChars="257" w:hanging="540"/>
        <w:rPr>
          <w:rFonts w:ascii="宋体" w:hAnsi="宋体"/>
          <w:sz w:val="24"/>
          <w:szCs w:val="20"/>
        </w:rPr>
      </w:pPr>
    </w:p>
    <w:p>
      <w:pPr>
        <w:pStyle w:val="22"/>
        <w:autoSpaceDE w:val="0"/>
        <w:spacing w:line="360" w:lineRule="auto"/>
        <w:rPr>
          <w:rFonts w:hAnsi="宋体" w:cs="MingLiU_HKSCS"/>
          <w:sz w:val="24"/>
          <w:szCs w:val="24"/>
        </w:rPr>
      </w:pPr>
      <w:bookmarkStart w:id="304" w:name="_Toc46136864"/>
      <w:bookmarkStart w:id="305" w:name="_Toc29049"/>
      <w:bookmarkStart w:id="306" w:name="_Toc7577"/>
      <w:bookmarkStart w:id="307" w:name="_Toc45562518"/>
      <w:bookmarkStart w:id="308" w:name="_Toc518923119"/>
      <w:bookmarkStart w:id="309" w:name="_Toc216582818"/>
      <w:r>
        <w:rPr>
          <w:rFonts w:hint="eastAsia" w:hAnsi="宋体"/>
          <w:sz w:val="24"/>
          <w:szCs w:val="24"/>
        </w:rPr>
        <w:t>供应商名称(公章)：______________</w:t>
      </w:r>
    </w:p>
    <w:p>
      <w:pPr>
        <w:pStyle w:val="22"/>
        <w:autoSpaceDE w:val="0"/>
        <w:spacing w:line="360" w:lineRule="auto"/>
        <w:rPr>
          <w:rFonts w:hAnsi="宋体" w:cs="MingLiU_HKSCS"/>
          <w:sz w:val="24"/>
          <w:szCs w:val="24"/>
        </w:rPr>
      </w:pPr>
      <w:r>
        <w:rPr>
          <w:rFonts w:hint="eastAsia" w:hAnsi="宋体"/>
          <w:sz w:val="24"/>
          <w:szCs w:val="24"/>
        </w:rPr>
        <w:t>法定代表人（非法人组织的负责人）或其授权代表(签章)：_______</w:t>
      </w:r>
    </w:p>
    <w:p>
      <w:pPr>
        <w:pStyle w:val="22"/>
        <w:autoSpaceDE w:val="0"/>
        <w:spacing w:line="360" w:lineRule="auto"/>
        <w:rPr>
          <w:rFonts w:hAnsi="宋体"/>
        </w:rPr>
      </w:pPr>
      <w:r>
        <w:rPr>
          <w:rFonts w:hint="eastAsia" w:hAnsi="宋体"/>
          <w:sz w:val="24"/>
          <w:szCs w:val="24"/>
        </w:rPr>
        <w:t>日期：______年____月____日</w:t>
      </w:r>
    </w:p>
    <w:p>
      <w:pPr>
        <w:spacing w:line="560" w:lineRule="exact"/>
        <w:rPr>
          <w:rFonts w:hint="eastAsia" w:hAnsi="宋体"/>
          <w:b/>
          <w:bCs/>
          <w:sz w:val="24"/>
        </w:rPr>
      </w:pPr>
    </w:p>
    <w:p>
      <w:pPr>
        <w:spacing w:line="560" w:lineRule="exact"/>
        <w:rPr>
          <w:rFonts w:ascii="宋体" w:hAnsi="宋体"/>
          <w:b/>
          <w:kern w:val="0"/>
          <w:sz w:val="24"/>
          <w:szCs w:val="20"/>
        </w:rPr>
      </w:pPr>
      <w:r>
        <w:rPr>
          <w:rFonts w:hint="eastAsia" w:hAnsi="宋体"/>
          <w:b/>
          <w:bCs/>
          <w:sz w:val="24"/>
        </w:rPr>
        <w:t>8.符合价格扣除条件的供应商需提供的资料</w:t>
      </w:r>
      <w:bookmarkEnd w:id="304"/>
      <w:bookmarkEnd w:id="305"/>
      <w:bookmarkEnd w:id="306"/>
      <w:bookmarkEnd w:id="307"/>
    </w:p>
    <w:bookmarkEnd w:id="308"/>
    <w:bookmarkEnd w:id="309"/>
    <w:p>
      <w:pPr>
        <w:spacing w:line="560" w:lineRule="exact"/>
        <w:jc w:val="center"/>
        <w:rPr>
          <w:rFonts w:ascii="宋体" w:hAnsi="宋体" w:cs="宋体"/>
          <w:b/>
          <w:kern w:val="0"/>
          <w:sz w:val="24"/>
          <w:szCs w:val="20"/>
        </w:rPr>
      </w:pPr>
      <w:bookmarkStart w:id="310" w:name="_Toc518923120"/>
      <w:r>
        <w:rPr>
          <w:rFonts w:hint="eastAsia" w:ascii="宋体" w:hAnsi="宋体"/>
          <w:b/>
          <w:kern w:val="0"/>
          <w:sz w:val="24"/>
          <w:szCs w:val="20"/>
        </w:rPr>
        <w:t xml:space="preserve">8.1  </w:t>
      </w:r>
      <w:bookmarkEnd w:id="310"/>
      <w:r>
        <w:rPr>
          <w:rFonts w:hint="eastAsia" w:ascii="宋体" w:hAnsi="宋体" w:cs="宋体"/>
          <w:b/>
          <w:kern w:val="0"/>
          <w:sz w:val="24"/>
          <w:szCs w:val="20"/>
        </w:rPr>
        <w:t>中小企业声明函</w:t>
      </w:r>
    </w:p>
    <w:p>
      <w:pPr>
        <w:pStyle w:val="16"/>
        <w:spacing w:before="55" w:line="560" w:lineRule="exact"/>
        <w:ind w:right="415" w:firstLine="640"/>
        <w:rPr>
          <w:rFonts w:cs="宋体"/>
          <w:spacing w:val="-2"/>
        </w:rPr>
      </w:pPr>
      <w:r>
        <w:rPr>
          <w:rFonts w:hint="eastAsia" w:cs="宋体"/>
          <w:spacing w:val="-2"/>
        </w:rPr>
        <w:t>本公司</w:t>
      </w:r>
      <w:r>
        <w:rPr>
          <w:rFonts w:hint="eastAsia" w:cs="宋体"/>
        </w:rPr>
        <w:t>（联合体</w:t>
      </w:r>
      <w:r>
        <w:rPr>
          <w:rFonts w:hint="eastAsia" w:cs="宋体"/>
          <w:spacing w:val="-5"/>
        </w:rPr>
        <w:t>）</w:t>
      </w:r>
      <w:r>
        <w:rPr>
          <w:rFonts w:hint="eastAsia" w:cs="宋体"/>
          <w:spacing w:val="-2"/>
        </w:rPr>
        <w:t>郑重声明，根据《政府采购促进中小</w:t>
      </w:r>
      <w:r>
        <w:rPr>
          <w:rFonts w:hint="eastAsia" w:cs="宋体"/>
          <w:spacing w:val="-18"/>
        </w:rPr>
        <w:t>企业发展管理办法》</w:t>
      </w:r>
      <w:r>
        <w:rPr>
          <w:rFonts w:hint="eastAsia" w:cs="宋体"/>
        </w:rPr>
        <w:t>（</w:t>
      </w:r>
      <w:r>
        <w:rPr>
          <w:rFonts w:hint="eastAsia" w:cs="宋体"/>
          <w:spacing w:val="5"/>
        </w:rPr>
        <w:t>财库</w:t>
      </w:r>
      <w:r>
        <w:rPr>
          <w:rFonts w:hint="eastAsia" w:cs="宋体"/>
        </w:rPr>
        <w:t>﹝2020﹞46</w:t>
      </w:r>
      <w:r>
        <w:rPr>
          <w:rFonts w:hint="eastAsia" w:cs="宋体"/>
          <w:spacing w:val="-38"/>
        </w:rPr>
        <w:t xml:space="preserve"> 号</w:t>
      </w:r>
      <w:r>
        <w:rPr>
          <w:rFonts w:hint="eastAsia" w:cs="宋体"/>
          <w:spacing w:val="5"/>
        </w:rPr>
        <w:t>）</w:t>
      </w:r>
      <w:r>
        <w:rPr>
          <w:rFonts w:hint="eastAsia" w:cs="宋体"/>
        </w:rPr>
        <w:t>的规定，本公司（联合体）</w:t>
      </w:r>
      <w:r>
        <w:rPr>
          <w:rFonts w:hint="eastAsia" w:cs="宋体"/>
          <w:spacing w:val="-8"/>
        </w:rPr>
        <w:t>参加</w:t>
      </w:r>
      <w:r>
        <w:rPr>
          <w:rFonts w:hint="eastAsia" w:cs="宋体"/>
          <w:spacing w:val="-8"/>
          <w:u w:val="single"/>
        </w:rPr>
        <w:t>（单位名称）</w:t>
      </w:r>
      <w:r>
        <w:rPr>
          <w:rFonts w:hint="eastAsia" w:cs="宋体"/>
          <w:spacing w:val="-8"/>
        </w:rPr>
        <w:t>的</w:t>
      </w:r>
      <w:r>
        <w:rPr>
          <w:rFonts w:hint="eastAsia" w:cs="宋体"/>
          <w:spacing w:val="-8"/>
          <w:u w:val="single"/>
        </w:rPr>
        <w:t>（项目名称）</w:t>
      </w:r>
      <w:r>
        <w:rPr>
          <w:rFonts w:hint="eastAsia" w:cs="宋体"/>
          <w:spacing w:val="-8"/>
        </w:rPr>
        <w:t>采</w:t>
      </w:r>
      <w:r>
        <w:rPr>
          <w:rFonts w:hint="eastAsia" w:cs="宋体"/>
          <w:spacing w:val="-1"/>
        </w:rPr>
        <w:t>购</w:t>
      </w:r>
      <w:r>
        <w:rPr>
          <w:rFonts w:hint="eastAsia" w:cs="宋体"/>
          <w:spacing w:val="-2"/>
        </w:rPr>
        <w:t>活动，提供的货物全部由符合政策要求的中小企业制造。相关企业（含联合体中的中小企业、签订分包意向协议的中小企业） 的具体情况如下：</w:t>
      </w:r>
    </w:p>
    <w:p>
      <w:pPr>
        <w:pStyle w:val="48"/>
        <w:numPr>
          <w:ilvl w:val="0"/>
          <w:numId w:val="4"/>
        </w:numPr>
        <w:tabs>
          <w:tab w:val="left" w:pos="1183"/>
          <w:tab w:val="left" w:pos="1484"/>
          <w:tab w:val="left" w:pos="4662"/>
          <w:tab w:val="left" w:pos="6903"/>
        </w:tabs>
        <w:spacing w:line="560" w:lineRule="exact"/>
        <w:ind w:left="420" w:leftChars="200" w:right="169"/>
        <w:rPr>
          <w:rFonts w:ascii="宋体" w:hAnsi="宋体" w:cs="宋体"/>
        </w:rPr>
      </w:pPr>
      <w:r>
        <w:rPr>
          <w:rFonts w:hint="eastAsia" w:ascii="宋体" w:hAnsi="宋体" w:cs="宋体"/>
          <w:u w:val="single"/>
          <w:lang w:val="zh-CN" w:bidi="zh-CN"/>
        </w:rPr>
        <w:t xml:space="preserve"> （标的名称）</w:t>
      </w:r>
      <w:r>
        <w:rPr>
          <w:rFonts w:hint="eastAsia" w:ascii="宋体" w:hAnsi="宋体" w:cs="宋体"/>
          <w:spacing w:val="-38"/>
          <w:w w:val="95"/>
        </w:rPr>
        <w:t xml:space="preserve"> </w:t>
      </w:r>
      <w:r>
        <w:rPr>
          <w:rFonts w:hint="eastAsia" w:ascii="宋体" w:hAnsi="宋体" w:cs="宋体"/>
          <w:spacing w:val="-43"/>
          <w:w w:val="95"/>
        </w:rPr>
        <w:t>，</w:t>
      </w:r>
      <w:r>
        <w:rPr>
          <w:rFonts w:hint="eastAsia" w:ascii="宋体" w:hAnsi="宋体" w:cs="宋体"/>
          <w:spacing w:val="-2"/>
        </w:rPr>
        <w:t>属于</w:t>
      </w:r>
      <w:r>
        <w:rPr>
          <w:rFonts w:hint="eastAsia" w:ascii="宋体" w:hAnsi="宋体" w:cs="宋体"/>
          <w:u w:val="single"/>
          <w:lang w:val="zh-CN" w:bidi="zh-CN"/>
        </w:rPr>
        <w:t>（采购文件中明确的所属行业）</w:t>
      </w:r>
      <w:r>
        <w:rPr>
          <w:rFonts w:hint="eastAsia" w:ascii="宋体" w:hAnsi="宋体" w:cs="宋体"/>
          <w:spacing w:val="7"/>
          <w:w w:val="95"/>
        </w:rPr>
        <w:t>；</w:t>
      </w:r>
      <w:r>
        <w:rPr>
          <w:rFonts w:hint="eastAsia" w:ascii="宋体" w:hAnsi="宋体" w:cs="宋体"/>
          <w:spacing w:val="-2"/>
        </w:rPr>
        <w:t>制造商为</w:t>
      </w:r>
      <w:r>
        <w:rPr>
          <w:rFonts w:hint="eastAsia" w:ascii="宋体" w:hAnsi="宋体" w:cs="宋体"/>
          <w:u w:val="single"/>
          <w:lang w:val="zh-CN" w:bidi="zh-CN"/>
        </w:rPr>
        <w:t>（企业名称）</w:t>
      </w:r>
      <w:r>
        <w:rPr>
          <w:rFonts w:hint="eastAsia" w:ascii="宋体" w:hAnsi="宋体" w:cs="宋体"/>
          <w:spacing w:val="11"/>
          <w:w w:val="95"/>
          <w:u w:val="single"/>
          <w:lang w:val="zh-CN" w:bidi="zh-CN"/>
        </w:rPr>
        <w:t>，</w:t>
      </w:r>
      <w:r>
        <w:rPr>
          <w:rFonts w:hint="eastAsia" w:ascii="宋体" w:hAnsi="宋体" w:cs="宋体"/>
          <w:spacing w:val="-2"/>
        </w:rPr>
        <w:t>从业人员</w:t>
      </w:r>
      <w:r>
        <w:rPr>
          <w:rFonts w:hint="eastAsia" w:ascii="宋体" w:hAnsi="宋体" w:cs="宋体"/>
          <w:w w:val="99"/>
          <w:u w:val="single"/>
        </w:rPr>
        <w:t xml:space="preserve"> </w:t>
      </w:r>
      <w:r>
        <w:rPr>
          <w:rFonts w:hint="eastAsia" w:ascii="宋体" w:hAnsi="宋体" w:cs="宋体"/>
          <w:u w:val="single"/>
        </w:rPr>
        <w:tab/>
      </w:r>
      <w:r>
        <w:rPr>
          <w:rFonts w:hint="eastAsia" w:ascii="宋体" w:hAnsi="宋体" w:cs="宋体"/>
          <w:spacing w:val="7"/>
          <w:w w:val="99"/>
        </w:rPr>
        <w:t>人</w:t>
      </w:r>
      <w:r>
        <w:rPr>
          <w:rFonts w:hint="eastAsia" w:ascii="宋体" w:hAnsi="宋体" w:cs="宋体"/>
          <w:spacing w:val="5"/>
          <w:w w:val="99"/>
        </w:rPr>
        <w:t>，</w:t>
      </w:r>
      <w:r>
        <w:rPr>
          <w:rFonts w:hint="eastAsia" w:ascii="宋体" w:hAnsi="宋体" w:cs="宋体"/>
          <w:spacing w:val="-2"/>
        </w:rPr>
        <w:t>营业收入为</w:t>
      </w:r>
      <w:r>
        <w:rPr>
          <w:rFonts w:hint="eastAsia" w:ascii="宋体" w:hAnsi="宋体" w:cs="宋体"/>
          <w:w w:val="99"/>
          <w:u w:val="single"/>
        </w:rPr>
        <w:t xml:space="preserve"> </w:t>
      </w:r>
      <w:r>
        <w:rPr>
          <w:rFonts w:hint="eastAsia" w:ascii="宋体" w:hAnsi="宋体" w:cs="宋体"/>
          <w:u w:val="single"/>
        </w:rPr>
        <w:tab/>
      </w:r>
      <w:r>
        <w:rPr>
          <w:rFonts w:hint="eastAsia" w:ascii="宋体" w:hAnsi="宋体" w:cs="宋体"/>
          <w:spacing w:val="-2"/>
        </w:rPr>
        <w:t xml:space="preserve">万元，资产总额为 </w:t>
      </w:r>
      <w:r>
        <w:rPr>
          <w:rFonts w:hint="eastAsia" w:ascii="宋体" w:hAnsi="宋体" w:cs="宋体"/>
          <w:u w:val="single"/>
        </w:rPr>
        <w:tab/>
      </w:r>
      <w:r>
        <w:rPr>
          <w:rFonts w:hint="eastAsia" w:ascii="宋体" w:hAnsi="宋体" w:cs="宋体"/>
          <w:spacing w:val="-2"/>
        </w:rPr>
        <w:t>万元，属于</w:t>
      </w:r>
      <w:r>
        <w:rPr>
          <w:rFonts w:hint="eastAsia" w:ascii="宋体" w:hAnsi="宋体" w:cs="宋体"/>
          <w:u w:val="single"/>
          <w:lang w:val="zh-CN" w:bidi="zh-CN"/>
        </w:rPr>
        <w:t>（中型企业、小型企业、微型企业</w:t>
      </w:r>
      <w:r>
        <w:rPr>
          <w:rFonts w:hint="eastAsia" w:ascii="宋体" w:hAnsi="宋体" w:cs="宋体"/>
          <w:u w:val="single"/>
          <w:lang w:bidi="zh-CN"/>
        </w:rPr>
        <w:t>）</w:t>
      </w:r>
      <w:r>
        <w:rPr>
          <w:rFonts w:hint="eastAsia" w:ascii="宋体" w:hAnsi="宋体" w:cs="宋体"/>
          <w:w w:val="99"/>
          <w:u w:val="single"/>
        </w:rPr>
        <w:t>；</w:t>
      </w:r>
    </w:p>
    <w:p>
      <w:pPr>
        <w:pStyle w:val="48"/>
        <w:numPr>
          <w:ilvl w:val="0"/>
          <w:numId w:val="4"/>
        </w:numPr>
        <w:tabs>
          <w:tab w:val="left" w:pos="1165"/>
          <w:tab w:val="left" w:pos="1183"/>
          <w:tab w:val="left" w:pos="4362"/>
          <w:tab w:val="left" w:pos="6577"/>
        </w:tabs>
        <w:spacing w:line="560" w:lineRule="exact"/>
        <w:ind w:left="420" w:leftChars="200" w:right="169"/>
        <w:rPr>
          <w:rFonts w:ascii="宋体" w:hAnsi="宋体" w:cs="宋体"/>
        </w:rPr>
      </w:pPr>
      <w:r>
        <w:rPr>
          <w:rFonts w:hint="eastAsia" w:ascii="宋体" w:hAnsi="宋体" w:cs="宋体"/>
          <w:u w:val="single"/>
          <w:lang w:val="zh-CN" w:bidi="zh-CN"/>
        </w:rPr>
        <w:t xml:space="preserve"> （标的名称）</w:t>
      </w:r>
      <w:r>
        <w:rPr>
          <w:rFonts w:hint="eastAsia" w:ascii="宋体" w:hAnsi="宋体" w:cs="宋体"/>
          <w:spacing w:val="-43"/>
        </w:rPr>
        <w:t>，</w:t>
      </w:r>
      <w:r>
        <w:rPr>
          <w:rFonts w:hint="eastAsia" w:ascii="宋体" w:hAnsi="宋体" w:cs="宋体"/>
          <w:spacing w:val="-2"/>
        </w:rPr>
        <w:t>属于</w:t>
      </w:r>
      <w:r>
        <w:rPr>
          <w:rFonts w:hint="eastAsia" w:ascii="宋体" w:hAnsi="宋体" w:cs="宋体"/>
          <w:u w:val="single"/>
          <w:lang w:val="zh-CN" w:bidi="zh-CN"/>
        </w:rPr>
        <w:t>（采购文件中明确的所属行业）</w:t>
      </w:r>
      <w:r>
        <w:rPr>
          <w:rFonts w:hint="eastAsia" w:ascii="宋体" w:hAnsi="宋体" w:cs="宋体"/>
          <w:spacing w:val="7"/>
          <w:w w:val="95"/>
        </w:rPr>
        <w:t>；</w:t>
      </w:r>
      <w:r>
        <w:rPr>
          <w:rFonts w:hint="eastAsia" w:ascii="宋体" w:hAnsi="宋体" w:cs="宋体"/>
          <w:spacing w:val="-2"/>
        </w:rPr>
        <w:t>制造商为</w:t>
      </w:r>
      <w:r>
        <w:rPr>
          <w:rFonts w:hint="eastAsia" w:ascii="宋体" w:hAnsi="宋体" w:cs="宋体"/>
          <w:u w:val="single"/>
          <w:lang w:val="zh-CN" w:bidi="zh-CN"/>
        </w:rPr>
        <w:t>（企业名称），</w:t>
      </w:r>
      <w:r>
        <w:rPr>
          <w:rFonts w:hint="eastAsia" w:ascii="宋体" w:hAnsi="宋体" w:cs="宋体"/>
          <w:spacing w:val="-2"/>
        </w:rPr>
        <w:t>从业人员</w:t>
      </w:r>
      <w:r>
        <w:rPr>
          <w:rFonts w:hint="eastAsia" w:ascii="宋体" w:hAnsi="宋体" w:cs="宋体"/>
          <w:w w:val="99"/>
          <w:u w:val="single"/>
        </w:rPr>
        <w:t xml:space="preserve"> </w:t>
      </w:r>
      <w:r>
        <w:rPr>
          <w:rFonts w:hint="eastAsia" w:ascii="宋体" w:hAnsi="宋体" w:cs="宋体"/>
          <w:u w:val="single"/>
        </w:rPr>
        <w:tab/>
      </w:r>
      <w:r>
        <w:rPr>
          <w:rFonts w:hint="eastAsia" w:ascii="宋体" w:hAnsi="宋体" w:cs="宋体"/>
          <w:spacing w:val="-2"/>
        </w:rPr>
        <w:t>人，营业收入</w:t>
      </w:r>
      <w:r>
        <w:rPr>
          <w:rFonts w:hint="eastAsia" w:ascii="宋体" w:hAnsi="宋体" w:cs="宋体"/>
        </w:rPr>
        <w:t>为</w:t>
      </w:r>
      <w:r>
        <w:rPr>
          <w:rFonts w:hint="eastAsia" w:ascii="宋体" w:hAnsi="宋体" w:cs="宋体"/>
          <w:u w:val="single"/>
        </w:rPr>
        <w:t xml:space="preserve"> </w:t>
      </w:r>
      <w:r>
        <w:rPr>
          <w:rFonts w:hint="eastAsia" w:ascii="宋体" w:hAnsi="宋体" w:cs="宋体"/>
          <w:u w:val="single"/>
        </w:rPr>
        <w:tab/>
      </w:r>
      <w:r>
        <w:rPr>
          <w:rFonts w:hint="eastAsia" w:ascii="宋体" w:hAnsi="宋体" w:cs="宋体"/>
        </w:rPr>
        <w:t>万元</w:t>
      </w:r>
      <w:r>
        <w:rPr>
          <w:rFonts w:hint="eastAsia" w:ascii="宋体" w:hAnsi="宋体" w:cs="宋体"/>
          <w:spacing w:val="-3"/>
        </w:rPr>
        <w:t>，</w:t>
      </w:r>
      <w:r>
        <w:rPr>
          <w:rFonts w:hint="eastAsia" w:ascii="宋体" w:hAnsi="宋体" w:cs="宋体"/>
        </w:rPr>
        <w:t>资产总额为</w:t>
      </w:r>
      <w:r>
        <w:rPr>
          <w:rFonts w:hint="eastAsia" w:ascii="宋体" w:hAnsi="宋体" w:cs="宋体"/>
          <w:u w:val="single"/>
        </w:rPr>
        <w:t xml:space="preserve"> </w:t>
      </w:r>
      <w:r>
        <w:rPr>
          <w:rFonts w:hint="eastAsia" w:ascii="宋体" w:hAnsi="宋体" w:cs="宋体"/>
          <w:u w:val="single"/>
        </w:rPr>
        <w:tab/>
      </w:r>
      <w:r>
        <w:rPr>
          <w:rFonts w:hint="eastAsia" w:ascii="宋体" w:hAnsi="宋体" w:cs="宋体"/>
        </w:rPr>
        <w:t>万元</w:t>
      </w:r>
      <w:r>
        <w:rPr>
          <w:rFonts w:hint="eastAsia" w:ascii="宋体" w:hAnsi="宋体" w:cs="宋体"/>
          <w:spacing w:val="-3"/>
        </w:rPr>
        <w:t>，</w:t>
      </w:r>
      <w:r>
        <w:rPr>
          <w:rFonts w:hint="eastAsia" w:ascii="宋体" w:hAnsi="宋体" w:cs="宋体"/>
        </w:rPr>
        <w:t>属</w:t>
      </w:r>
      <w:r>
        <w:rPr>
          <w:rFonts w:hint="eastAsia" w:ascii="宋体" w:hAnsi="宋体" w:cs="宋体"/>
          <w:spacing w:val="-17"/>
        </w:rPr>
        <w:t>于</w:t>
      </w:r>
      <w:r>
        <w:rPr>
          <w:rFonts w:hint="eastAsia" w:ascii="宋体" w:hAnsi="宋体" w:cs="宋体"/>
          <w:u w:val="single"/>
          <w:lang w:val="zh-CN" w:bidi="zh-CN"/>
        </w:rPr>
        <w:t>（中型企业、小型企业、微型企业</w:t>
      </w:r>
      <w:r>
        <w:rPr>
          <w:rFonts w:hint="eastAsia" w:ascii="宋体" w:hAnsi="宋体" w:cs="宋体"/>
          <w:u w:val="single"/>
          <w:lang w:bidi="zh-CN"/>
        </w:rPr>
        <w:t>）</w:t>
      </w:r>
      <w:r>
        <w:rPr>
          <w:rFonts w:hint="eastAsia" w:ascii="宋体" w:hAnsi="宋体" w:cs="宋体"/>
          <w:w w:val="99"/>
          <w:u w:val="single"/>
        </w:rPr>
        <w:t>；</w:t>
      </w:r>
    </w:p>
    <w:p>
      <w:pPr>
        <w:pStyle w:val="16"/>
        <w:spacing w:line="560" w:lineRule="exact"/>
        <w:ind w:left="860"/>
        <w:rPr>
          <w:rFonts w:cs="宋体"/>
        </w:rPr>
      </w:pPr>
      <w:r>
        <w:rPr>
          <w:rFonts w:hint="eastAsia" w:cs="宋体"/>
        </w:rPr>
        <w:t>……</w:t>
      </w:r>
    </w:p>
    <w:p>
      <w:pPr>
        <w:pStyle w:val="16"/>
        <w:spacing w:before="105" w:line="560" w:lineRule="exact"/>
        <w:ind w:right="417" w:firstLine="645"/>
        <w:rPr>
          <w:rFonts w:cs="宋体"/>
        </w:rPr>
      </w:pPr>
      <w:r>
        <w:rPr>
          <w:rFonts w:hint="eastAsia" w:cs="宋体"/>
          <w:spacing w:val="-3"/>
        </w:rPr>
        <w:t>以上企业，不属于大企业的分支机构，不存在控股股东</w:t>
      </w:r>
      <w:r>
        <w:rPr>
          <w:rFonts w:hint="eastAsia" w:cs="宋体"/>
          <w:spacing w:val="-5"/>
        </w:rPr>
        <w:t>为大企业的情形，也不存在与大企业的负责人为同一人的情形。</w:t>
      </w:r>
    </w:p>
    <w:p>
      <w:pPr>
        <w:pStyle w:val="16"/>
        <w:spacing w:line="560" w:lineRule="exact"/>
        <w:ind w:right="372" w:firstLine="645"/>
        <w:rPr>
          <w:rFonts w:cs="宋体"/>
        </w:rPr>
      </w:pPr>
      <w:r>
        <w:rPr>
          <w:rFonts w:hint="eastAsia" w:cs="宋体"/>
        </w:rPr>
        <w:t>本企业对上述声明内容的真实性负责。如有虚假，将依法承担相应责任。</w:t>
      </w:r>
    </w:p>
    <w:p>
      <w:pPr>
        <w:pStyle w:val="16"/>
        <w:spacing w:line="560" w:lineRule="exact"/>
        <w:ind w:right="372" w:firstLine="4092" w:firstLineChars="1705"/>
        <w:rPr>
          <w:rFonts w:cs="宋体"/>
        </w:rPr>
      </w:pPr>
      <w:r>
        <w:rPr>
          <w:rFonts w:hint="eastAsia" w:cs="宋体"/>
        </w:rPr>
        <w:t>企业名称（盖章）：</w:t>
      </w:r>
    </w:p>
    <w:p>
      <w:pPr>
        <w:pStyle w:val="16"/>
        <w:spacing w:line="560" w:lineRule="exact"/>
        <w:ind w:right="372" w:firstLine="4092" w:firstLineChars="1705"/>
        <w:rPr>
          <w:rFonts w:cs="宋体"/>
        </w:rPr>
      </w:pPr>
      <w:r>
        <w:rPr>
          <w:rFonts w:hint="eastAsia" w:cs="宋体"/>
        </w:rPr>
        <w:t>日期：</w:t>
      </w:r>
    </w:p>
    <w:p>
      <w:pPr>
        <w:spacing w:line="560" w:lineRule="exact"/>
        <w:rPr>
          <w:rFonts w:ascii="宋体" w:hAnsi="宋体" w:cs="宋体"/>
          <w:sz w:val="24"/>
        </w:rPr>
        <w:sectPr>
          <w:headerReference r:id="rId4" w:type="default"/>
          <w:footerReference r:id="rId5" w:type="default"/>
          <w:pgSz w:w="11910" w:h="16840"/>
          <w:pgMar w:top="1213" w:right="1689" w:bottom="1213" w:left="1689" w:header="0" w:footer="964" w:gutter="0"/>
          <w:pgNumType w:fmt="decimal" w:start="1"/>
          <w:cols w:space="0" w:num="1"/>
        </w:sectPr>
      </w:pPr>
      <w:r>
        <w:rPr>
          <w:rFonts w:hint="eastAsia" w:ascii="宋体" w:hAnsi="宋体" w:cs="宋体"/>
          <w:sz w:val="24"/>
        </w:rPr>
        <w:t>注：从业人员、营业收入、资产总额填报上一年度数据，无上一年度数据的新成立企业可不填报。</w:t>
      </w:r>
    </w:p>
    <w:p>
      <w:pPr>
        <w:spacing w:line="560" w:lineRule="exact"/>
        <w:jc w:val="center"/>
        <w:rPr>
          <w:rFonts w:ascii="宋体" w:hAnsi="宋体"/>
          <w:b/>
          <w:kern w:val="0"/>
          <w:sz w:val="24"/>
          <w:szCs w:val="20"/>
        </w:rPr>
      </w:pPr>
      <w:bookmarkStart w:id="311" w:name="_Toc19284"/>
      <w:bookmarkStart w:id="312" w:name="_Toc24603"/>
      <w:bookmarkStart w:id="313" w:name="_Toc23068"/>
      <w:bookmarkStart w:id="314" w:name="_Toc515647825"/>
      <w:bookmarkStart w:id="315" w:name="OLE_LINK14"/>
      <w:bookmarkStart w:id="316" w:name="OLE_LINK13"/>
      <w:r>
        <w:rPr>
          <w:rFonts w:hint="eastAsia" w:ascii="宋体" w:hAnsi="宋体"/>
          <w:b/>
          <w:kern w:val="0"/>
          <w:sz w:val="24"/>
          <w:szCs w:val="20"/>
        </w:rPr>
        <w:t>8.2  残疾人福利性单位声明函</w:t>
      </w:r>
      <w:bookmarkEnd w:id="311"/>
      <w:bookmarkEnd w:id="312"/>
      <w:bookmarkEnd w:id="313"/>
      <w:bookmarkEnd w:id="314"/>
    </w:p>
    <w:bookmarkEnd w:id="315"/>
    <w:bookmarkEnd w:id="316"/>
    <w:p>
      <w:pPr>
        <w:spacing w:line="560" w:lineRule="exact"/>
        <w:ind w:left="1079" w:leftChars="257" w:hanging="540"/>
        <w:jc w:val="center"/>
        <w:rPr>
          <w:rFonts w:ascii="宋体" w:hAnsi="宋体"/>
          <w:kern w:val="0"/>
          <w:sz w:val="24"/>
          <w:szCs w:val="20"/>
        </w:rPr>
      </w:pPr>
    </w:p>
    <w:p>
      <w:pPr>
        <w:spacing w:line="560" w:lineRule="exact"/>
        <w:ind w:firstLine="567"/>
        <w:rPr>
          <w:rFonts w:ascii="宋体" w:hAnsi="宋体"/>
          <w:kern w:val="0"/>
          <w:sz w:val="24"/>
          <w:szCs w:val="20"/>
        </w:rPr>
      </w:pPr>
      <w:r>
        <w:rPr>
          <w:rFonts w:hint="eastAsia" w:ascii="宋体" w:hAnsi="宋体"/>
          <w:kern w:val="0"/>
          <w:sz w:val="24"/>
          <w:szCs w:val="20"/>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或者提供其他残疾人福利性单位制造的货物（不包括使用非残疾人福利性单位注册商标的货物）。</w:t>
      </w:r>
    </w:p>
    <w:p>
      <w:pPr>
        <w:spacing w:line="560" w:lineRule="exact"/>
        <w:ind w:left="1079" w:leftChars="257" w:hanging="540"/>
        <w:rPr>
          <w:rFonts w:ascii="宋体" w:hAnsi="宋体"/>
          <w:kern w:val="0"/>
          <w:sz w:val="24"/>
          <w:szCs w:val="20"/>
        </w:rPr>
      </w:pPr>
      <w:r>
        <w:rPr>
          <w:rFonts w:hint="eastAsia" w:ascii="宋体" w:hAnsi="宋体"/>
          <w:kern w:val="0"/>
          <w:sz w:val="24"/>
          <w:szCs w:val="20"/>
        </w:rPr>
        <w:t>本单位对上述声明的真实性负责。如有虚假，将依法承担相应责任。</w:t>
      </w:r>
    </w:p>
    <w:p>
      <w:pPr>
        <w:widowControl/>
        <w:spacing w:before="100" w:beforeAutospacing="1" w:after="100" w:afterAutospacing="1" w:line="560" w:lineRule="exact"/>
        <w:ind w:firstLine="480"/>
        <w:jc w:val="left"/>
        <w:rPr>
          <w:rFonts w:ascii="宋体" w:hAnsi="宋体" w:cs="宋体"/>
          <w:kern w:val="0"/>
          <w:sz w:val="24"/>
        </w:rPr>
      </w:pPr>
      <w:r>
        <w:rPr>
          <w:rFonts w:hint="eastAsia" w:ascii="宋体" w:hAnsi="宋体" w:cs="宋体"/>
          <w:kern w:val="0"/>
          <w:sz w:val="24"/>
        </w:rPr>
        <w:t>供应商（公章）：</w:t>
      </w:r>
    </w:p>
    <w:p>
      <w:pPr>
        <w:widowControl/>
        <w:spacing w:before="100" w:beforeAutospacing="1" w:after="100" w:afterAutospacing="1" w:line="560" w:lineRule="exact"/>
        <w:ind w:firstLine="480"/>
        <w:jc w:val="left"/>
        <w:rPr>
          <w:rFonts w:ascii="宋体" w:hAnsi="宋体" w:cs="宋体"/>
          <w:kern w:val="0"/>
          <w:sz w:val="24"/>
        </w:rPr>
      </w:pPr>
      <w:r>
        <w:rPr>
          <w:rFonts w:hint="eastAsia" w:ascii="宋体" w:hAnsi="宋体"/>
          <w:sz w:val="24"/>
        </w:rPr>
        <w:t>法定代表人（</w:t>
      </w:r>
      <w:r>
        <w:rPr>
          <w:rFonts w:hint="eastAsia" w:ascii="宋体" w:hAnsi="宋体" w:cs="宋体"/>
          <w:sz w:val="24"/>
        </w:rPr>
        <w:t>非法人组织的负责人</w:t>
      </w:r>
      <w:r>
        <w:rPr>
          <w:rFonts w:hint="eastAsia" w:ascii="宋体" w:hAnsi="宋体"/>
          <w:sz w:val="24"/>
        </w:rPr>
        <w:t>）或其授权代表（签章）</w:t>
      </w:r>
      <w:r>
        <w:rPr>
          <w:rFonts w:hint="eastAsia" w:ascii="宋体" w:hAnsi="宋体" w:cs="宋体"/>
          <w:kern w:val="0"/>
          <w:sz w:val="24"/>
        </w:rPr>
        <w:t>：</w:t>
      </w:r>
    </w:p>
    <w:p>
      <w:pPr>
        <w:spacing w:line="560" w:lineRule="exact"/>
        <w:ind w:left="1079" w:leftChars="257" w:hanging="540"/>
        <w:rPr>
          <w:rFonts w:ascii="宋体" w:hAnsi="宋体"/>
          <w:kern w:val="0"/>
          <w:sz w:val="24"/>
          <w:szCs w:val="20"/>
        </w:rPr>
      </w:pPr>
      <w:r>
        <w:rPr>
          <w:rFonts w:hint="eastAsia" w:ascii="宋体" w:hAnsi="宋体" w:cs="宋体"/>
          <w:kern w:val="0"/>
          <w:sz w:val="24"/>
        </w:rPr>
        <w:t>日    期：      年   月   日</w:t>
      </w:r>
    </w:p>
    <w:p>
      <w:pPr>
        <w:spacing w:line="560" w:lineRule="exact"/>
        <w:ind w:left="1079" w:leftChars="257" w:hanging="540"/>
        <w:rPr>
          <w:rFonts w:ascii="宋体" w:hAnsi="宋体"/>
          <w:kern w:val="0"/>
          <w:sz w:val="24"/>
          <w:szCs w:val="20"/>
        </w:rPr>
      </w:pPr>
    </w:p>
    <w:p>
      <w:pPr>
        <w:spacing w:line="560" w:lineRule="exact"/>
        <w:jc w:val="center"/>
        <w:rPr>
          <w:rFonts w:ascii="宋体" w:hAnsi="宋体"/>
          <w:b/>
          <w:kern w:val="0"/>
          <w:sz w:val="24"/>
          <w:szCs w:val="20"/>
        </w:rPr>
      </w:pPr>
      <w:r>
        <w:rPr>
          <w:rFonts w:hint="eastAsia" w:ascii="宋体" w:hAnsi="宋体"/>
          <w:b/>
          <w:kern w:val="0"/>
          <w:sz w:val="24"/>
          <w:szCs w:val="20"/>
        </w:rPr>
        <w:t>8.3省级以上监狱管理局、戒毒管理局（含新疆生产建设兵团） 出具的属于监狱企业的证明文件扫描件</w:t>
      </w:r>
    </w:p>
    <w:p>
      <w:pPr>
        <w:spacing w:line="560" w:lineRule="exact"/>
        <w:jc w:val="center"/>
        <w:rPr>
          <w:rFonts w:ascii="宋体" w:hAnsi="宋体"/>
          <w:b/>
          <w:kern w:val="0"/>
          <w:sz w:val="24"/>
          <w:szCs w:val="20"/>
        </w:rPr>
      </w:pPr>
    </w:p>
    <w:p>
      <w:pPr>
        <w:spacing w:line="560" w:lineRule="exact"/>
        <w:jc w:val="center"/>
        <w:rPr>
          <w:rFonts w:ascii="宋体" w:hAnsi="宋体"/>
          <w:b/>
          <w:kern w:val="0"/>
          <w:sz w:val="24"/>
          <w:szCs w:val="20"/>
        </w:rPr>
      </w:pPr>
      <w:r>
        <w:rPr>
          <w:rFonts w:hint="eastAsia" w:ascii="宋体" w:hAnsi="宋体"/>
          <w:b/>
          <w:kern w:val="0"/>
          <w:sz w:val="24"/>
          <w:szCs w:val="20"/>
        </w:rPr>
        <w:t>（若有）</w:t>
      </w:r>
    </w:p>
    <w:p>
      <w:pPr>
        <w:pStyle w:val="5"/>
        <w:spacing w:line="560" w:lineRule="exact"/>
        <w:rPr>
          <w:rFonts w:hAnsi="宋体"/>
          <w:u w:val="none"/>
        </w:rPr>
      </w:pPr>
      <w:bookmarkStart w:id="317" w:name="_Toc518923118"/>
      <w:bookmarkStart w:id="318" w:name="_Toc46136865"/>
      <w:bookmarkStart w:id="319" w:name="_Toc13763"/>
    </w:p>
    <w:p/>
    <w:p>
      <w:pPr>
        <w:pStyle w:val="5"/>
        <w:spacing w:line="560" w:lineRule="exact"/>
        <w:rPr>
          <w:rFonts w:hAnsi="宋体"/>
          <w:u w:val="none"/>
        </w:rPr>
      </w:pPr>
    </w:p>
    <w:p/>
    <w:p>
      <w:pPr>
        <w:spacing w:line="560" w:lineRule="exact"/>
        <w:rPr>
          <w:rFonts w:hAnsi="宋体"/>
        </w:rPr>
      </w:pPr>
    </w:p>
    <w:p>
      <w:pPr>
        <w:spacing w:line="560" w:lineRule="exact"/>
        <w:rPr>
          <w:rFonts w:hAnsi="宋体"/>
        </w:rPr>
      </w:pPr>
    </w:p>
    <w:p>
      <w:pPr>
        <w:spacing w:line="560" w:lineRule="exact"/>
        <w:rPr>
          <w:rFonts w:hAnsi="宋体"/>
          <w:b/>
          <w:bCs/>
          <w:sz w:val="24"/>
        </w:rPr>
      </w:pPr>
      <w:r>
        <w:rPr>
          <w:rFonts w:hint="eastAsia" w:hAnsi="宋体"/>
          <w:b/>
          <w:bCs/>
          <w:sz w:val="24"/>
        </w:rPr>
        <w:t>9.报价明细表</w:t>
      </w:r>
      <w:bookmarkEnd w:id="317"/>
      <w:bookmarkEnd w:id="318"/>
      <w:bookmarkEnd w:id="319"/>
    </w:p>
    <w:p>
      <w:pPr>
        <w:pStyle w:val="35"/>
        <w:jc w:val="center"/>
        <w:rPr>
          <w:rFonts w:cs="宋体"/>
          <w:b/>
          <w:bCs/>
          <w:sz w:val="24"/>
        </w:rPr>
      </w:pPr>
      <w:r>
        <w:rPr>
          <w:rFonts w:hint="eastAsia" w:cs="宋体"/>
          <w:b/>
          <w:bCs/>
          <w:sz w:val="24"/>
        </w:rPr>
        <w:t>报价明细表</w:t>
      </w:r>
    </w:p>
    <w:tbl>
      <w:tblPr>
        <w:tblStyle w:val="38"/>
        <w:tblW w:w="9539" w:type="dxa"/>
        <w:jc w:val="center"/>
        <w:tblLayout w:type="fixed"/>
        <w:tblCellMar>
          <w:top w:w="0" w:type="dxa"/>
          <w:left w:w="108" w:type="dxa"/>
          <w:bottom w:w="0" w:type="dxa"/>
          <w:right w:w="108" w:type="dxa"/>
        </w:tblCellMar>
      </w:tblPr>
      <w:tblGrid>
        <w:gridCol w:w="866"/>
        <w:gridCol w:w="1544"/>
        <w:gridCol w:w="834"/>
        <w:gridCol w:w="833"/>
        <w:gridCol w:w="1333"/>
        <w:gridCol w:w="1311"/>
        <w:gridCol w:w="1234"/>
        <w:gridCol w:w="777"/>
        <w:gridCol w:w="807"/>
      </w:tblGrid>
      <w:tr>
        <w:tblPrEx>
          <w:tblCellMar>
            <w:top w:w="0" w:type="dxa"/>
            <w:left w:w="108" w:type="dxa"/>
            <w:bottom w:w="0" w:type="dxa"/>
            <w:right w:w="108" w:type="dxa"/>
          </w:tblCellMar>
        </w:tblPrEx>
        <w:trPr>
          <w:trHeight w:val="510" w:hRule="atLeast"/>
          <w:jc w:val="center"/>
        </w:trPr>
        <w:tc>
          <w:tcPr>
            <w:tcW w:w="866"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default" w:ascii="宋体" w:hAnsi="宋体" w:cs="宋体"/>
                <w:b/>
                <w:bCs/>
                <w:kern w:val="0"/>
                <w:sz w:val="24"/>
              </w:rPr>
            </w:pPr>
            <w:r>
              <w:rPr>
                <w:rFonts w:hint="eastAsia" w:ascii="宋体" w:hAnsi="宋体" w:cs="宋体"/>
                <w:b/>
                <w:bCs/>
                <w:kern w:val="0"/>
                <w:sz w:val="24"/>
              </w:rPr>
              <w:t>序号</w:t>
            </w:r>
          </w:p>
        </w:tc>
        <w:tc>
          <w:tcPr>
            <w:tcW w:w="1544"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96" w:rightChars="46"/>
              <w:jc w:val="center"/>
              <w:rPr>
                <w:rFonts w:hint="default" w:ascii="宋体" w:hAnsi="宋体" w:cs="宋体"/>
                <w:b/>
                <w:bCs/>
                <w:kern w:val="0"/>
                <w:sz w:val="24"/>
              </w:rPr>
            </w:pPr>
            <w:r>
              <w:rPr>
                <w:rFonts w:hint="eastAsia" w:ascii="宋体" w:hAnsi="宋体" w:cs="宋体"/>
                <w:b/>
                <w:bCs/>
                <w:kern w:val="0"/>
                <w:sz w:val="24"/>
              </w:rPr>
              <w:t>货物名称</w:t>
            </w:r>
          </w:p>
        </w:tc>
        <w:tc>
          <w:tcPr>
            <w:tcW w:w="834"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default" w:ascii="宋体" w:hAnsi="宋体" w:cs="宋体"/>
                <w:b/>
                <w:bCs/>
                <w:kern w:val="0"/>
                <w:sz w:val="24"/>
              </w:rPr>
            </w:pPr>
            <w:r>
              <w:rPr>
                <w:rFonts w:hint="eastAsia" w:ascii="宋体" w:hAnsi="宋体" w:cs="宋体"/>
                <w:b/>
                <w:bCs/>
                <w:kern w:val="0"/>
                <w:sz w:val="24"/>
              </w:rPr>
              <w:t>单位</w:t>
            </w:r>
          </w:p>
        </w:tc>
        <w:tc>
          <w:tcPr>
            <w:tcW w:w="833"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default" w:ascii="宋体" w:hAnsi="宋体" w:cs="宋体"/>
                <w:b/>
                <w:bCs/>
                <w:kern w:val="0"/>
                <w:sz w:val="24"/>
              </w:rPr>
            </w:pPr>
            <w:r>
              <w:rPr>
                <w:rFonts w:hint="eastAsia" w:ascii="宋体" w:hAnsi="宋体" w:cs="宋体"/>
                <w:b/>
                <w:bCs/>
                <w:kern w:val="0"/>
                <w:sz w:val="24"/>
              </w:rPr>
              <w:t>数量</w:t>
            </w:r>
          </w:p>
        </w:tc>
        <w:tc>
          <w:tcPr>
            <w:tcW w:w="1333"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default" w:ascii="宋体" w:hAnsi="宋体" w:cs="宋体"/>
                <w:b/>
                <w:bCs/>
                <w:kern w:val="0"/>
                <w:sz w:val="24"/>
              </w:rPr>
            </w:pPr>
            <w:r>
              <w:rPr>
                <w:rFonts w:hint="eastAsia" w:ascii="宋体" w:hAnsi="宋体" w:cs="宋体"/>
                <w:b/>
                <w:bCs/>
                <w:kern w:val="0"/>
                <w:sz w:val="24"/>
              </w:rPr>
              <w:t>单价（元）</w:t>
            </w:r>
          </w:p>
        </w:tc>
        <w:tc>
          <w:tcPr>
            <w:tcW w:w="1311"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default" w:ascii="宋体" w:hAnsi="宋体" w:cs="宋体"/>
                <w:b/>
                <w:bCs/>
                <w:kern w:val="0"/>
                <w:sz w:val="24"/>
              </w:rPr>
            </w:pPr>
            <w:r>
              <w:rPr>
                <w:rFonts w:hint="eastAsia" w:ascii="宋体" w:hAnsi="宋体" w:cs="宋体"/>
                <w:b/>
                <w:bCs/>
                <w:kern w:val="0"/>
                <w:sz w:val="24"/>
              </w:rPr>
              <w:t>合价（元）</w:t>
            </w:r>
          </w:p>
        </w:tc>
        <w:tc>
          <w:tcPr>
            <w:tcW w:w="1234"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default" w:ascii="宋体" w:hAnsi="宋体" w:cs="宋体"/>
                <w:b/>
                <w:bCs/>
                <w:kern w:val="0"/>
                <w:sz w:val="24"/>
              </w:rPr>
            </w:pPr>
            <w:r>
              <w:rPr>
                <w:rFonts w:hint="eastAsia" w:ascii="宋体" w:hAnsi="宋体" w:cs="宋体"/>
                <w:b/>
                <w:bCs/>
                <w:kern w:val="0"/>
                <w:sz w:val="24"/>
              </w:rPr>
              <w:t>规格型号</w:t>
            </w:r>
          </w:p>
        </w:tc>
        <w:tc>
          <w:tcPr>
            <w:tcW w:w="777"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default" w:ascii="宋体" w:hAnsi="宋体" w:cs="宋体"/>
                <w:b/>
                <w:bCs/>
                <w:kern w:val="0"/>
                <w:sz w:val="24"/>
              </w:rPr>
            </w:pPr>
            <w:r>
              <w:rPr>
                <w:rFonts w:hint="eastAsia" w:ascii="宋体" w:hAnsi="宋体" w:cs="宋体"/>
                <w:b/>
                <w:bCs/>
                <w:kern w:val="0"/>
                <w:sz w:val="24"/>
              </w:rPr>
              <w:t>品牌</w:t>
            </w:r>
          </w:p>
        </w:tc>
        <w:tc>
          <w:tcPr>
            <w:tcW w:w="807"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default" w:ascii="宋体" w:hAnsi="宋体" w:cs="宋体"/>
                <w:b/>
                <w:bCs/>
                <w:kern w:val="0"/>
                <w:sz w:val="24"/>
              </w:rPr>
            </w:pPr>
            <w:r>
              <w:rPr>
                <w:rFonts w:hint="eastAsia" w:ascii="宋体" w:hAnsi="宋体" w:cs="宋体"/>
                <w:b/>
                <w:bCs/>
                <w:kern w:val="0"/>
                <w:sz w:val="24"/>
              </w:rPr>
              <w:t>产地</w:t>
            </w:r>
          </w:p>
        </w:tc>
      </w:tr>
      <w:tr>
        <w:tblPrEx>
          <w:tblCellMar>
            <w:top w:w="0" w:type="dxa"/>
            <w:left w:w="108" w:type="dxa"/>
            <w:bottom w:w="0" w:type="dxa"/>
            <w:right w:w="108" w:type="dxa"/>
          </w:tblCellMar>
        </w:tblPrEx>
        <w:trPr>
          <w:trHeight w:val="510" w:hRule="atLeast"/>
          <w:jc w:val="center"/>
        </w:trPr>
        <w:tc>
          <w:tcPr>
            <w:tcW w:w="866" w:type="dxa"/>
            <w:tcBorders>
              <w:top w:val="nil"/>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default" w:ascii="宋体" w:hAnsi="宋体" w:cs="宋体"/>
                <w:b/>
                <w:bCs/>
                <w:kern w:val="0"/>
                <w:sz w:val="24"/>
              </w:rPr>
            </w:pPr>
          </w:p>
        </w:tc>
        <w:tc>
          <w:tcPr>
            <w:tcW w:w="1544"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宋体" w:hAnsi="宋体" w:cs="宋体"/>
                <w:kern w:val="0"/>
                <w:sz w:val="24"/>
              </w:rPr>
            </w:pPr>
          </w:p>
        </w:tc>
        <w:tc>
          <w:tcPr>
            <w:tcW w:w="834"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default" w:ascii="宋体" w:hAnsi="宋体" w:cs="宋体"/>
                <w:kern w:val="0"/>
                <w:sz w:val="24"/>
              </w:rPr>
            </w:pPr>
          </w:p>
        </w:tc>
        <w:tc>
          <w:tcPr>
            <w:tcW w:w="833"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default" w:ascii="宋体" w:hAnsi="宋体" w:cs="宋体"/>
                <w:kern w:val="0"/>
                <w:sz w:val="24"/>
              </w:rPr>
            </w:pPr>
          </w:p>
        </w:tc>
        <w:tc>
          <w:tcPr>
            <w:tcW w:w="1333"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default" w:ascii="宋体" w:hAnsi="宋体" w:cs="宋体"/>
                <w:kern w:val="0"/>
                <w:sz w:val="24"/>
              </w:rPr>
            </w:pPr>
          </w:p>
        </w:tc>
        <w:tc>
          <w:tcPr>
            <w:tcW w:w="1311"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default" w:ascii="宋体" w:hAnsi="宋体" w:cs="宋体"/>
                <w:kern w:val="0"/>
                <w:sz w:val="24"/>
              </w:rPr>
            </w:pPr>
          </w:p>
        </w:tc>
        <w:tc>
          <w:tcPr>
            <w:tcW w:w="1234"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default" w:ascii="宋体" w:hAnsi="宋体" w:cs="宋体"/>
                <w:kern w:val="0"/>
                <w:sz w:val="24"/>
              </w:rPr>
            </w:pPr>
          </w:p>
        </w:tc>
        <w:tc>
          <w:tcPr>
            <w:tcW w:w="777"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default" w:ascii="宋体" w:hAnsi="宋体" w:cs="宋体"/>
                <w:kern w:val="0"/>
                <w:sz w:val="24"/>
              </w:rPr>
            </w:pPr>
          </w:p>
        </w:tc>
        <w:tc>
          <w:tcPr>
            <w:tcW w:w="807"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default" w:ascii="宋体" w:hAnsi="宋体" w:cs="宋体"/>
                <w:kern w:val="0"/>
                <w:sz w:val="24"/>
              </w:rPr>
            </w:pPr>
          </w:p>
        </w:tc>
      </w:tr>
      <w:tr>
        <w:tblPrEx>
          <w:tblCellMar>
            <w:top w:w="0" w:type="dxa"/>
            <w:left w:w="108" w:type="dxa"/>
            <w:bottom w:w="0" w:type="dxa"/>
            <w:right w:w="108" w:type="dxa"/>
          </w:tblCellMar>
        </w:tblPrEx>
        <w:trPr>
          <w:trHeight w:val="510" w:hRule="atLeast"/>
          <w:jc w:val="center"/>
        </w:trPr>
        <w:tc>
          <w:tcPr>
            <w:tcW w:w="866" w:type="dxa"/>
            <w:tcBorders>
              <w:top w:val="nil"/>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default" w:ascii="宋体" w:hAnsi="宋体" w:cs="宋体"/>
                <w:b/>
                <w:bCs/>
                <w:kern w:val="0"/>
                <w:sz w:val="24"/>
              </w:rPr>
            </w:pPr>
          </w:p>
        </w:tc>
        <w:tc>
          <w:tcPr>
            <w:tcW w:w="1544"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宋体" w:hAnsi="宋体" w:cs="宋体"/>
                <w:kern w:val="0"/>
                <w:sz w:val="24"/>
              </w:rPr>
            </w:pPr>
          </w:p>
        </w:tc>
        <w:tc>
          <w:tcPr>
            <w:tcW w:w="834"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default" w:ascii="宋体" w:hAnsi="宋体" w:cs="宋体"/>
                <w:kern w:val="0"/>
                <w:sz w:val="24"/>
              </w:rPr>
            </w:pPr>
          </w:p>
        </w:tc>
        <w:tc>
          <w:tcPr>
            <w:tcW w:w="833"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default" w:ascii="宋体" w:hAnsi="宋体" w:cs="宋体"/>
                <w:kern w:val="0"/>
                <w:sz w:val="24"/>
              </w:rPr>
            </w:pPr>
          </w:p>
        </w:tc>
        <w:tc>
          <w:tcPr>
            <w:tcW w:w="1333"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default" w:ascii="宋体" w:hAnsi="宋体" w:cs="宋体"/>
                <w:kern w:val="0"/>
                <w:sz w:val="24"/>
              </w:rPr>
            </w:pPr>
          </w:p>
        </w:tc>
        <w:tc>
          <w:tcPr>
            <w:tcW w:w="1311"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default" w:ascii="宋体" w:hAnsi="宋体" w:cs="宋体"/>
                <w:kern w:val="0"/>
                <w:sz w:val="24"/>
              </w:rPr>
            </w:pPr>
          </w:p>
        </w:tc>
        <w:tc>
          <w:tcPr>
            <w:tcW w:w="1234"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default" w:ascii="宋体" w:hAnsi="宋体" w:cs="宋体"/>
                <w:kern w:val="0"/>
                <w:sz w:val="24"/>
              </w:rPr>
            </w:pPr>
          </w:p>
        </w:tc>
        <w:tc>
          <w:tcPr>
            <w:tcW w:w="777"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default" w:ascii="宋体" w:hAnsi="宋体" w:cs="宋体"/>
                <w:kern w:val="0"/>
                <w:sz w:val="24"/>
              </w:rPr>
            </w:pPr>
          </w:p>
        </w:tc>
        <w:tc>
          <w:tcPr>
            <w:tcW w:w="807"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default" w:ascii="宋体" w:hAnsi="宋体" w:cs="宋体"/>
                <w:kern w:val="0"/>
                <w:sz w:val="24"/>
              </w:rPr>
            </w:pPr>
          </w:p>
        </w:tc>
      </w:tr>
      <w:tr>
        <w:tblPrEx>
          <w:tblCellMar>
            <w:top w:w="0" w:type="dxa"/>
            <w:left w:w="108" w:type="dxa"/>
            <w:bottom w:w="0" w:type="dxa"/>
            <w:right w:w="108" w:type="dxa"/>
          </w:tblCellMar>
        </w:tblPrEx>
        <w:trPr>
          <w:trHeight w:val="510" w:hRule="atLeast"/>
          <w:jc w:val="center"/>
        </w:trPr>
        <w:tc>
          <w:tcPr>
            <w:tcW w:w="866" w:type="dxa"/>
            <w:tcBorders>
              <w:top w:val="nil"/>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default" w:ascii="宋体" w:hAnsi="宋体" w:cs="宋体"/>
                <w:b/>
                <w:bCs/>
                <w:kern w:val="0"/>
                <w:sz w:val="24"/>
              </w:rPr>
            </w:pPr>
          </w:p>
        </w:tc>
        <w:tc>
          <w:tcPr>
            <w:tcW w:w="1544"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宋体" w:hAnsi="宋体" w:cs="宋体"/>
                <w:kern w:val="0"/>
                <w:sz w:val="24"/>
              </w:rPr>
            </w:pPr>
          </w:p>
        </w:tc>
        <w:tc>
          <w:tcPr>
            <w:tcW w:w="834"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default" w:ascii="宋体" w:hAnsi="宋体" w:cs="宋体"/>
                <w:kern w:val="0"/>
                <w:sz w:val="24"/>
              </w:rPr>
            </w:pPr>
          </w:p>
        </w:tc>
        <w:tc>
          <w:tcPr>
            <w:tcW w:w="833"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default" w:ascii="宋体" w:hAnsi="宋体" w:cs="宋体"/>
                <w:kern w:val="0"/>
                <w:sz w:val="24"/>
              </w:rPr>
            </w:pPr>
          </w:p>
        </w:tc>
        <w:tc>
          <w:tcPr>
            <w:tcW w:w="1333"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default" w:ascii="宋体" w:hAnsi="宋体" w:cs="宋体"/>
                <w:kern w:val="0"/>
                <w:sz w:val="24"/>
              </w:rPr>
            </w:pPr>
          </w:p>
        </w:tc>
        <w:tc>
          <w:tcPr>
            <w:tcW w:w="1311"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default" w:ascii="宋体" w:hAnsi="宋体" w:cs="宋体"/>
                <w:kern w:val="0"/>
                <w:sz w:val="24"/>
              </w:rPr>
            </w:pPr>
          </w:p>
        </w:tc>
        <w:tc>
          <w:tcPr>
            <w:tcW w:w="1234"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default" w:ascii="宋体" w:hAnsi="宋体" w:cs="宋体"/>
                <w:kern w:val="0"/>
                <w:sz w:val="24"/>
              </w:rPr>
            </w:pPr>
          </w:p>
        </w:tc>
        <w:tc>
          <w:tcPr>
            <w:tcW w:w="777"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default" w:ascii="宋体" w:hAnsi="宋体" w:cs="宋体"/>
                <w:kern w:val="0"/>
                <w:sz w:val="24"/>
              </w:rPr>
            </w:pPr>
          </w:p>
        </w:tc>
        <w:tc>
          <w:tcPr>
            <w:tcW w:w="807"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default" w:ascii="宋体" w:hAnsi="宋体" w:cs="宋体"/>
                <w:kern w:val="0"/>
                <w:sz w:val="24"/>
              </w:rPr>
            </w:pPr>
          </w:p>
        </w:tc>
      </w:tr>
      <w:tr>
        <w:tblPrEx>
          <w:tblCellMar>
            <w:top w:w="0" w:type="dxa"/>
            <w:left w:w="108" w:type="dxa"/>
            <w:bottom w:w="0" w:type="dxa"/>
            <w:right w:w="108" w:type="dxa"/>
          </w:tblCellMar>
        </w:tblPrEx>
        <w:trPr>
          <w:trHeight w:val="510" w:hRule="atLeast"/>
          <w:jc w:val="center"/>
        </w:trPr>
        <w:tc>
          <w:tcPr>
            <w:tcW w:w="866" w:type="dxa"/>
            <w:tcBorders>
              <w:top w:val="nil"/>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default" w:ascii="宋体" w:hAnsi="宋体" w:cs="宋体"/>
                <w:b/>
                <w:bCs/>
                <w:kern w:val="0"/>
                <w:sz w:val="24"/>
              </w:rPr>
            </w:pPr>
          </w:p>
        </w:tc>
        <w:tc>
          <w:tcPr>
            <w:tcW w:w="1544"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宋体" w:hAnsi="宋体" w:cs="宋体"/>
                <w:kern w:val="0"/>
                <w:sz w:val="24"/>
              </w:rPr>
            </w:pPr>
          </w:p>
        </w:tc>
        <w:tc>
          <w:tcPr>
            <w:tcW w:w="834"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default" w:ascii="宋体" w:hAnsi="宋体" w:cs="宋体"/>
                <w:kern w:val="0"/>
                <w:sz w:val="24"/>
              </w:rPr>
            </w:pPr>
          </w:p>
        </w:tc>
        <w:tc>
          <w:tcPr>
            <w:tcW w:w="833"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default" w:ascii="宋体" w:hAnsi="宋体" w:cs="宋体"/>
                <w:kern w:val="0"/>
                <w:sz w:val="24"/>
              </w:rPr>
            </w:pPr>
          </w:p>
        </w:tc>
        <w:tc>
          <w:tcPr>
            <w:tcW w:w="1333"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default" w:ascii="宋体" w:hAnsi="宋体" w:cs="宋体"/>
                <w:kern w:val="0"/>
                <w:sz w:val="24"/>
              </w:rPr>
            </w:pPr>
          </w:p>
        </w:tc>
        <w:tc>
          <w:tcPr>
            <w:tcW w:w="1311"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default" w:ascii="宋体" w:hAnsi="宋体" w:cs="宋体"/>
                <w:kern w:val="0"/>
                <w:sz w:val="24"/>
              </w:rPr>
            </w:pPr>
          </w:p>
        </w:tc>
        <w:tc>
          <w:tcPr>
            <w:tcW w:w="1234"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default" w:ascii="宋体" w:hAnsi="宋体" w:cs="宋体"/>
                <w:kern w:val="0"/>
                <w:sz w:val="24"/>
              </w:rPr>
            </w:pPr>
          </w:p>
        </w:tc>
        <w:tc>
          <w:tcPr>
            <w:tcW w:w="777"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default" w:ascii="宋体" w:hAnsi="宋体" w:cs="宋体"/>
                <w:kern w:val="0"/>
                <w:sz w:val="24"/>
              </w:rPr>
            </w:pPr>
          </w:p>
        </w:tc>
        <w:tc>
          <w:tcPr>
            <w:tcW w:w="807"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default" w:ascii="宋体" w:hAnsi="宋体" w:cs="宋体"/>
                <w:kern w:val="0"/>
                <w:sz w:val="24"/>
              </w:rPr>
            </w:pPr>
          </w:p>
        </w:tc>
      </w:tr>
      <w:tr>
        <w:tblPrEx>
          <w:tblCellMar>
            <w:top w:w="0" w:type="dxa"/>
            <w:left w:w="108" w:type="dxa"/>
            <w:bottom w:w="0" w:type="dxa"/>
            <w:right w:w="108" w:type="dxa"/>
          </w:tblCellMar>
        </w:tblPrEx>
        <w:trPr>
          <w:trHeight w:val="510" w:hRule="atLeast"/>
          <w:jc w:val="center"/>
        </w:trPr>
        <w:tc>
          <w:tcPr>
            <w:tcW w:w="866" w:type="dxa"/>
            <w:tcBorders>
              <w:top w:val="nil"/>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default" w:ascii="宋体" w:hAnsi="宋体" w:cs="宋体"/>
                <w:b/>
                <w:bCs/>
                <w:kern w:val="0"/>
                <w:sz w:val="24"/>
              </w:rPr>
            </w:pPr>
          </w:p>
        </w:tc>
        <w:tc>
          <w:tcPr>
            <w:tcW w:w="1544"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宋体" w:hAnsi="宋体" w:cs="宋体"/>
                <w:kern w:val="0"/>
                <w:sz w:val="24"/>
              </w:rPr>
            </w:pPr>
          </w:p>
        </w:tc>
        <w:tc>
          <w:tcPr>
            <w:tcW w:w="834"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default" w:ascii="宋体" w:hAnsi="宋体" w:cs="宋体"/>
                <w:kern w:val="0"/>
                <w:sz w:val="24"/>
              </w:rPr>
            </w:pPr>
          </w:p>
        </w:tc>
        <w:tc>
          <w:tcPr>
            <w:tcW w:w="833"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default" w:ascii="宋体" w:hAnsi="宋体" w:cs="宋体"/>
                <w:kern w:val="0"/>
                <w:sz w:val="24"/>
              </w:rPr>
            </w:pPr>
          </w:p>
        </w:tc>
        <w:tc>
          <w:tcPr>
            <w:tcW w:w="1333"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default" w:ascii="宋体" w:hAnsi="宋体" w:cs="宋体"/>
                <w:kern w:val="0"/>
                <w:sz w:val="24"/>
              </w:rPr>
            </w:pPr>
          </w:p>
        </w:tc>
        <w:tc>
          <w:tcPr>
            <w:tcW w:w="1311"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default" w:ascii="宋体" w:hAnsi="宋体" w:cs="宋体"/>
                <w:kern w:val="0"/>
                <w:sz w:val="24"/>
              </w:rPr>
            </w:pPr>
          </w:p>
        </w:tc>
        <w:tc>
          <w:tcPr>
            <w:tcW w:w="1234"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default" w:ascii="宋体" w:hAnsi="宋体" w:cs="宋体"/>
                <w:kern w:val="0"/>
                <w:sz w:val="24"/>
              </w:rPr>
            </w:pPr>
          </w:p>
        </w:tc>
        <w:tc>
          <w:tcPr>
            <w:tcW w:w="777"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default" w:ascii="宋体" w:hAnsi="宋体" w:cs="宋体"/>
                <w:kern w:val="0"/>
                <w:sz w:val="24"/>
              </w:rPr>
            </w:pPr>
          </w:p>
        </w:tc>
        <w:tc>
          <w:tcPr>
            <w:tcW w:w="807"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default" w:ascii="宋体" w:hAnsi="宋体" w:cs="宋体"/>
                <w:kern w:val="0"/>
                <w:sz w:val="24"/>
              </w:rPr>
            </w:pPr>
          </w:p>
        </w:tc>
      </w:tr>
      <w:tr>
        <w:tblPrEx>
          <w:tblCellMar>
            <w:top w:w="0" w:type="dxa"/>
            <w:left w:w="108" w:type="dxa"/>
            <w:bottom w:w="0" w:type="dxa"/>
            <w:right w:w="108" w:type="dxa"/>
          </w:tblCellMar>
        </w:tblPrEx>
        <w:trPr>
          <w:trHeight w:val="510" w:hRule="atLeast"/>
          <w:jc w:val="center"/>
        </w:trPr>
        <w:tc>
          <w:tcPr>
            <w:tcW w:w="866" w:type="dxa"/>
            <w:tcBorders>
              <w:top w:val="nil"/>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default" w:ascii="宋体" w:hAnsi="宋体" w:cs="宋体"/>
                <w:b/>
                <w:bCs/>
                <w:kern w:val="0"/>
                <w:sz w:val="24"/>
              </w:rPr>
            </w:pPr>
          </w:p>
        </w:tc>
        <w:tc>
          <w:tcPr>
            <w:tcW w:w="1544"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宋体" w:hAnsi="宋体" w:cs="宋体"/>
                <w:kern w:val="0"/>
                <w:sz w:val="24"/>
              </w:rPr>
            </w:pPr>
          </w:p>
        </w:tc>
        <w:tc>
          <w:tcPr>
            <w:tcW w:w="834"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default" w:ascii="宋体" w:hAnsi="宋体" w:cs="宋体"/>
                <w:kern w:val="0"/>
                <w:sz w:val="24"/>
              </w:rPr>
            </w:pPr>
          </w:p>
        </w:tc>
        <w:tc>
          <w:tcPr>
            <w:tcW w:w="833"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default" w:ascii="宋体" w:hAnsi="宋体" w:cs="宋体"/>
                <w:kern w:val="0"/>
                <w:sz w:val="24"/>
              </w:rPr>
            </w:pPr>
          </w:p>
        </w:tc>
        <w:tc>
          <w:tcPr>
            <w:tcW w:w="1333"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default" w:ascii="宋体" w:hAnsi="宋体" w:cs="宋体"/>
                <w:kern w:val="0"/>
                <w:sz w:val="24"/>
              </w:rPr>
            </w:pPr>
          </w:p>
        </w:tc>
        <w:tc>
          <w:tcPr>
            <w:tcW w:w="1311"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default" w:ascii="宋体" w:hAnsi="宋体" w:cs="宋体"/>
                <w:kern w:val="0"/>
                <w:sz w:val="24"/>
              </w:rPr>
            </w:pPr>
          </w:p>
        </w:tc>
        <w:tc>
          <w:tcPr>
            <w:tcW w:w="1234"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default" w:ascii="宋体" w:hAnsi="宋体" w:cs="宋体"/>
                <w:kern w:val="0"/>
                <w:sz w:val="24"/>
              </w:rPr>
            </w:pPr>
          </w:p>
        </w:tc>
        <w:tc>
          <w:tcPr>
            <w:tcW w:w="777"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default" w:ascii="宋体" w:hAnsi="宋体" w:cs="宋体"/>
                <w:kern w:val="0"/>
                <w:sz w:val="24"/>
              </w:rPr>
            </w:pPr>
          </w:p>
        </w:tc>
        <w:tc>
          <w:tcPr>
            <w:tcW w:w="807"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default" w:ascii="宋体" w:hAnsi="宋体" w:cs="宋体"/>
                <w:kern w:val="0"/>
                <w:sz w:val="24"/>
              </w:rPr>
            </w:pPr>
          </w:p>
        </w:tc>
      </w:tr>
      <w:tr>
        <w:tblPrEx>
          <w:tblCellMar>
            <w:top w:w="0" w:type="dxa"/>
            <w:left w:w="108" w:type="dxa"/>
            <w:bottom w:w="0" w:type="dxa"/>
            <w:right w:w="108" w:type="dxa"/>
          </w:tblCellMar>
        </w:tblPrEx>
        <w:trPr>
          <w:trHeight w:val="510" w:hRule="atLeast"/>
          <w:jc w:val="center"/>
        </w:trPr>
        <w:tc>
          <w:tcPr>
            <w:tcW w:w="866" w:type="dxa"/>
            <w:tcBorders>
              <w:top w:val="nil"/>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default" w:ascii="宋体" w:hAnsi="宋体" w:cs="宋体"/>
                <w:b/>
                <w:bCs/>
                <w:kern w:val="0"/>
                <w:sz w:val="24"/>
              </w:rPr>
            </w:pPr>
          </w:p>
        </w:tc>
        <w:tc>
          <w:tcPr>
            <w:tcW w:w="1544"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宋体" w:hAnsi="宋体" w:cs="宋体"/>
                <w:kern w:val="0"/>
                <w:sz w:val="24"/>
              </w:rPr>
            </w:pPr>
          </w:p>
        </w:tc>
        <w:tc>
          <w:tcPr>
            <w:tcW w:w="834"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default" w:ascii="宋体" w:hAnsi="宋体" w:cs="宋体"/>
                <w:kern w:val="0"/>
                <w:sz w:val="24"/>
              </w:rPr>
            </w:pPr>
          </w:p>
        </w:tc>
        <w:tc>
          <w:tcPr>
            <w:tcW w:w="833"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default" w:ascii="宋体" w:hAnsi="宋体" w:cs="宋体"/>
                <w:kern w:val="0"/>
                <w:sz w:val="24"/>
              </w:rPr>
            </w:pPr>
          </w:p>
        </w:tc>
        <w:tc>
          <w:tcPr>
            <w:tcW w:w="1333"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default" w:ascii="宋体" w:hAnsi="宋体" w:cs="宋体"/>
                <w:kern w:val="0"/>
                <w:sz w:val="24"/>
              </w:rPr>
            </w:pPr>
          </w:p>
        </w:tc>
        <w:tc>
          <w:tcPr>
            <w:tcW w:w="1311"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default" w:ascii="宋体" w:hAnsi="宋体" w:cs="宋体"/>
                <w:kern w:val="0"/>
                <w:sz w:val="24"/>
              </w:rPr>
            </w:pPr>
          </w:p>
        </w:tc>
        <w:tc>
          <w:tcPr>
            <w:tcW w:w="1234"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default" w:ascii="宋体" w:hAnsi="宋体" w:cs="宋体"/>
                <w:kern w:val="0"/>
                <w:sz w:val="24"/>
              </w:rPr>
            </w:pPr>
          </w:p>
        </w:tc>
        <w:tc>
          <w:tcPr>
            <w:tcW w:w="777"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default" w:ascii="宋体" w:hAnsi="宋体" w:cs="宋体"/>
                <w:kern w:val="0"/>
                <w:sz w:val="24"/>
              </w:rPr>
            </w:pPr>
          </w:p>
        </w:tc>
        <w:tc>
          <w:tcPr>
            <w:tcW w:w="807"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default" w:ascii="宋体" w:hAnsi="宋体" w:cs="宋体"/>
                <w:kern w:val="0"/>
                <w:sz w:val="24"/>
              </w:rPr>
            </w:pPr>
          </w:p>
        </w:tc>
      </w:tr>
      <w:tr>
        <w:tblPrEx>
          <w:tblCellMar>
            <w:top w:w="0" w:type="dxa"/>
            <w:left w:w="108" w:type="dxa"/>
            <w:bottom w:w="0" w:type="dxa"/>
            <w:right w:w="108" w:type="dxa"/>
          </w:tblCellMar>
        </w:tblPrEx>
        <w:trPr>
          <w:trHeight w:val="510" w:hRule="atLeast"/>
          <w:jc w:val="center"/>
        </w:trPr>
        <w:tc>
          <w:tcPr>
            <w:tcW w:w="866" w:type="dxa"/>
            <w:tcBorders>
              <w:top w:val="nil"/>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default" w:ascii="宋体" w:hAnsi="宋体" w:cs="宋体"/>
                <w:b/>
                <w:bCs/>
                <w:kern w:val="0"/>
                <w:sz w:val="24"/>
              </w:rPr>
            </w:pPr>
          </w:p>
        </w:tc>
        <w:tc>
          <w:tcPr>
            <w:tcW w:w="1544"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宋体" w:hAnsi="宋体" w:cs="宋体"/>
                <w:kern w:val="0"/>
                <w:sz w:val="24"/>
              </w:rPr>
            </w:pPr>
          </w:p>
        </w:tc>
        <w:tc>
          <w:tcPr>
            <w:tcW w:w="834"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default" w:ascii="宋体" w:hAnsi="宋体" w:cs="宋体"/>
                <w:kern w:val="0"/>
                <w:sz w:val="24"/>
              </w:rPr>
            </w:pPr>
          </w:p>
        </w:tc>
        <w:tc>
          <w:tcPr>
            <w:tcW w:w="833"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default" w:ascii="宋体" w:hAnsi="宋体" w:cs="宋体"/>
                <w:kern w:val="0"/>
                <w:sz w:val="24"/>
              </w:rPr>
            </w:pPr>
          </w:p>
        </w:tc>
        <w:tc>
          <w:tcPr>
            <w:tcW w:w="1333"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default" w:ascii="宋体" w:hAnsi="宋体" w:cs="宋体"/>
                <w:kern w:val="0"/>
                <w:sz w:val="24"/>
              </w:rPr>
            </w:pPr>
          </w:p>
        </w:tc>
        <w:tc>
          <w:tcPr>
            <w:tcW w:w="1311"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default" w:ascii="宋体" w:hAnsi="宋体" w:cs="宋体"/>
                <w:kern w:val="0"/>
                <w:sz w:val="24"/>
              </w:rPr>
            </w:pPr>
          </w:p>
        </w:tc>
        <w:tc>
          <w:tcPr>
            <w:tcW w:w="1234"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default" w:ascii="宋体" w:hAnsi="宋体" w:cs="宋体"/>
                <w:kern w:val="0"/>
                <w:sz w:val="24"/>
              </w:rPr>
            </w:pPr>
          </w:p>
        </w:tc>
        <w:tc>
          <w:tcPr>
            <w:tcW w:w="777"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default" w:ascii="宋体" w:hAnsi="宋体" w:cs="宋体"/>
                <w:kern w:val="0"/>
                <w:sz w:val="24"/>
              </w:rPr>
            </w:pPr>
          </w:p>
        </w:tc>
        <w:tc>
          <w:tcPr>
            <w:tcW w:w="807"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default" w:ascii="宋体" w:hAnsi="宋体" w:cs="宋体"/>
                <w:kern w:val="0"/>
                <w:sz w:val="24"/>
              </w:rPr>
            </w:pPr>
          </w:p>
        </w:tc>
      </w:tr>
      <w:tr>
        <w:tblPrEx>
          <w:tblCellMar>
            <w:top w:w="0" w:type="dxa"/>
            <w:left w:w="108" w:type="dxa"/>
            <w:bottom w:w="0" w:type="dxa"/>
            <w:right w:w="108" w:type="dxa"/>
          </w:tblCellMar>
        </w:tblPrEx>
        <w:trPr>
          <w:trHeight w:val="510" w:hRule="atLeast"/>
          <w:jc w:val="center"/>
        </w:trPr>
        <w:tc>
          <w:tcPr>
            <w:tcW w:w="866" w:type="dxa"/>
            <w:tcBorders>
              <w:top w:val="nil"/>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default" w:ascii="宋体" w:hAnsi="宋体" w:cs="宋体"/>
                <w:b/>
                <w:bCs/>
                <w:kern w:val="0"/>
                <w:sz w:val="24"/>
              </w:rPr>
            </w:pPr>
          </w:p>
        </w:tc>
        <w:tc>
          <w:tcPr>
            <w:tcW w:w="1544"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宋体" w:hAnsi="宋体" w:cs="宋体"/>
                <w:kern w:val="0"/>
                <w:sz w:val="24"/>
              </w:rPr>
            </w:pPr>
          </w:p>
        </w:tc>
        <w:tc>
          <w:tcPr>
            <w:tcW w:w="834"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default" w:ascii="宋体" w:hAnsi="宋体" w:cs="宋体"/>
                <w:kern w:val="0"/>
                <w:sz w:val="24"/>
              </w:rPr>
            </w:pPr>
          </w:p>
        </w:tc>
        <w:tc>
          <w:tcPr>
            <w:tcW w:w="833"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default" w:ascii="宋体" w:hAnsi="宋体" w:cs="宋体"/>
                <w:kern w:val="0"/>
                <w:sz w:val="24"/>
              </w:rPr>
            </w:pPr>
          </w:p>
        </w:tc>
        <w:tc>
          <w:tcPr>
            <w:tcW w:w="1333"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default" w:ascii="宋体" w:hAnsi="宋体" w:cs="宋体"/>
                <w:kern w:val="0"/>
                <w:sz w:val="24"/>
              </w:rPr>
            </w:pPr>
          </w:p>
        </w:tc>
        <w:tc>
          <w:tcPr>
            <w:tcW w:w="1311"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default" w:ascii="宋体" w:hAnsi="宋体" w:cs="宋体"/>
                <w:kern w:val="0"/>
                <w:sz w:val="24"/>
              </w:rPr>
            </w:pPr>
          </w:p>
        </w:tc>
        <w:tc>
          <w:tcPr>
            <w:tcW w:w="1234"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default" w:ascii="宋体" w:hAnsi="宋体" w:cs="宋体"/>
                <w:kern w:val="0"/>
                <w:sz w:val="24"/>
              </w:rPr>
            </w:pPr>
          </w:p>
        </w:tc>
        <w:tc>
          <w:tcPr>
            <w:tcW w:w="777"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default" w:ascii="宋体" w:hAnsi="宋体" w:cs="宋体"/>
                <w:kern w:val="0"/>
                <w:sz w:val="24"/>
              </w:rPr>
            </w:pPr>
          </w:p>
        </w:tc>
        <w:tc>
          <w:tcPr>
            <w:tcW w:w="807"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default" w:ascii="宋体" w:hAnsi="宋体" w:cs="宋体"/>
                <w:kern w:val="0"/>
                <w:sz w:val="24"/>
              </w:rPr>
            </w:pPr>
          </w:p>
        </w:tc>
      </w:tr>
      <w:tr>
        <w:tblPrEx>
          <w:tblCellMar>
            <w:top w:w="0" w:type="dxa"/>
            <w:left w:w="108" w:type="dxa"/>
            <w:bottom w:w="0" w:type="dxa"/>
            <w:right w:w="108" w:type="dxa"/>
          </w:tblCellMar>
        </w:tblPrEx>
        <w:trPr>
          <w:trHeight w:val="510" w:hRule="atLeast"/>
          <w:jc w:val="center"/>
        </w:trPr>
        <w:tc>
          <w:tcPr>
            <w:tcW w:w="866"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default" w:ascii="宋体" w:hAnsi="宋体" w:cs="宋体"/>
                <w:b/>
                <w:bCs/>
                <w:kern w:val="0"/>
                <w:sz w:val="24"/>
              </w:rPr>
            </w:pPr>
          </w:p>
        </w:tc>
        <w:tc>
          <w:tcPr>
            <w:tcW w:w="1544" w:type="dxa"/>
            <w:tcBorders>
              <w:top w:val="nil"/>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宋体" w:hAnsi="宋体" w:cs="宋体"/>
                <w:kern w:val="0"/>
                <w:sz w:val="24"/>
              </w:rPr>
            </w:pPr>
          </w:p>
        </w:tc>
        <w:tc>
          <w:tcPr>
            <w:tcW w:w="834"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default" w:ascii="宋体" w:hAnsi="宋体" w:cs="宋体"/>
                <w:kern w:val="0"/>
                <w:sz w:val="24"/>
              </w:rPr>
            </w:pPr>
          </w:p>
        </w:tc>
        <w:tc>
          <w:tcPr>
            <w:tcW w:w="833"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default" w:ascii="宋体" w:hAnsi="宋体" w:cs="宋体"/>
                <w:kern w:val="0"/>
                <w:sz w:val="24"/>
              </w:rPr>
            </w:pPr>
          </w:p>
        </w:tc>
        <w:tc>
          <w:tcPr>
            <w:tcW w:w="1333"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default" w:ascii="宋体" w:hAnsi="宋体" w:cs="宋体"/>
                <w:kern w:val="0"/>
                <w:sz w:val="24"/>
              </w:rPr>
            </w:pPr>
          </w:p>
        </w:tc>
        <w:tc>
          <w:tcPr>
            <w:tcW w:w="1311"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default" w:ascii="宋体" w:hAnsi="宋体" w:cs="宋体"/>
                <w:kern w:val="0"/>
                <w:sz w:val="24"/>
              </w:rPr>
            </w:pPr>
          </w:p>
        </w:tc>
        <w:tc>
          <w:tcPr>
            <w:tcW w:w="1234"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default" w:ascii="宋体" w:hAnsi="宋体" w:cs="宋体"/>
                <w:kern w:val="0"/>
                <w:sz w:val="24"/>
              </w:rPr>
            </w:pPr>
          </w:p>
        </w:tc>
        <w:tc>
          <w:tcPr>
            <w:tcW w:w="777"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default" w:ascii="宋体" w:hAnsi="宋体" w:cs="宋体"/>
                <w:kern w:val="0"/>
                <w:sz w:val="24"/>
              </w:rPr>
            </w:pPr>
          </w:p>
        </w:tc>
        <w:tc>
          <w:tcPr>
            <w:tcW w:w="807"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default" w:ascii="宋体" w:hAnsi="宋体" w:cs="宋体"/>
                <w:kern w:val="0"/>
                <w:sz w:val="24"/>
              </w:rPr>
            </w:pPr>
          </w:p>
        </w:tc>
      </w:tr>
      <w:tr>
        <w:tblPrEx>
          <w:tblCellMar>
            <w:top w:w="0" w:type="dxa"/>
            <w:left w:w="108" w:type="dxa"/>
            <w:bottom w:w="0" w:type="dxa"/>
            <w:right w:w="108" w:type="dxa"/>
          </w:tblCellMar>
        </w:tblPrEx>
        <w:trPr>
          <w:trHeight w:val="510" w:hRule="atLeast"/>
          <w:jc w:val="center"/>
        </w:trPr>
        <w:tc>
          <w:tcPr>
            <w:tcW w:w="866"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default" w:ascii="宋体" w:hAnsi="宋体" w:cs="宋体"/>
                <w:b/>
                <w:bCs/>
                <w:kern w:val="0"/>
                <w:sz w:val="24"/>
              </w:rPr>
            </w:pPr>
          </w:p>
        </w:tc>
        <w:tc>
          <w:tcPr>
            <w:tcW w:w="1544" w:type="dxa"/>
            <w:tcBorders>
              <w:top w:val="nil"/>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宋体" w:hAnsi="宋体" w:cs="宋体"/>
                <w:kern w:val="0"/>
                <w:sz w:val="24"/>
              </w:rPr>
            </w:pPr>
          </w:p>
        </w:tc>
        <w:tc>
          <w:tcPr>
            <w:tcW w:w="834"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default" w:ascii="宋体" w:hAnsi="宋体" w:cs="宋体"/>
                <w:kern w:val="0"/>
                <w:sz w:val="24"/>
              </w:rPr>
            </w:pPr>
          </w:p>
        </w:tc>
        <w:tc>
          <w:tcPr>
            <w:tcW w:w="833"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default" w:ascii="宋体" w:hAnsi="宋体" w:cs="宋体"/>
                <w:kern w:val="0"/>
                <w:sz w:val="24"/>
              </w:rPr>
            </w:pPr>
          </w:p>
        </w:tc>
        <w:tc>
          <w:tcPr>
            <w:tcW w:w="1333"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default" w:ascii="宋体" w:hAnsi="宋体" w:cs="宋体"/>
                <w:kern w:val="0"/>
                <w:sz w:val="24"/>
              </w:rPr>
            </w:pPr>
          </w:p>
        </w:tc>
        <w:tc>
          <w:tcPr>
            <w:tcW w:w="1311"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default" w:ascii="宋体" w:hAnsi="宋体" w:cs="宋体"/>
                <w:kern w:val="0"/>
                <w:sz w:val="24"/>
              </w:rPr>
            </w:pPr>
          </w:p>
        </w:tc>
        <w:tc>
          <w:tcPr>
            <w:tcW w:w="1234"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default" w:ascii="宋体" w:hAnsi="宋体" w:cs="宋体"/>
                <w:kern w:val="0"/>
                <w:sz w:val="24"/>
              </w:rPr>
            </w:pPr>
          </w:p>
        </w:tc>
        <w:tc>
          <w:tcPr>
            <w:tcW w:w="777"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default" w:ascii="宋体" w:hAnsi="宋体" w:cs="宋体"/>
                <w:kern w:val="0"/>
                <w:sz w:val="24"/>
              </w:rPr>
            </w:pPr>
          </w:p>
        </w:tc>
        <w:tc>
          <w:tcPr>
            <w:tcW w:w="807"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default" w:ascii="宋体" w:hAnsi="宋体" w:cs="宋体"/>
                <w:kern w:val="0"/>
                <w:sz w:val="24"/>
              </w:rPr>
            </w:pPr>
          </w:p>
        </w:tc>
      </w:tr>
      <w:tr>
        <w:tblPrEx>
          <w:tblCellMar>
            <w:top w:w="0" w:type="dxa"/>
            <w:left w:w="108" w:type="dxa"/>
            <w:bottom w:w="0" w:type="dxa"/>
            <w:right w:w="108" w:type="dxa"/>
          </w:tblCellMar>
        </w:tblPrEx>
        <w:trPr>
          <w:trHeight w:val="510" w:hRule="atLeast"/>
          <w:jc w:val="center"/>
        </w:trPr>
        <w:tc>
          <w:tcPr>
            <w:tcW w:w="866"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default" w:ascii="宋体" w:hAnsi="宋体" w:cs="宋体"/>
                <w:b/>
                <w:bCs/>
                <w:kern w:val="0"/>
                <w:sz w:val="24"/>
              </w:rPr>
            </w:pPr>
          </w:p>
        </w:tc>
        <w:tc>
          <w:tcPr>
            <w:tcW w:w="1544" w:type="dxa"/>
            <w:tcBorders>
              <w:top w:val="nil"/>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宋体" w:hAnsi="宋体" w:cs="宋体"/>
                <w:kern w:val="0"/>
                <w:sz w:val="24"/>
              </w:rPr>
            </w:pPr>
          </w:p>
        </w:tc>
        <w:tc>
          <w:tcPr>
            <w:tcW w:w="834"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default" w:ascii="宋体" w:hAnsi="宋体" w:cs="宋体"/>
                <w:kern w:val="0"/>
                <w:sz w:val="24"/>
              </w:rPr>
            </w:pPr>
          </w:p>
        </w:tc>
        <w:tc>
          <w:tcPr>
            <w:tcW w:w="833"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default" w:ascii="宋体" w:hAnsi="宋体" w:cs="宋体"/>
                <w:kern w:val="0"/>
                <w:sz w:val="24"/>
              </w:rPr>
            </w:pPr>
          </w:p>
        </w:tc>
        <w:tc>
          <w:tcPr>
            <w:tcW w:w="1333"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default" w:ascii="宋体" w:hAnsi="宋体" w:cs="宋体"/>
                <w:kern w:val="0"/>
                <w:sz w:val="24"/>
              </w:rPr>
            </w:pPr>
          </w:p>
        </w:tc>
        <w:tc>
          <w:tcPr>
            <w:tcW w:w="1311"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default" w:ascii="宋体" w:hAnsi="宋体" w:cs="宋体"/>
                <w:kern w:val="0"/>
                <w:sz w:val="24"/>
              </w:rPr>
            </w:pPr>
          </w:p>
        </w:tc>
        <w:tc>
          <w:tcPr>
            <w:tcW w:w="1234"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default" w:ascii="宋体" w:hAnsi="宋体" w:cs="宋体"/>
                <w:kern w:val="0"/>
                <w:sz w:val="24"/>
              </w:rPr>
            </w:pPr>
          </w:p>
        </w:tc>
        <w:tc>
          <w:tcPr>
            <w:tcW w:w="777"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default" w:ascii="宋体" w:hAnsi="宋体" w:cs="宋体"/>
                <w:kern w:val="0"/>
                <w:sz w:val="24"/>
              </w:rPr>
            </w:pPr>
          </w:p>
        </w:tc>
        <w:tc>
          <w:tcPr>
            <w:tcW w:w="807"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default" w:ascii="宋体" w:hAnsi="宋体" w:cs="宋体"/>
                <w:kern w:val="0"/>
                <w:sz w:val="24"/>
              </w:rPr>
            </w:pPr>
          </w:p>
        </w:tc>
      </w:tr>
      <w:tr>
        <w:tblPrEx>
          <w:tblCellMar>
            <w:top w:w="0" w:type="dxa"/>
            <w:left w:w="108" w:type="dxa"/>
            <w:bottom w:w="0" w:type="dxa"/>
            <w:right w:w="108" w:type="dxa"/>
          </w:tblCellMar>
        </w:tblPrEx>
        <w:trPr>
          <w:trHeight w:val="510" w:hRule="atLeast"/>
          <w:jc w:val="center"/>
        </w:trPr>
        <w:tc>
          <w:tcPr>
            <w:tcW w:w="866"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default" w:ascii="宋体" w:hAnsi="宋体" w:cs="宋体"/>
                <w:b/>
                <w:bCs/>
                <w:kern w:val="0"/>
                <w:sz w:val="24"/>
              </w:rPr>
            </w:pPr>
          </w:p>
        </w:tc>
        <w:tc>
          <w:tcPr>
            <w:tcW w:w="1544"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宋体" w:hAnsi="宋体" w:cs="宋体"/>
                <w:kern w:val="0"/>
                <w:sz w:val="24"/>
              </w:rPr>
            </w:pPr>
          </w:p>
        </w:tc>
        <w:tc>
          <w:tcPr>
            <w:tcW w:w="834"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default" w:ascii="宋体" w:hAnsi="宋体" w:cs="宋体"/>
                <w:kern w:val="0"/>
                <w:sz w:val="24"/>
              </w:rPr>
            </w:pPr>
          </w:p>
        </w:tc>
        <w:tc>
          <w:tcPr>
            <w:tcW w:w="83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default" w:ascii="宋体" w:hAnsi="宋体" w:cs="宋体"/>
                <w:kern w:val="0"/>
                <w:sz w:val="24"/>
              </w:rPr>
            </w:pPr>
          </w:p>
        </w:tc>
        <w:tc>
          <w:tcPr>
            <w:tcW w:w="133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default" w:ascii="宋体" w:hAnsi="宋体" w:cs="宋体"/>
                <w:kern w:val="0"/>
                <w:sz w:val="24"/>
              </w:rPr>
            </w:pPr>
          </w:p>
        </w:tc>
        <w:tc>
          <w:tcPr>
            <w:tcW w:w="1311"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default" w:ascii="宋体" w:hAnsi="宋体" w:cs="宋体"/>
                <w:kern w:val="0"/>
                <w:sz w:val="24"/>
              </w:rPr>
            </w:pPr>
          </w:p>
        </w:tc>
        <w:tc>
          <w:tcPr>
            <w:tcW w:w="1234"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default" w:ascii="宋体" w:hAnsi="宋体" w:cs="宋体"/>
                <w:kern w:val="0"/>
                <w:sz w:val="24"/>
              </w:rPr>
            </w:pPr>
          </w:p>
        </w:tc>
        <w:tc>
          <w:tcPr>
            <w:tcW w:w="77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default" w:ascii="宋体" w:hAnsi="宋体" w:cs="宋体"/>
                <w:kern w:val="0"/>
                <w:sz w:val="24"/>
              </w:rPr>
            </w:pPr>
          </w:p>
        </w:tc>
        <w:tc>
          <w:tcPr>
            <w:tcW w:w="80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default" w:ascii="宋体" w:hAnsi="宋体" w:cs="宋体"/>
                <w:kern w:val="0"/>
                <w:sz w:val="24"/>
              </w:rPr>
            </w:pPr>
          </w:p>
        </w:tc>
      </w:tr>
      <w:tr>
        <w:tblPrEx>
          <w:tblCellMar>
            <w:top w:w="0" w:type="dxa"/>
            <w:left w:w="108" w:type="dxa"/>
            <w:bottom w:w="0" w:type="dxa"/>
            <w:right w:w="108" w:type="dxa"/>
          </w:tblCellMar>
        </w:tblPrEx>
        <w:trPr>
          <w:trHeight w:val="510" w:hRule="atLeast"/>
          <w:jc w:val="center"/>
        </w:trPr>
        <w:tc>
          <w:tcPr>
            <w:tcW w:w="866"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default" w:ascii="宋体" w:hAnsi="宋体" w:cs="宋体"/>
                <w:b/>
                <w:bCs/>
                <w:kern w:val="0"/>
                <w:sz w:val="24"/>
              </w:rPr>
            </w:pPr>
          </w:p>
        </w:tc>
        <w:tc>
          <w:tcPr>
            <w:tcW w:w="1544"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宋体" w:hAnsi="宋体" w:cs="宋体"/>
                <w:kern w:val="0"/>
                <w:sz w:val="24"/>
              </w:rPr>
            </w:pPr>
          </w:p>
        </w:tc>
        <w:tc>
          <w:tcPr>
            <w:tcW w:w="834"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default" w:ascii="宋体" w:hAnsi="宋体" w:cs="宋体"/>
                <w:kern w:val="0"/>
                <w:sz w:val="24"/>
              </w:rPr>
            </w:pPr>
          </w:p>
        </w:tc>
        <w:tc>
          <w:tcPr>
            <w:tcW w:w="83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default" w:ascii="宋体" w:hAnsi="宋体" w:cs="宋体"/>
                <w:kern w:val="0"/>
                <w:sz w:val="24"/>
              </w:rPr>
            </w:pPr>
          </w:p>
        </w:tc>
        <w:tc>
          <w:tcPr>
            <w:tcW w:w="133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default" w:ascii="宋体" w:hAnsi="宋体" w:cs="宋体"/>
                <w:kern w:val="0"/>
                <w:sz w:val="24"/>
              </w:rPr>
            </w:pPr>
          </w:p>
        </w:tc>
        <w:tc>
          <w:tcPr>
            <w:tcW w:w="1311"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default" w:ascii="宋体" w:hAnsi="宋体" w:cs="宋体"/>
                <w:kern w:val="0"/>
                <w:sz w:val="24"/>
              </w:rPr>
            </w:pPr>
          </w:p>
        </w:tc>
        <w:tc>
          <w:tcPr>
            <w:tcW w:w="1234"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default" w:ascii="宋体" w:hAnsi="宋体" w:cs="宋体"/>
                <w:kern w:val="0"/>
                <w:sz w:val="24"/>
              </w:rPr>
            </w:pPr>
          </w:p>
        </w:tc>
        <w:tc>
          <w:tcPr>
            <w:tcW w:w="77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default" w:ascii="宋体" w:hAnsi="宋体" w:cs="宋体"/>
                <w:kern w:val="0"/>
                <w:sz w:val="24"/>
              </w:rPr>
            </w:pPr>
          </w:p>
        </w:tc>
        <w:tc>
          <w:tcPr>
            <w:tcW w:w="80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default" w:ascii="宋体" w:hAnsi="宋体" w:cs="宋体"/>
                <w:kern w:val="0"/>
                <w:sz w:val="24"/>
              </w:rPr>
            </w:pPr>
          </w:p>
        </w:tc>
      </w:tr>
      <w:tr>
        <w:tblPrEx>
          <w:tblCellMar>
            <w:top w:w="0" w:type="dxa"/>
            <w:left w:w="108" w:type="dxa"/>
            <w:bottom w:w="0" w:type="dxa"/>
            <w:right w:w="108" w:type="dxa"/>
          </w:tblCellMar>
        </w:tblPrEx>
        <w:trPr>
          <w:trHeight w:val="510" w:hRule="atLeast"/>
          <w:jc w:val="center"/>
        </w:trPr>
        <w:tc>
          <w:tcPr>
            <w:tcW w:w="9539" w:type="dxa"/>
            <w:gridSpan w:val="9"/>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rPr>
                <w:rFonts w:hint="default" w:ascii="宋体" w:hAnsi="宋体" w:cs="宋体"/>
                <w:kern w:val="0"/>
                <w:sz w:val="24"/>
              </w:rPr>
            </w:pPr>
            <w:r>
              <w:rPr>
                <w:rFonts w:hint="eastAsia" w:ascii="宋体" w:hAnsi="宋体" w:cs="宋体"/>
                <w:kern w:val="0"/>
                <w:sz w:val="24"/>
              </w:rPr>
              <w:t>合计:大写：</w:t>
            </w:r>
            <w:r>
              <w:rPr>
                <w:rFonts w:hint="eastAsia" w:ascii="宋体" w:hAnsi="宋体" w:cs="宋体"/>
                <w:kern w:val="0"/>
                <w:sz w:val="24"/>
                <w:u w:val="single"/>
              </w:rPr>
              <w:t xml:space="preserve">                  </w:t>
            </w:r>
            <w:r>
              <w:rPr>
                <w:rFonts w:hint="eastAsia" w:ascii="宋体" w:hAnsi="宋体" w:cs="宋体"/>
                <w:kern w:val="0"/>
                <w:sz w:val="24"/>
              </w:rPr>
              <w:t xml:space="preserve">  小写：</w:t>
            </w:r>
            <w:r>
              <w:rPr>
                <w:rFonts w:hint="eastAsia" w:ascii="宋体" w:hAnsi="宋体" w:cs="宋体"/>
                <w:kern w:val="0"/>
                <w:sz w:val="24"/>
                <w:u w:val="single"/>
              </w:rPr>
              <w:t xml:space="preserve">              </w:t>
            </w:r>
          </w:p>
        </w:tc>
      </w:tr>
    </w:tbl>
    <w:p>
      <w:pPr>
        <w:pStyle w:val="35"/>
        <w:rPr>
          <w:sz w:val="24"/>
        </w:rPr>
      </w:pPr>
    </w:p>
    <w:p>
      <w:pPr>
        <w:pStyle w:val="35"/>
        <w:rPr>
          <w:sz w:val="24"/>
        </w:rPr>
      </w:pPr>
      <w:r>
        <w:rPr>
          <w:rFonts w:hint="eastAsia"/>
          <w:sz w:val="24"/>
        </w:rPr>
        <w:t>供应商全称（公章）：</w:t>
      </w:r>
    </w:p>
    <w:p>
      <w:pPr>
        <w:pStyle w:val="35"/>
        <w:rPr>
          <w:sz w:val="24"/>
        </w:rPr>
      </w:pPr>
      <w:r>
        <w:rPr>
          <w:rFonts w:hint="eastAsia"/>
          <w:sz w:val="24"/>
        </w:rPr>
        <w:t>法定代表人（非法人组织的负责人）或其授权代表（签章）：</w:t>
      </w:r>
    </w:p>
    <w:p>
      <w:pPr>
        <w:pStyle w:val="35"/>
        <w:rPr>
          <w:rFonts w:hAnsi="宋体"/>
          <w:b/>
        </w:rPr>
      </w:pPr>
      <w:r>
        <w:rPr>
          <w:rFonts w:hint="eastAsia"/>
          <w:sz w:val="24"/>
        </w:rPr>
        <w:t>日     期：</w:t>
      </w:r>
    </w:p>
    <w:p>
      <w:pPr>
        <w:pStyle w:val="11"/>
        <w:spacing w:line="560" w:lineRule="exact"/>
        <w:rPr>
          <w:rFonts w:hAnsi="宋体"/>
          <w:b/>
        </w:rPr>
      </w:pPr>
    </w:p>
    <w:p>
      <w:pPr>
        <w:pStyle w:val="11"/>
        <w:spacing w:line="560" w:lineRule="exact"/>
        <w:rPr>
          <w:rFonts w:hAnsi="宋体"/>
          <w:b/>
        </w:rPr>
      </w:pPr>
    </w:p>
    <w:p>
      <w:pPr>
        <w:spacing w:line="360" w:lineRule="auto"/>
        <w:rPr>
          <w:rStyle w:val="98"/>
          <w:sz w:val="24"/>
          <w:szCs w:val="24"/>
        </w:rPr>
      </w:pPr>
      <w:r>
        <w:rPr>
          <w:rStyle w:val="98"/>
          <w:rFonts w:hint="eastAsia"/>
          <w:sz w:val="24"/>
          <w:szCs w:val="24"/>
        </w:rPr>
        <w:t>10.商务</w:t>
      </w:r>
      <w:r>
        <w:rPr>
          <w:rStyle w:val="98"/>
          <w:rFonts w:hint="eastAsia"/>
          <w:sz w:val="24"/>
          <w:szCs w:val="24"/>
          <w:lang w:eastAsia="zh-CN"/>
        </w:rPr>
        <w:t>条款</w:t>
      </w:r>
      <w:r>
        <w:rPr>
          <w:rStyle w:val="98"/>
          <w:rFonts w:hint="eastAsia"/>
          <w:sz w:val="24"/>
          <w:szCs w:val="24"/>
        </w:rPr>
        <w:t>偏离表</w:t>
      </w:r>
    </w:p>
    <w:p>
      <w:pPr>
        <w:pStyle w:val="35"/>
        <w:tabs>
          <w:tab w:val="center" w:pos="4706"/>
          <w:tab w:val="left" w:pos="6165"/>
        </w:tabs>
        <w:spacing w:line="360" w:lineRule="auto"/>
        <w:jc w:val="center"/>
        <w:rPr>
          <w:rFonts w:hint="eastAsia"/>
          <w:b/>
          <w:bCs/>
          <w:sz w:val="24"/>
        </w:rPr>
      </w:pPr>
      <w:r>
        <w:rPr>
          <w:rFonts w:hint="eastAsia"/>
          <w:b/>
          <w:bCs/>
          <w:sz w:val="24"/>
        </w:rPr>
        <w:t>商务</w:t>
      </w:r>
      <w:r>
        <w:rPr>
          <w:rFonts w:hint="eastAsia"/>
          <w:b/>
          <w:bCs/>
          <w:sz w:val="24"/>
          <w:lang w:eastAsia="zh-CN"/>
        </w:rPr>
        <w:t>条款</w:t>
      </w:r>
      <w:r>
        <w:rPr>
          <w:rFonts w:hint="eastAsia"/>
          <w:b/>
          <w:bCs/>
          <w:sz w:val="24"/>
        </w:rPr>
        <w:t>偏离表</w:t>
      </w:r>
    </w:p>
    <w:tbl>
      <w:tblPr>
        <w:tblStyle w:val="3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1"/>
        <w:gridCol w:w="1338"/>
        <w:gridCol w:w="2333"/>
        <w:gridCol w:w="1334"/>
        <w:gridCol w:w="2150"/>
        <w:gridCol w:w="9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91" w:type="dxa"/>
            <w:vMerge w:val="restart"/>
            <w:vAlign w:val="center"/>
          </w:tcPr>
          <w:p>
            <w:pPr>
              <w:keepNext w:val="0"/>
              <w:keepLines w:val="0"/>
              <w:suppressLineNumbers w:val="0"/>
              <w:spacing w:before="0" w:beforeAutospacing="0" w:after="0" w:afterAutospacing="0"/>
              <w:ind w:left="0" w:right="0"/>
              <w:jc w:val="center"/>
              <w:rPr>
                <w:rFonts w:hint="eastAsia" w:eastAsia="宋体"/>
                <w:sz w:val="24"/>
                <w:szCs w:val="24"/>
                <w:vertAlign w:val="baseline"/>
                <w:lang w:eastAsia="zh-CN"/>
              </w:rPr>
            </w:pPr>
            <w:r>
              <w:rPr>
                <w:rFonts w:hint="eastAsia"/>
                <w:sz w:val="24"/>
                <w:szCs w:val="24"/>
                <w:vertAlign w:val="baseline"/>
                <w:lang w:eastAsia="zh-CN"/>
              </w:rPr>
              <w:t>序号</w:t>
            </w:r>
          </w:p>
        </w:tc>
        <w:tc>
          <w:tcPr>
            <w:tcW w:w="3671" w:type="dxa"/>
            <w:gridSpan w:val="2"/>
            <w:vAlign w:val="center"/>
          </w:tcPr>
          <w:p>
            <w:pPr>
              <w:keepNext w:val="0"/>
              <w:keepLines w:val="0"/>
              <w:suppressLineNumbers w:val="0"/>
              <w:spacing w:before="0" w:beforeAutospacing="0" w:after="0" w:afterAutospacing="0"/>
              <w:ind w:left="0" w:right="0"/>
              <w:jc w:val="center"/>
              <w:rPr>
                <w:rFonts w:hint="default"/>
                <w:sz w:val="24"/>
                <w:szCs w:val="24"/>
                <w:vertAlign w:val="baseline"/>
              </w:rPr>
            </w:pPr>
            <w:r>
              <w:rPr>
                <w:rFonts w:hint="eastAsia"/>
                <w:sz w:val="24"/>
                <w:szCs w:val="24"/>
                <w:vertAlign w:val="baseline"/>
                <w:lang w:eastAsia="zh-CN"/>
              </w:rPr>
              <w:t>招标文件条款</w:t>
            </w:r>
          </w:p>
        </w:tc>
        <w:tc>
          <w:tcPr>
            <w:tcW w:w="3484" w:type="dxa"/>
            <w:gridSpan w:val="2"/>
            <w:vAlign w:val="center"/>
          </w:tcPr>
          <w:p>
            <w:pPr>
              <w:keepNext w:val="0"/>
              <w:keepLines w:val="0"/>
              <w:suppressLineNumbers w:val="0"/>
              <w:spacing w:before="0" w:beforeAutospacing="0" w:after="0" w:afterAutospacing="0"/>
              <w:ind w:left="0" w:right="0"/>
              <w:jc w:val="center"/>
              <w:rPr>
                <w:rFonts w:hint="default"/>
                <w:sz w:val="24"/>
                <w:szCs w:val="24"/>
                <w:vertAlign w:val="baseline"/>
              </w:rPr>
            </w:pPr>
            <w:r>
              <w:rPr>
                <w:rFonts w:hint="eastAsia"/>
                <w:sz w:val="24"/>
                <w:szCs w:val="24"/>
                <w:vertAlign w:val="baseline"/>
                <w:lang w:eastAsia="zh-CN"/>
              </w:rPr>
              <w:t>投标文件条款</w:t>
            </w:r>
          </w:p>
        </w:tc>
        <w:tc>
          <w:tcPr>
            <w:tcW w:w="933" w:type="dxa"/>
            <w:vAlign w:val="center"/>
          </w:tcPr>
          <w:p>
            <w:pPr>
              <w:keepNext w:val="0"/>
              <w:keepLines w:val="0"/>
              <w:suppressLineNumbers w:val="0"/>
              <w:spacing w:before="0" w:beforeAutospacing="0" w:after="0" w:afterAutospacing="0"/>
              <w:ind w:left="0" w:right="0"/>
              <w:jc w:val="center"/>
              <w:rPr>
                <w:rFonts w:hint="eastAsia" w:eastAsia="宋体"/>
                <w:sz w:val="24"/>
                <w:szCs w:val="24"/>
                <w:vertAlign w:val="baseline"/>
                <w:lang w:eastAsia="zh-CN"/>
              </w:rPr>
            </w:pPr>
            <w:r>
              <w:rPr>
                <w:rFonts w:hint="eastAsia"/>
                <w:sz w:val="24"/>
                <w:szCs w:val="24"/>
                <w:vertAlign w:val="baseline"/>
                <w:lang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91" w:type="dxa"/>
            <w:vMerge w:val="continue"/>
            <w:vAlign w:val="center"/>
          </w:tcPr>
          <w:p>
            <w:pPr>
              <w:keepNext w:val="0"/>
              <w:keepLines w:val="0"/>
              <w:suppressLineNumbers w:val="0"/>
              <w:spacing w:before="0" w:beforeAutospacing="0" w:after="0" w:afterAutospacing="0"/>
              <w:ind w:left="0" w:right="0"/>
              <w:jc w:val="center"/>
              <w:rPr>
                <w:rFonts w:hint="default"/>
                <w:sz w:val="24"/>
                <w:szCs w:val="24"/>
                <w:vertAlign w:val="baseline"/>
              </w:rPr>
            </w:pPr>
          </w:p>
        </w:tc>
        <w:tc>
          <w:tcPr>
            <w:tcW w:w="1338" w:type="dxa"/>
            <w:vAlign w:val="center"/>
          </w:tcPr>
          <w:p>
            <w:pPr>
              <w:keepNext w:val="0"/>
              <w:keepLines w:val="0"/>
              <w:suppressLineNumbers w:val="0"/>
              <w:spacing w:before="0" w:beforeAutospacing="0" w:after="0" w:afterAutospacing="0"/>
              <w:ind w:left="0" w:right="0"/>
              <w:jc w:val="center"/>
              <w:rPr>
                <w:rFonts w:hint="eastAsia" w:eastAsia="宋体"/>
                <w:sz w:val="24"/>
                <w:szCs w:val="24"/>
                <w:vertAlign w:val="baseline"/>
                <w:lang w:eastAsia="zh-CN"/>
              </w:rPr>
            </w:pPr>
            <w:r>
              <w:rPr>
                <w:rFonts w:hint="eastAsia"/>
                <w:sz w:val="24"/>
                <w:szCs w:val="24"/>
                <w:vertAlign w:val="baseline"/>
                <w:lang w:eastAsia="zh-CN"/>
              </w:rPr>
              <w:t>条款号</w:t>
            </w:r>
          </w:p>
        </w:tc>
        <w:tc>
          <w:tcPr>
            <w:tcW w:w="2333" w:type="dxa"/>
            <w:vAlign w:val="center"/>
          </w:tcPr>
          <w:p>
            <w:pPr>
              <w:keepNext w:val="0"/>
              <w:keepLines w:val="0"/>
              <w:suppressLineNumbers w:val="0"/>
              <w:spacing w:before="0" w:beforeAutospacing="0" w:after="0" w:afterAutospacing="0"/>
              <w:ind w:left="0" w:right="0"/>
              <w:jc w:val="center"/>
              <w:rPr>
                <w:rFonts w:hint="eastAsia" w:eastAsia="宋体"/>
                <w:sz w:val="24"/>
                <w:szCs w:val="24"/>
                <w:vertAlign w:val="baseline"/>
                <w:lang w:eastAsia="zh-CN"/>
              </w:rPr>
            </w:pPr>
            <w:r>
              <w:rPr>
                <w:rFonts w:hint="eastAsia"/>
                <w:sz w:val="24"/>
                <w:szCs w:val="24"/>
                <w:vertAlign w:val="baseline"/>
                <w:lang w:eastAsia="zh-CN"/>
              </w:rPr>
              <w:t>条款内容</w:t>
            </w:r>
          </w:p>
        </w:tc>
        <w:tc>
          <w:tcPr>
            <w:tcW w:w="1334" w:type="dxa"/>
            <w:vAlign w:val="center"/>
          </w:tcPr>
          <w:p>
            <w:pPr>
              <w:keepNext w:val="0"/>
              <w:keepLines w:val="0"/>
              <w:suppressLineNumbers w:val="0"/>
              <w:spacing w:before="0" w:beforeAutospacing="0" w:after="0" w:afterAutospacing="0"/>
              <w:ind w:left="0" w:right="0"/>
              <w:jc w:val="center"/>
              <w:rPr>
                <w:rFonts w:hint="default"/>
                <w:sz w:val="24"/>
                <w:szCs w:val="24"/>
                <w:vertAlign w:val="baseline"/>
              </w:rPr>
            </w:pPr>
            <w:r>
              <w:rPr>
                <w:rFonts w:hint="eastAsia"/>
                <w:sz w:val="24"/>
                <w:szCs w:val="24"/>
                <w:vertAlign w:val="baseline"/>
                <w:lang w:eastAsia="zh-CN"/>
              </w:rPr>
              <w:t>条款号</w:t>
            </w:r>
          </w:p>
        </w:tc>
        <w:tc>
          <w:tcPr>
            <w:tcW w:w="2150" w:type="dxa"/>
            <w:vAlign w:val="center"/>
          </w:tcPr>
          <w:p>
            <w:pPr>
              <w:keepNext w:val="0"/>
              <w:keepLines w:val="0"/>
              <w:suppressLineNumbers w:val="0"/>
              <w:spacing w:before="0" w:beforeAutospacing="0" w:after="0" w:afterAutospacing="0"/>
              <w:ind w:left="0" w:right="0"/>
              <w:jc w:val="center"/>
              <w:rPr>
                <w:rFonts w:hint="default"/>
                <w:sz w:val="24"/>
                <w:szCs w:val="24"/>
                <w:vertAlign w:val="baseline"/>
              </w:rPr>
            </w:pPr>
            <w:r>
              <w:rPr>
                <w:rFonts w:hint="eastAsia"/>
                <w:sz w:val="24"/>
                <w:szCs w:val="24"/>
                <w:vertAlign w:val="baseline"/>
                <w:lang w:eastAsia="zh-CN"/>
              </w:rPr>
              <w:t>条款内容</w:t>
            </w:r>
          </w:p>
        </w:tc>
        <w:tc>
          <w:tcPr>
            <w:tcW w:w="933" w:type="dxa"/>
            <w:vAlign w:val="center"/>
          </w:tcPr>
          <w:p>
            <w:pPr>
              <w:keepNext w:val="0"/>
              <w:keepLines w:val="0"/>
              <w:suppressLineNumbers w:val="0"/>
              <w:spacing w:before="0" w:beforeAutospacing="0" w:after="0" w:afterAutospacing="0"/>
              <w:ind w:left="0" w:right="0"/>
              <w:jc w:val="center"/>
              <w:rPr>
                <w:rFonts w:hint="default"/>
                <w:sz w:val="24"/>
                <w:szCs w:val="24"/>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91" w:type="dxa"/>
            <w:vAlign w:val="center"/>
          </w:tcPr>
          <w:p>
            <w:pPr>
              <w:keepNext w:val="0"/>
              <w:keepLines w:val="0"/>
              <w:suppressLineNumbers w:val="0"/>
              <w:spacing w:before="0" w:beforeAutospacing="0" w:after="0" w:afterAutospacing="0"/>
              <w:ind w:left="0" w:right="0"/>
              <w:jc w:val="center"/>
              <w:rPr>
                <w:rFonts w:hint="default"/>
                <w:vertAlign w:val="baseline"/>
              </w:rPr>
            </w:pPr>
          </w:p>
        </w:tc>
        <w:tc>
          <w:tcPr>
            <w:tcW w:w="1338" w:type="dxa"/>
            <w:vAlign w:val="center"/>
          </w:tcPr>
          <w:p>
            <w:pPr>
              <w:keepNext w:val="0"/>
              <w:keepLines w:val="0"/>
              <w:suppressLineNumbers w:val="0"/>
              <w:spacing w:before="0" w:beforeAutospacing="0" w:after="0" w:afterAutospacing="0"/>
              <w:ind w:left="0" w:right="0"/>
              <w:jc w:val="center"/>
              <w:rPr>
                <w:rFonts w:hint="default"/>
                <w:vertAlign w:val="baseline"/>
              </w:rPr>
            </w:pPr>
          </w:p>
        </w:tc>
        <w:tc>
          <w:tcPr>
            <w:tcW w:w="2333" w:type="dxa"/>
            <w:vAlign w:val="center"/>
          </w:tcPr>
          <w:p>
            <w:pPr>
              <w:keepNext w:val="0"/>
              <w:keepLines w:val="0"/>
              <w:suppressLineNumbers w:val="0"/>
              <w:spacing w:before="0" w:beforeAutospacing="0" w:after="0" w:afterAutospacing="0"/>
              <w:ind w:left="0" w:right="0"/>
              <w:jc w:val="center"/>
              <w:rPr>
                <w:rFonts w:hint="default"/>
                <w:vertAlign w:val="baseline"/>
              </w:rPr>
            </w:pPr>
          </w:p>
        </w:tc>
        <w:tc>
          <w:tcPr>
            <w:tcW w:w="1334" w:type="dxa"/>
            <w:vAlign w:val="center"/>
          </w:tcPr>
          <w:p>
            <w:pPr>
              <w:keepNext w:val="0"/>
              <w:keepLines w:val="0"/>
              <w:suppressLineNumbers w:val="0"/>
              <w:spacing w:before="0" w:beforeAutospacing="0" w:after="0" w:afterAutospacing="0"/>
              <w:ind w:left="0" w:right="0"/>
              <w:jc w:val="center"/>
              <w:rPr>
                <w:rFonts w:hint="default"/>
                <w:vertAlign w:val="baseline"/>
              </w:rPr>
            </w:pPr>
          </w:p>
        </w:tc>
        <w:tc>
          <w:tcPr>
            <w:tcW w:w="2150" w:type="dxa"/>
            <w:vAlign w:val="center"/>
          </w:tcPr>
          <w:p>
            <w:pPr>
              <w:keepNext w:val="0"/>
              <w:keepLines w:val="0"/>
              <w:suppressLineNumbers w:val="0"/>
              <w:spacing w:before="0" w:beforeAutospacing="0" w:after="0" w:afterAutospacing="0"/>
              <w:ind w:left="0" w:right="0"/>
              <w:jc w:val="center"/>
              <w:rPr>
                <w:rFonts w:hint="default"/>
                <w:vertAlign w:val="baseline"/>
              </w:rPr>
            </w:pPr>
          </w:p>
        </w:tc>
        <w:tc>
          <w:tcPr>
            <w:tcW w:w="933" w:type="dxa"/>
            <w:vAlign w:val="center"/>
          </w:tcPr>
          <w:p>
            <w:pPr>
              <w:keepNext w:val="0"/>
              <w:keepLines w:val="0"/>
              <w:suppressLineNumbers w:val="0"/>
              <w:spacing w:before="0" w:beforeAutospacing="0" w:after="0" w:afterAutospacing="0"/>
              <w:ind w:left="0" w:right="0"/>
              <w:jc w:val="center"/>
              <w:rPr>
                <w:rFonts w:hint="default"/>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91" w:type="dxa"/>
            <w:vAlign w:val="center"/>
          </w:tcPr>
          <w:p>
            <w:pPr>
              <w:keepNext w:val="0"/>
              <w:keepLines w:val="0"/>
              <w:suppressLineNumbers w:val="0"/>
              <w:spacing w:before="0" w:beforeAutospacing="0" w:after="0" w:afterAutospacing="0"/>
              <w:ind w:left="0" w:right="0"/>
              <w:jc w:val="center"/>
              <w:rPr>
                <w:rFonts w:hint="default"/>
                <w:vertAlign w:val="baseline"/>
              </w:rPr>
            </w:pPr>
          </w:p>
        </w:tc>
        <w:tc>
          <w:tcPr>
            <w:tcW w:w="1338" w:type="dxa"/>
            <w:vAlign w:val="center"/>
          </w:tcPr>
          <w:p>
            <w:pPr>
              <w:keepNext w:val="0"/>
              <w:keepLines w:val="0"/>
              <w:suppressLineNumbers w:val="0"/>
              <w:spacing w:before="0" w:beforeAutospacing="0" w:after="0" w:afterAutospacing="0"/>
              <w:ind w:left="0" w:right="0"/>
              <w:jc w:val="center"/>
              <w:rPr>
                <w:rFonts w:hint="default"/>
                <w:vertAlign w:val="baseline"/>
              </w:rPr>
            </w:pPr>
          </w:p>
        </w:tc>
        <w:tc>
          <w:tcPr>
            <w:tcW w:w="2333" w:type="dxa"/>
            <w:vAlign w:val="center"/>
          </w:tcPr>
          <w:p>
            <w:pPr>
              <w:keepNext w:val="0"/>
              <w:keepLines w:val="0"/>
              <w:suppressLineNumbers w:val="0"/>
              <w:spacing w:before="0" w:beforeAutospacing="0" w:after="0" w:afterAutospacing="0"/>
              <w:ind w:left="0" w:right="0"/>
              <w:jc w:val="center"/>
              <w:rPr>
                <w:rFonts w:hint="default"/>
                <w:vertAlign w:val="baseline"/>
              </w:rPr>
            </w:pPr>
          </w:p>
        </w:tc>
        <w:tc>
          <w:tcPr>
            <w:tcW w:w="1334" w:type="dxa"/>
            <w:vAlign w:val="center"/>
          </w:tcPr>
          <w:p>
            <w:pPr>
              <w:keepNext w:val="0"/>
              <w:keepLines w:val="0"/>
              <w:suppressLineNumbers w:val="0"/>
              <w:spacing w:before="0" w:beforeAutospacing="0" w:after="0" w:afterAutospacing="0"/>
              <w:ind w:left="0" w:right="0"/>
              <w:jc w:val="center"/>
              <w:rPr>
                <w:rFonts w:hint="default"/>
                <w:vertAlign w:val="baseline"/>
              </w:rPr>
            </w:pPr>
          </w:p>
        </w:tc>
        <w:tc>
          <w:tcPr>
            <w:tcW w:w="2150" w:type="dxa"/>
            <w:vAlign w:val="center"/>
          </w:tcPr>
          <w:p>
            <w:pPr>
              <w:keepNext w:val="0"/>
              <w:keepLines w:val="0"/>
              <w:suppressLineNumbers w:val="0"/>
              <w:spacing w:before="0" w:beforeAutospacing="0" w:after="0" w:afterAutospacing="0"/>
              <w:ind w:left="0" w:right="0"/>
              <w:jc w:val="center"/>
              <w:rPr>
                <w:rFonts w:hint="default"/>
                <w:vertAlign w:val="baseline"/>
              </w:rPr>
            </w:pPr>
          </w:p>
        </w:tc>
        <w:tc>
          <w:tcPr>
            <w:tcW w:w="933" w:type="dxa"/>
            <w:vAlign w:val="center"/>
          </w:tcPr>
          <w:p>
            <w:pPr>
              <w:keepNext w:val="0"/>
              <w:keepLines w:val="0"/>
              <w:suppressLineNumbers w:val="0"/>
              <w:spacing w:before="0" w:beforeAutospacing="0" w:after="0" w:afterAutospacing="0"/>
              <w:ind w:left="0" w:right="0"/>
              <w:jc w:val="center"/>
              <w:rPr>
                <w:rFonts w:hint="default"/>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91" w:type="dxa"/>
            <w:vAlign w:val="center"/>
          </w:tcPr>
          <w:p>
            <w:pPr>
              <w:keepNext w:val="0"/>
              <w:keepLines w:val="0"/>
              <w:suppressLineNumbers w:val="0"/>
              <w:spacing w:before="0" w:beforeAutospacing="0" w:after="0" w:afterAutospacing="0"/>
              <w:ind w:left="0" w:right="0"/>
              <w:jc w:val="center"/>
              <w:rPr>
                <w:rFonts w:hint="default"/>
                <w:vertAlign w:val="baseline"/>
              </w:rPr>
            </w:pPr>
          </w:p>
        </w:tc>
        <w:tc>
          <w:tcPr>
            <w:tcW w:w="1338" w:type="dxa"/>
            <w:vAlign w:val="center"/>
          </w:tcPr>
          <w:p>
            <w:pPr>
              <w:keepNext w:val="0"/>
              <w:keepLines w:val="0"/>
              <w:suppressLineNumbers w:val="0"/>
              <w:spacing w:before="0" w:beforeAutospacing="0" w:after="0" w:afterAutospacing="0"/>
              <w:ind w:left="0" w:right="0"/>
              <w:jc w:val="center"/>
              <w:rPr>
                <w:rFonts w:hint="default"/>
                <w:vertAlign w:val="baseline"/>
              </w:rPr>
            </w:pPr>
          </w:p>
        </w:tc>
        <w:tc>
          <w:tcPr>
            <w:tcW w:w="2333" w:type="dxa"/>
            <w:vAlign w:val="center"/>
          </w:tcPr>
          <w:p>
            <w:pPr>
              <w:keepNext w:val="0"/>
              <w:keepLines w:val="0"/>
              <w:suppressLineNumbers w:val="0"/>
              <w:spacing w:before="0" w:beforeAutospacing="0" w:after="0" w:afterAutospacing="0"/>
              <w:ind w:left="0" w:right="0"/>
              <w:jc w:val="center"/>
              <w:rPr>
                <w:rFonts w:hint="default"/>
                <w:vertAlign w:val="baseline"/>
              </w:rPr>
            </w:pPr>
          </w:p>
        </w:tc>
        <w:tc>
          <w:tcPr>
            <w:tcW w:w="1334" w:type="dxa"/>
            <w:vAlign w:val="center"/>
          </w:tcPr>
          <w:p>
            <w:pPr>
              <w:keepNext w:val="0"/>
              <w:keepLines w:val="0"/>
              <w:suppressLineNumbers w:val="0"/>
              <w:spacing w:before="0" w:beforeAutospacing="0" w:after="0" w:afterAutospacing="0"/>
              <w:ind w:left="0" w:right="0"/>
              <w:jc w:val="center"/>
              <w:rPr>
                <w:rFonts w:hint="default"/>
                <w:vertAlign w:val="baseline"/>
              </w:rPr>
            </w:pPr>
          </w:p>
        </w:tc>
        <w:tc>
          <w:tcPr>
            <w:tcW w:w="2150" w:type="dxa"/>
            <w:vAlign w:val="center"/>
          </w:tcPr>
          <w:p>
            <w:pPr>
              <w:keepNext w:val="0"/>
              <w:keepLines w:val="0"/>
              <w:suppressLineNumbers w:val="0"/>
              <w:spacing w:before="0" w:beforeAutospacing="0" w:after="0" w:afterAutospacing="0"/>
              <w:ind w:left="0" w:right="0"/>
              <w:jc w:val="center"/>
              <w:rPr>
                <w:rFonts w:hint="default"/>
                <w:vertAlign w:val="baseline"/>
              </w:rPr>
            </w:pPr>
          </w:p>
        </w:tc>
        <w:tc>
          <w:tcPr>
            <w:tcW w:w="933" w:type="dxa"/>
            <w:vAlign w:val="center"/>
          </w:tcPr>
          <w:p>
            <w:pPr>
              <w:keepNext w:val="0"/>
              <w:keepLines w:val="0"/>
              <w:suppressLineNumbers w:val="0"/>
              <w:spacing w:before="0" w:beforeAutospacing="0" w:after="0" w:afterAutospacing="0"/>
              <w:ind w:left="0" w:right="0"/>
              <w:jc w:val="center"/>
              <w:rPr>
                <w:rFonts w:hint="default"/>
                <w:vertAlign w:val="baseline"/>
              </w:rPr>
            </w:pPr>
          </w:p>
        </w:tc>
      </w:tr>
    </w:tbl>
    <w:p/>
    <w:p>
      <w:pPr>
        <w:pStyle w:val="35"/>
        <w:keepNext w:val="0"/>
        <w:keepLines w:val="0"/>
        <w:pageBreakBefore w:val="0"/>
        <w:widowControl w:val="0"/>
        <w:kinsoku/>
        <w:wordWrap/>
        <w:overflowPunct/>
        <w:topLinePunct w:val="0"/>
        <w:autoSpaceDE/>
        <w:autoSpaceDN/>
        <w:bidi w:val="0"/>
        <w:adjustRightInd/>
        <w:snapToGrid/>
        <w:spacing w:line="500" w:lineRule="atLeast"/>
        <w:textAlignment w:val="auto"/>
        <w:rPr>
          <w:sz w:val="24"/>
        </w:rPr>
      </w:pPr>
      <w:r>
        <w:rPr>
          <w:rFonts w:hint="eastAsia"/>
          <w:sz w:val="24"/>
        </w:rPr>
        <w:t>供应商全称（公章）：</w:t>
      </w:r>
    </w:p>
    <w:p>
      <w:pPr>
        <w:pStyle w:val="35"/>
        <w:keepNext w:val="0"/>
        <w:keepLines w:val="0"/>
        <w:pageBreakBefore w:val="0"/>
        <w:widowControl w:val="0"/>
        <w:kinsoku/>
        <w:wordWrap/>
        <w:overflowPunct/>
        <w:topLinePunct w:val="0"/>
        <w:autoSpaceDE/>
        <w:autoSpaceDN/>
        <w:bidi w:val="0"/>
        <w:adjustRightInd/>
        <w:snapToGrid/>
        <w:spacing w:line="500" w:lineRule="atLeast"/>
        <w:textAlignment w:val="auto"/>
        <w:rPr>
          <w:sz w:val="24"/>
        </w:rPr>
      </w:pPr>
      <w:r>
        <w:rPr>
          <w:rFonts w:hint="eastAsia"/>
          <w:sz w:val="24"/>
        </w:rPr>
        <w:t>法定代表人（非法人组织的负责人）或其授权代表（签章）：</w:t>
      </w:r>
    </w:p>
    <w:p>
      <w:pPr>
        <w:pStyle w:val="35"/>
        <w:keepNext w:val="0"/>
        <w:keepLines w:val="0"/>
        <w:pageBreakBefore w:val="0"/>
        <w:widowControl w:val="0"/>
        <w:kinsoku/>
        <w:wordWrap/>
        <w:overflowPunct/>
        <w:topLinePunct w:val="0"/>
        <w:autoSpaceDE/>
        <w:autoSpaceDN/>
        <w:bidi w:val="0"/>
        <w:adjustRightInd/>
        <w:snapToGrid/>
        <w:spacing w:line="500" w:lineRule="atLeast"/>
        <w:textAlignment w:val="auto"/>
        <w:rPr>
          <w:rFonts w:hint="eastAsia"/>
          <w:sz w:val="24"/>
        </w:rPr>
      </w:pPr>
      <w:r>
        <w:rPr>
          <w:rFonts w:hint="eastAsia"/>
          <w:sz w:val="24"/>
        </w:rPr>
        <w:t>日     期：</w:t>
      </w:r>
    </w:p>
    <w:p>
      <w:pPr>
        <w:rPr>
          <w:rFonts w:hint="eastAsia"/>
        </w:rPr>
      </w:pPr>
    </w:p>
    <w:p>
      <w:pPr>
        <w:spacing w:line="360" w:lineRule="auto"/>
        <w:ind w:firstLine="470" w:firstLineChars="196"/>
        <w:rPr>
          <w:b/>
          <w:bCs/>
          <w:sz w:val="24"/>
        </w:rPr>
      </w:pPr>
      <w:r>
        <w:rPr>
          <w:rFonts w:hint="eastAsia"/>
          <w:b/>
          <w:bCs/>
          <w:sz w:val="24"/>
        </w:rPr>
        <w:t>本表可依样扩展</w:t>
      </w:r>
    </w:p>
    <w:p>
      <w:pPr>
        <w:autoSpaceDE w:val="0"/>
        <w:autoSpaceDN w:val="0"/>
        <w:adjustRightInd w:val="0"/>
        <w:spacing w:line="360" w:lineRule="auto"/>
        <w:rPr>
          <w:rFonts w:ascii="宋体" w:hAnsi="宋体" w:cs="宋体"/>
          <w:b/>
          <w:sz w:val="24"/>
          <w:lang w:val="zh-CN"/>
        </w:rPr>
      </w:pPr>
      <w:r>
        <w:rPr>
          <w:rFonts w:hint="eastAsia" w:ascii="宋体" w:hAnsi="宋体" w:cs="宋体"/>
          <w:b/>
          <w:sz w:val="24"/>
          <w:lang w:val="zh-CN"/>
        </w:rPr>
        <w:t>注：</w:t>
      </w:r>
    </w:p>
    <w:p>
      <w:pPr>
        <w:autoSpaceDE w:val="0"/>
        <w:autoSpaceDN w:val="0"/>
        <w:adjustRightInd w:val="0"/>
        <w:spacing w:line="360" w:lineRule="auto"/>
        <w:ind w:firstLine="352" w:firstLineChars="147"/>
        <w:rPr>
          <w:rFonts w:ascii="宋体" w:hAnsi="宋体" w:cs="宋体"/>
          <w:b/>
          <w:sz w:val="24"/>
          <w:lang w:val="zh-CN"/>
        </w:rPr>
      </w:pPr>
      <w:r>
        <w:rPr>
          <w:rFonts w:hint="eastAsia" w:ascii="宋体" w:hAnsi="宋体" w:cs="宋体"/>
          <w:b/>
          <w:sz w:val="24"/>
          <w:lang w:val="zh-CN"/>
        </w:rPr>
        <w:t>（1）如无偏离请注明“无”字。</w:t>
      </w:r>
    </w:p>
    <w:p>
      <w:pPr>
        <w:autoSpaceDE w:val="0"/>
        <w:autoSpaceDN w:val="0"/>
        <w:adjustRightInd w:val="0"/>
        <w:spacing w:line="360" w:lineRule="auto"/>
        <w:ind w:firstLine="352" w:firstLineChars="147"/>
        <w:rPr>
          <w:rFonts w:ascii="宋体" w:hAnsi="宋体" w:cs="宋体"/>
          <w:b/>
          <w:sz w:val="24"/>
          <w:lang w:val="zh-CN"/>
        </w:rPr>
      </w:pPr>
      <w:r>
        <w:rPr>
          <w:rFonts w:hint="eastAsia" w:ascii="宋体" w:hAnsi="宋体" w:cs="宋体"/>
          <w:b/>
          <w:sz w:val="24"/>
          <w:lang w:val="zh-CN"/>
        </w:rPr>
        <w:t>（2）如供应商在偏离表中无注明，投标文件与招标文件不一致或差异，以招标文件为准。</w:t>
      </w:r>
    </w:p>
    <w:p>
      <w:pPr>
        <w:snapToGrid w:val="0"/>
        <w:spacing w:line="360" w:lineRule="auto"/>
        <w:rPr>
          <w:rFonts w:hAnsi="宋体"/>
          <w:b/>
        </w:rPr>
      </w:pPr>
      <w:r>
        <w:rPr>
          <w:rFonts w:ascii="宋体" w:hAnsi="宋体"/>
          <w:b/>
          <w:sz w:val="24"/>
        </w:rPr>
        <w:br w:type="page"/>
      </w:r>
    </w:p>
    <w:p>
      <w:pPr>
        <w:spacing w:line="560" w:lineRule="exact"/>
        <w:jc w:val="left"/>
        <w:rPr>
          <w:rFonts w:ascii="宋体" w:hAnsi="宋体"/>
          <w:b/>
          <w:kern w:val="0"/>
          <w:sz w:val="24"/>
          <w:szCs w:val="20"/>
        </w:rPr>
      </w:pPr>
      <w:bookmarkStart w:id="320" w:name="_Toc46136866"/>
      <w:bookmarkStart w:id="321" w:name="_Toc29643"/>
      <w:bookmarkStart w:id="322" w:name="_Toc45562517"/>
      <w:r>
        <w:rPr>
          <w:rFonts w:hint="eastAsia" w:ascii="宋体" w:hAnsi="宋体"/>
          <w:b/>
          <w:kern w:val="0"/>
          <w:sz w:val="24"/>
          <w:szCs w:val="20"/>
        </w:rPr>
        <w:t>11.</w:t>
      </w:r>
      <w:bookmarkEnd w:id="320"/>
      <w:bookmarkEnd w:id="321"/>
      <w:bookmarkEnd w:id="322"/>
      <w:r>
        <w:rPr>
          <w:rFonts w:hint="eastAsia" w:ascii="宋体" w:hAnsi="宋体"/>
          <w:b/>
          <w:kern w:val="0"/>
          <w:sz w:val="24"/>
          <w:szCs w:val="20"/>
        </w:rPr>
        <w:t>质量保证及服务承诺</w:t>
      </w:r>
    </w:p>
    <w:p>
      <w:pPr>
        <w:pStyle w:val="11"/>
        <w:spacing w:line="560" w:lineRule="exact"/>
        <w:rPr>
          <w:rFonts w:hAnsi="宋体"/>
        </w:rPr>
      </w:pPr>
    </w:p>
    <w:p>
      <w:pPr>
        <w:numPr>
          <w:ilvl w:val="0"/>
          <w:numId w:val="5"/>
        </w:numPr>
        <w:spacing w:line="560" w:lineRule="exact"/>
        <w:jc w:val="left"/>
        <w:rPr>
          <w:rFonts w:hint="eastAsia" w:ascii="宋体" w:hAnsi="宋体"/>
          <w:b/>
          <w:kern w:val="0"/>
          <w:sz w:val="24"/>
          <w:szCs w:val="20"/>
        </w:rPr>
      </w:pPr>
      <w:r>
        <w:rPr>
          <w:rFonts w:hint="eastAsia" w:ascii="宋体" w:hAnsi="宋体"/>
          <w:b/>
          <w:kern w:val="0"/>
          <w:sz w:val="24"/>
          <w:szCs w:val="20"/>
        </w:rPr>
        <w:t>供应商完成的类似项目业绩</w:t>
      </w:r>
    </w:p>
    <w:p>
      <w:pPr>
        <w:keepNext w:val="0"/>
        <w:keepLines w:val="0"/>
        <w:widowControl w:val="0"/>
        <w:suppressLineNumbers w:val="0"/>
        <w:spacing w:before="0" w:beforeAutospacing="0" w:after="0" w:afterAutospacing="0" w:line="560" w:lineRule="exact"/>
        <w:ind w:left="0" w:right="0"/>
        <w:jc w:val="left"/>
        <w:rPr>
          <w:rFonts w:hint="eastAsia" w:ascii="宋体" w:hAnsi="宋体" w:eastAsia="宋体" w:cs="宋体"/>
          <w:b/>
          <w:bCs w:val="0"/>
          <w:kern w:val="0"/>
          <w:sz w:val="24"/>
          <w:szCs w:val="24"/>
          <w:lang w:val="en-US"/>
        </w:rPr>
      </w:pPr>
      <w:r>
        <w:rPr>
          <w:rFonts w:hint="eastAsia" w:ascii="宋体" w:hAnsi="宋体"/>
          <w:b/>
          <w:kern w:val="0"/>
          <w:sz w:val="24"/>
          <w:szCs w:val="20"/>
        </w:rPr>
        <w:t>注: 类似业绩是指与本项目内容相关的医疗设备采购项目;</w:t>
      </w:r>
      <w:r>
        <w:rPr>
          <w:rFonts w:hint="eastAsia" w:ascii="宋体" w:hAnsi="宋体" w:eastAsia="宋体" w:cs="宋体"/>
          <w:b/>
          <w:bCs w:val="0"/>
          <w:kern w:val="0"/>
          <w:sz w:val="24"/>
          <w:szCs w:val="24"/>
          <w:lang w:val="en-US" w:eastAsia="zh-CN" w:bidi="ar"/>
        </w:rPr>
        <w:t>提供合同原件扫描件。</w:t>
      </w:r>
    </w:p>
    <w:p>
      <w:pPr>
        <w:numPr>
          <w:ilvl w:val="0"/>
          <w:numId w:val="0"/>
        </w:numPr>
        <w:spacing w:line="560" w:lineRule="exact"/>
        <w:jc w:val="left"/>
        <w:rPr>
          <w:rFonts w:ascii="宋体" w:hAnsi="宋体"/>
          <w:b/>
          <w:kern w:val="0"/>
          <w:sz w:val="24"/>
          <w:szCs w:val="20"/>
        </w:rPr>
      </w:pPr>
    </w:p>
    <w:p>
      <w:pPr>
        <w:spacing w:line="560" w:lineRule="exact"/>
        <w:jc w:val="left"/>
        <w:rPr>
          <w:rFonts w:ascii="宋体" w:hAnsi="宋体"/>
          <w:b/>
          <w:kern w:val="0"/>
          <w:sz w:val="24"/>
          <w:szCs w:val="20"/>
        </w:rPr>
      </w:pPr>
    </w:p>
    <w:p>
      <w:pPr>
        <w:rPr>
          <w:rFonts w:ascii="宋体" w:hAnsi="宋体"/>
          <w:b/>
          <w:kern w:val="0"/>
          <w:sz w:val="24"/>
          <w:szCs w:val="20"/>
        </w:rPr>
      </w:pPr>
      <w:r>
        <w:rPr>
          <w:rFonts w:ascii="宋体" w:hAnsi="宋体"/>
          <w:kern w:val="0"/>
          <w:sz w:val="24"/>
          <w:szCs w:val="20"/>
        </w:rPr>
        <w:br w:type="page"/>
      </w:r>
      <w:bookmarkStart w:id="323" w:name="_Toc792"/>
      <w:bookmarkStart w:id="324" w:name="_Toc46136869"/>
    </w:p>
    <w:p>
      <w:pPr>
        <w:spacing w:line="560" w:lineRule="exact"/>
        <w:rPr>
          <w:rFonts w:ascii="宋体" w:hAnsi="宋体"/>
          <w:b/>
          <w:sz w:val="24"/>
        </w:rPr>
      </w:pPr>
      <w:r>
        <w:rPr>
          <w:rFonts w:hint="eastAsia" w:ascii="宋体" w:hAnsi="宋体"/>
          <w:b/>
          <w:kern w:val="0"/>
          <w:sz w:val="24"/>
          <w:szCs w:val="20"/>
          <w:lang w:val="en-US" w:eastAsia="zh-CN"/>
        </w:rPr>
        <w:t>13</w:t>
      </w:r>
      <w:r>
        <w:rPr>
          <w:rFonts w:hint="eastAsia" w:ascii="宋体" w:hAnsi="宋体"/>
          <w:b/>
          <w:kern w:val="0"/>
          <w:sz w:val="24"/>
          <w:szCs w:val="20"/>
        </w:rPr>
        <w:t>.</w:t>
      </w:r>
      <w:bookmarkEnd w:id="323"/>
      <w:bookmarkEnd w:id="324"/>
      <w:r>
        <w:rPr>
          <w:rFonts w:hint="eastAsia" w:ascii="宋体" w:hAnsi="宋体"/>
          <w:b/>
          <w:sz w:val="24"/>
        </w:rPr>
        <w:t>节能、减排、环境标志产品单独分项报价表、强制采购节能产品投标清单</w:t>
      </w:r>
    </w:p>
    <w:p>
      <w:pPr>
        <w:snapToGrid w:val="0"/>
        <w:spacing w:line="560" w:lineRule="exact"/>
        <w:ind w:firstLine="2160" w:firstLineChars="900"/>
        <w:rPr>
          <w:rFonts w:hAnsi="宋体"/>
        </w:rPr>
      </w:pPr>
      <w:r>
        <w:rPr>
          <w:rFonts w:hint="eastAsia" w:hAnsi="宋体" w:cs="宋体"/>
          <w:b/>
          <w:sz w:val="24"/>
        </w:rPr>
        <w:t>1、节能、减排、环境标志产品单独分项报价表</w:t>
      </w:r>
    </w:p>
    <w:tbl>
      <w:tblPr>
        <w:tblStyle w:val="38"/>
        <w:tblW w:w="10408" w:type="dxa"/>
        <w:jc w:val="center"/>
        <w:tblLayout w:type="fixed"/>
        <w:tblCellMar>
          <w:top w:w="0" w:type="dxa"/>
          <w:left w:w="108" w:type="dxa"/>
          <w:bottom w:w="0" w:type="dxa"/>
          <w:right w:w="108" w:type="dxa"/>
        </w:tblCellMar>
      </w:tblPr>
      <w:tblGrid>
        <w:gridCol w:w="754"/>
        <w:gridCol w:w="832"/>
        <w:gridCol w:w="944"/>
        <w:gridCol w:w="634"/>
        <w:gridCol w:w="600"/>
        <w:gridCol w:w="881"/>
        <w:gridCol w:w="896"/>
        <w:gridCol w:w="811"/>
        <w:gridCol w:w="1745"/>
        <w:gridCol w:w="1633"/>
        <w:gridCol w:w="678"/>
      </w:tblGrid>
      <w:tr>
        <w:tblPrEx>
          <w:tblCellMar>
            <w:top w:w="0" w:type="dxa"/>
            <w:left w:w="108" w:type="dxa"/>
            <w:bottom w:w="0" w:type="dxa"/>
            <w:right w:w="108" w:type="dxa"/>
          </w:tblCellMar>
        </w:tblPrEx>
        <w:trPr>
          <w:trHeight w:val="1229" w:hRule="atLeast"/>
          <w:jc w:val="center"/>
        </w:trPr>
        <w:tc>
          <w:tcPr>
            <w:tcW w:w="754" w:type="dxa"/>
            <w:tcBorders>
              <w:top w:val="single" w:color="auto" w:sz="4" w:space="0"/>
              <w:left w:val="single" w:color="auto" w:sz="4" w:space="0"/>
              <w:bottom w:val="single" w:color="auto" w:sz="4" w:space="0"/>
              <w:right w:val="single" w:color="auto" w:sz="4" w:space="0"/>
            </w:tcBorders>
            <w:vAlign w:val="center"/>
          </w:tcPr>
          <w:p>
            <w:pPr>
              <w:pStyle w:val="94"/>
              <w:keepNext w:val="0"/>
              <w:keepLines w:val="0"/>
              <w:suppressLineNumbers w:val="0"/>
              <w:spacing w:before="0" w:beforeAutospacing="0" w:after="0" w:afterAutospacing="0" w:line="440" w:lineRule="exact"/>
              <w:ind w:left="0" w:right="0"/>
              <w:jc w:val="center"/>
              <w:rPr>
                <w:rFonts w:hint="default" w:cs="宋体"/>
                <w:sz w:val="24"/>
                <w:lang w:val="zh-CN"/>
              </w:rPr>
            </w:pPr>
            <w:r>
              <w:rPr>
                <w:rFonts w:hint="eastAsia" w:cs="宋体"/>
                <w:sz w:val="24"/>
                <w:lang w:val="zh-CN"/>
              </w:rPr>
              <w:t>序号</w:t>
            </w:r>
          </w:p>
        </w:tc>
        <w:tc>
          <w:tcPr>
            <w:tcW w:w="832" w:type="dxa"/>
            <w:tcBorders>
              <w:top w:val="single" w:color="auto" w:sz="4" w:space="0"/>
              <w:left w:val="single" w:color="auto" w:sz="4" w:space="0"/>
              <w:bottom w:val="single" w:color="auto" w:sz="4" w:space="0"/>
              <w:right w:val="single" w:color="auto" w:sz="4" w:space="0"/>
            </w:tcBorders>
            <w:vAlign w:val="center"/>
          </w:tcPr>
          <w:p>
            <w:pPr>
              <w:pStyle w:val="94"/>
              <w:keepNext w:val="0"/>
              <w:keepLines w:val="0"/>
              <w:suppressLineNumbers w:val="0"/>
              <w:spacing w:before="0" w:beforeAutospacing="0" w:after="0" w:afterAutospacing="0" w:line="440" w:lineRule="exact"/>
              <w:ind w:left="0" w:right="0"/>
              <w:jc w:val="center"/>
              <w:rPr>
                <w:rFonts w:hint="default" w:cs="宋体"/>
                <w:sz w:val="24"/>
                <w:lang w:val="zh-CN"/>
              </w:rPr>
            </w:pPr>
            <w:r>
              <w:rPr>
                <w:rFonts w:hint="eastAsia" w:cs="宋体"/>
                <w:sz w:val="24"/>
                <w:lang w:val="zh-CN"/>
              </w:rPr>
              <w:t>设备名称</w:t>
            </w:r>
          </w:p>
        </w:tc>
        <w:tc>
          <w:tcPr>
            <w:tcW w:w="944" w:type="dxa"/>
            <w:tcBorders>
              <w:top w:val="single" w:color="auto" w:sz="4" w:space="0"/>
              <w:left w:val="single" w:color="auto" w:sz="4" w:space="0"/>
              <w:bottom w:val="single" w:color="auto" w:sz="4" w:space="0"/>
              <w:right w:val="single" w:color="auto" w:sz="4" w:space="0"/>
            </w:tcBorders>
            <w:vAlign w:val="center"/>
          </w:tcPr>
          <w:p>
            <w:pPr>
              <w:pStyle w:val="94"/>
              <w:keepNext w:val="0"/>
              <w:keepLines w:val="0"/>
              <w:suppressLineNumbers w:val="0"/>
              <w:spacing w:before="0" w:beforeAutospacing="0" w:after="0" w:afterAutospacing="0" w:line="440" w:lineRule="exact"/>
              <w:ind w:left="0" w:right="0"/>
              <w:jc w:val="center"/>
              <w:rPr>
                <w:rFonts w:hint="default" w:cs="宋体"/>
                <w:sz w:val="24"/>
                <w:lang w:val="zh-CN"/>
              </w:rPr>
            </w:pPr>
            <w:r>
              <w:rPr>
                <w:rFonts w:hint="eastAsia" w:cs="宋体"/>
                <w:sz w:val="24"/>
                <w:lang w:val="zh-CN"/>
              </w:rPr>
              <w:t>产品品牌、规格型号</w:t>
            </w:r>
          </w:p>
        </w:tc>
        <w:tc>
          <w:tcPr>
            <w:tcW w:w="634" w:type="dxa"/>
            <w:tcBorders>
              <w:top w:val="single" w:color="auto" w:sz="4" w:space="0"/>
              <w:left w:val="single" w:color="auto" w:sz="4" w:space="0"/>
              <w:bottom w:val="single" w:color="auto" w:sz="4" w:space="0"/>
              <w:right w:val="single" w:color="auto" w:sz="4" w:space="0"/>
            </w:tcBorders>
            <w:vAlign w:val="center"/>
          </w:tcPr>
          <w:p>
            <w:pPr>
              <w:pStyle w:val="94"/>
              <w:keepNext w:val="0"/>
              <w:keepLines w:val="0"/>
              <w:suppressLineNumbers w:val="0"/>
              <w:spacing w:before="0" w:beforeAutospacing="0" w:after="0" w:afterAutospacing="0" w:line="440" w:lineRule="exact"/>
              <w:ind w:left="0" w:right="0"/>
              <w:jc w:val="center"/>
              <w:rPr>
                <w:rFonts w:hint="default" w:cs="宋体"/>
                <w:sz w:val="24"/>
                <w:lang w:val="zh-CN"/>
              </w:rPr>
            </w:pPr>
            <w:r>
              <w:rPr>
                <w:rFonts w:hint="eastAsia" w:cs="宋体"/>
                <w:sz w:val="24"/>
                <w:lang w:val="zh-CN"/>
              </w:rPr>
              <w:t>数量</w:t>
            </w:r>
          </w:p>
        </w:tc>
        <w:tc>
          <w:tcPr>
            <w:tcW w:w="600" w:type="dxa"/>
            <w:tcBorders>
              <w:top w:val="single" w:color="auto" w:sz="4" w:space="0"/>
              <w:left w:val="single" w:color="auto" w:sz="4" w:space="0"/>
              <w:bottom w:val="single" w:color="auto" w:sz="4" w:space="0"/>
              <w:right w:val="single" w:color="auto" w:sz="4" w:space="0"/>
            </w:tcBorders>
            <w:vAlign w:val="center"/>
          </w:tcPr>
          <w:p>
            <w:pPr>
              <w:pStyle w:val="94"/>
              <w:keepNext w:val="0"/>
              <w:keepLines w:val="0"/>
              <w:suppressLineNumbers w:val="0"/>
              <w:spacing w:before="0" w:beforeAutospacing="0" w:after="0" w:afterAutospacing="0" w:line="440" w:lineRule="exact"/>
              <w:ind w:left="0" w:right="0"/>
              <w:jc w:val="center"/>
              <w:rPr>
                <w:rFonts w:hint="default" w:cs="宋体"/>
                <w:sz w:val="24"/>
                <w:lang w:val="zh-CN"/>
              </w:rPr>
            </w:pPr>
            <w:r>
              <w:rPr>
                <w:rFonts w:hint="eastAsia" w:cs="宋体"/>
                <w:sz w:val="24"/>
                <w:lang w:val="zh-CN"/>
              </w:rPr>
              <w:t>单位</w:t>
            </w:r>
          </w:p>
        </w:tc>
        <w:tc>
          <w:tcPr>
            <w:tcW w:w="881" w:type="dxa"/>
            <w:tcBorders>
              <w:top w:val="single" w:color="auto" w:sz="4" w:space="0"/>
              <w:left w:val="single" w:color="auto" w:sz="4" w:space="0"/>
              <w:bottom w:val="single" w:color="auto" w:sz="4" w:space="0"/>
              <w:right w:val="single" w:color="auto" w:sz="4" w:space="0"/>
            </w:tcBorders>
            <w:vAlign w:val="center"/>
          </w:tcPr>
          <w:p>
            <w:pPr>
              <w:pStyle w:val="94"/>
              <w:keepNext w:val="0"/>
              <w:keepLines w:val="0"/>
              <w:suppressLineNumbers w:val="0"/>
              <w:spacing w:before="0" w:beforeAutospacing="0" w:after="0" w:afterAutospacing="0" w:line="440" w:lineRule="exact"/>
              <w:ind w:left="0" w:right="0"/>
              <w:jc w:val="center"/>
              <w:rPr>
                <w:rFonts w:hint="default" w:cs="宋体"/>
                <w:sz w:val="24"/>
                <w:lang w:val="zh-CN"/>
              </w:rPr>
            </w:pPr>
            <w:r>
              <w:rPr>
                <w:rFonts w:hint="eastAsia" w:cs="宋体"/>
                <w:sz w:val="24"/>
                <w:lang w:val="zh-CN"/>
              </w:rPr>
              <w:t>单价（元）</w:t>
            </w:r>
          </w:p>
        </w:tc>
        <w:tc>
          <w:tcPr>
            <w:tcW w:w="896" w:type="dxa"/>
            <w:tcBorders>
              <w:top w:val="single" w:color="auto" w:sz="4" w:space="0"/>
              <w:left w:val="single" w:color="auto" w:sz="4" w:space="0"/>
              <w:bottom w:val="single" w:color="auto" w:sz="4" w:space="0"/>
              <w:right w:val="single" w:color="auto" w:sz="4" w:space="0"/>
            </w:tcBorders>
            <w:vAlign w:val="center"/>
          </w:tcPr>
          <w:p>
            <w:pPr>
              <w:pStyle w:val="94"/>
              <w:keepNext w:val="0"/>
              <w:keepLines w:val="0"/>
              <w:suppressLineNumbers w:val="0"/>
              <w:spacing w:before="0" w:beforeAutospacing="0" w:after="0" w:afterAutospacing="0" w:line="440" w:lineRule="exact"/>
              <w:ind w:left="0" w:right="0"/>
              <w:jc w:val="center"/>
              <w:rPr>
                <w:rFonts w:hint="default" w:cs="宋体"/>
                <w:sz w:val="24"/>
                <w:lang w:val="zh-CN"/>
              </w:rPr>
            </w:pPr>
            <w:r>
              <w:rPr>
                <w:rFonts w:hint="eastAsia" w:cs="宋体"/>
                <w:sz w:val="24"/>
                <w:lang w:val="zh-CN"/>
              </w:rPr>
              <w:t>合价（元）</w:t>
            </w:r>
          </w:p>
        </w:tc>
        <w:tc>
          <w:tcPr>
            <w:tcW w:w="811" w:type="dxa"/>
            <w:tcBorders>
              <w:top w:val="single" w:color="auto" w:sz="4" w:space="0"/>
              <w:left w:val="single" w:color="auto" w:sz="4" w:space="0"/>
              <w:bottom w:val="single" w:color="auto" w:sz="4" w:space="0"/>
              <w:right w:val="single" w:color="auto" w:sz="4" w:space="0"/>
            </w:tcBorders>
            <w:vAlign w:val="center"/>
          </w:tcPr>
          <w:p>
            <w:pPr>
              <w:pStyle w:val="94"/>
              <w:keepNext w:val="0"/>
              <w:keepLines w:val="0"/>
              <w:suppressLineNumbers w:val="0"/>
              <w:spacing w:before="0" w:beforeAutospacing="0" w:after="0" w:afterAutospacing="0" w:line="440" w:lineRule="exact"/>
              <w:ind w:left="0" w:right="0"/>
              <w:jc w:val="center"/>
              <w:rPr>
                <w:rFonts w:hint="default" w:cs="宋体"/>
                <w:sz w:val="24"/>
                <w:lang w:val="zh-CN"/>
              </w:rPr>
            </w:pPr>
            <w:r>
              <w:rPr>
                <w:rFonts w:hint="eastAsia" w:cs="宋体"/>
                <w:sz w:val="24"/>
                <w:lang w:val="zh-CN"/>
              </w:rPr>
              <w:t>生产厂家</w:t>
            </w:r>
          </w:p>
        </w:tc>
        <w:tc>
          <w:tcPr>
            <w:tcW w:w="1745" w:type="dxa"/>
            <w:tcBorders>
              <w:top w:val="single" w:color="auto" w:sz="4" w:space="0"/>
              <w:left w:val="single" w:color="auto" w:sz="4" w:space="0"/>
              <w:bottom w:val="single" w:color="auto" w:sz="4" w:space="0"/>
              <w:right w:val="single" w:color="auto" w:sz="4" w:space="0"/>
            </w:tcBorders>
            <w:vAlign w:val="center"/>
          </w:tcPr>
          <w:p>
            <w:pPr>
              <w:pStyle w:val="94"/>
              <w:keepNext w:val="0"/>
              <w:keepLines w:val="0"/>
              <w:suppressLineNumbers w:val="0"/>
              <w:spacing w:before="0" w:beforeAutospacing="0" w:after="0" w:afterAutospacing="0" w:line="440" w:lineRule="exact"/>
              <w:ind w:left="0" w:right="0"/>
              <w:jc w:val="center"/>
              <w:rPr>
                <w:rFonts w:hint="default" w:cs="宋体"/>
                <w:sz w:val="24"/>
                <w:lang w:val="zh-CN"/>
              </w:rPr>
            </w:pPr>
            <w:r>
              <w:rPr>
                <w:rFonts w:hint="eastAsia" w:cs="宋体"/>
                <w:sz w:val="24"/>
                <w:lang w:val="zh-CN"/>
              </w:rPr>
              <w:t>节能、减排、环境标志产品认证证书号</w:t>
            </w:r>
          </w:p>
        </w:tc>
        <w:tc>
          <w:tcPr>
            <w:tcW w:w="1633" w:type="dxa"/>
            <w:tcBorders>
              <w:top w:val="single" w:color="auto" w:sz="4" w:space="0"/>
              <w:left w:val="single" w:color="auto" w:sz="4" w:space="0"/>
              <w:bottom w:val="single" w:color="auto" w:sz="4" w:space="0"/>
              <w:right w:val="single" w:color="auto" w:sz="4" w:space="0"/>
            </w:tcBorders>
            <w:vAlign w:val="center"/>
          </w:tcPr>
          <w:p>
            <w:pPr>
              <w:pStyle w:val="94"/>
              <w:keepNext w:val="0"/>
              <w:keepLines w:val="0"/>
              <w:suppressLineNumbers w:val="0"/>
              <w:spacing w:before="0" w:beforeAutospacing="0" w:after="0" w:afterAutospacing="0" w:line="440" w:lineRule="exact"/>
              <w:ind w:left="0" w:right="0"/>
              <w:jc w:val="center"/>
              <w:rPr>
                <w:rFonts w:hint="default" w:cs="宋体"/>
                <w:sz w:val="24"/>
                <w:lang w:val="zh-CN"/>
              </w:rPr>
            </w:pPr>
            <w:r>
              <w:rPr>
                <w:rFonts w:hint="eastAsia" w:cs="宋体"/>
                <w:sz w:val="24"/>
                <w:lang w:val="zh-CN"/>
              </w:rPr>
              <w:t>节能、减排、环保产品认证证书有效截止日期</w:t>
            </w:r>
          </w:p>
        </w:tc>
        <w:tc>
          <w:tcPr>
            <w:tcW w:w="678" w:type="dxa"/>
            <w:tcBorders>
              <w:top w:val="single" w:color="auto" w:sz="4" w:space="0"/>
              <w:left w:val="single" w:color="auto" w:sz="4" w:space="0"/>
              <w:bottom w:val="single" w:color="auto" w:sz="4" w:space="0"/>
              <w:right w:val="single" w:color="auto" w:sz="4" w:space="0"/>
            </w:tcBorders>
            <w:vAlign w:val="center"/>
          </w:tcPr>
          <w:p>
            <w:pPr>
              <w:pStyle w:val="94"/>
              <w:keepNext w:val="0"/>
              <w:keepLines w:val="0"/>
              <w:suppressLineNumbers w:val="0"/>
              <w:spacing w:before="0" w:beforeAutospacing="0" w:after="0" w:afterAutospacing="0" w:line="440" w:lineRule="exact"/>
              <w:ind w:left="0" w:right="0"/>
              <w:jc w:val="center"/>
              <w:rPr>
                <w:rFonts w:hint="default" w:cs="宋体"/>
                <w:sz w:val="24"/>
                <w:lang w:val="zh-CN"/>
              </w:rPr>
            </w:pPr>
            <w:r>
              <w:rPr>
                <w:rFonts w:hint="eastAsia" w:cs="宋体"/>
                <w:sz w:val="24"/>
                <w:lang w:val="zh-CN"/>
              </w:rPr>
              <w:t>备注</w:t>
            </w:r>
          </w:p>
        </w:tc>
      </w:tr>
      <w:tr>
        <w:tblPrEx>
          <w:tblCellMar>
            <w:top w:w="0" w:type="dxa"/>
            <w:left w:w="108" w:type="dxa"/>
            <w:bottom w:w="0" w:type="dxa"/>
            <w:right w:w="108" w:type="dxa"/>
          </w:tblCellMar>
        </w:tblPrEx>
        <w:trPr>
          <w:trHeight w:val="504" w:hRule="atLeast"/>
          <w:jc w:val="center"/>
        </w:trPr>
        <w:tc>
          <w:tcPr>
            <w:tcW w:w="754" w:type="dxa"/>
            <w:tcBorders>
              <w:top w:val="single" w:color="auto" w:sz="4" w:space="0"/>
              <w:left w:val="single" w:color="auto" w:sz="4" w:space="0"/>
              <w:bottom w:val="single" w:color="auto" w:sz="4" w:space="0"/>
              <w:right w:val="single" w:color="auto" w:sz="4" w:space="0"/>
            </w:tcBorders>
            <w:vAlign w:val="center"/>
          </w:tcPr>
          <w:p>
            <w:pPr>
              <w:pStyle w:val="94"/>
              <w:keepNext w:val="0"/>
              <w:keepLines w:val="0"/>
              <w:suppressLineNumbers w:val="0"/>
              <w:spacing w:before="0" w:beforeAutospacing="0" w:after="0" w:afterAutospacing="0" w:line="440" w:lineRule="exact"/>
              <w:ind w:left="0" w:right="0"/>
              <w:jc w:val="center"/>
              <w:rPr>
                <w:rFonts w:hint="default" w:cs="宋体"/>
                <w:sz w:val="24"/>
                <w:lang w:val="zh-CN"/>
              </w:rPr>
            </w:pPr>
            <w:r>
              <w:rPr>
                <w:rFonts w:hint="eastAsia" w:cs="宋体"/>
                <w:sz w:val="24"/>
                <w:lang w:val="zh-CN"/>
              </w:rPr>
              <w:t>1</w:t>
            </w:r>
          </w:p>
        </w:tc>
        <w:tc>
          <w:tcPr>
            <w:tcW w:w="832" w:type="dxa"/>
            <w:tcBorders>
              <w:top w:val="single" w:color="auto" w:sz="4" w:space="0"/>
              <w:left w:val="single" w:color="auto" w:sz="4" w:space="0"/>
              <w:bottom w:val="single" w:color="auto" w:sz="4" w:space="0"/>
              <w:right w:val="single" w:color="auto" w:sz="4" w:space="0"/>
            </w:tcBorders>
            <w:vAlign w:val="center"/>
          </w:tcPr>
          <w:p>
            <w:pPr>
              <w:pStyle w:val="94"/>
              <w:keepNext w:val="0"/>
              <w:keepLines w:val="0"/>
              <w:suppressLineNumbers w:val="0"/>
              <w:spacing w:before="0" w:beforeAutospacing="0" w:after="0" w:afterAutospacing="0" w:line="440" w:lineRule="exact"/>
              <w:ind w:left="0" w:right="0"/>
              <w:jc w:val="center"/>
              <w:rPr>
                <w:rFonts w:hint="default" w:cs="宋体"/>
                <w:sz w:val="24"/>
                <w:lang w:val="zh-CN"/>
              </w:rPr>
            </w:pPr>
          </w:p>
        </w:tc>
        <w:tc>
          <w:tcPr>
            <w:tcW w:w="944" w:type="dxa"/>
            <w:tcBorders>
              <w:top w:val="single" w:color="auto" w:sz="4" w:space="0"/>
              <w:left w:val="single" w:color="auto" w:sz="4" w:space="0"/>
              <w:bottom w:val="single" w:color="auto" w:sz="4" w:space="0"/>
              <w:right w:val="single" w:color="auto" w:sz="4" w:space="0"/>
            </w:tcBorders>
            <w:vAlign w:val="center"/>
          </w:tcPr>
          <w:p>
            <w:pPr>
              <w:pStyle w:val="94"/>
              <w:keepNext w:val="0"/>
              <w:keepLines w:val="0"/>
              <w:suppressLineNumbers w:val="0"/>
              <w:spacing w:before="0" w:beforeAutospacing="0" w:after="0" w:afterAutospacing="0" w:line="440" w:lineRule="exact"/>
              <w:ind w:left="0" w:right="0"/>
              <w:jc w:val="center"/>
              <w:rPr>
                <w:rFonts w:hint="default" w:cs="宋体"/>
                <w:sz w:val="24"/>
                <w:lang w:val="zh-CN"/>
              </w:rPr>
            </w:pPr>
          </w:p>
        </w:tc>
        <w:tc>
          <w:tcPr>
            <w:tcW w:w="634" w:type="dxa"/>
            <w:tcBorders>
              <w:top w:val="single" w:color="auto" w:sz="4" w:space="0"/>
              <w:left w:val="single" w:color="auto" w:sz="4" w:space="0"/>
              <w:bottom w:val="single" w:color="auto" w:sz="4" w:space="0"/>
              <w:right w:val="single" w:color="auto" w:sz="4" w:space="0"/>
            </w:tcBorders>
            <w:vAlign w:val="center"/>
          </w:tcPr>
          <w:p>
            <w:pPr>
              <w:pStyle w:val="94"/>
              <w:keepNext w:val="0"/>
              <w:keepLines w:val="0"/>
              <w:suppressLineNumbers w:val="0"/>
              <w:spacing w:before="0" w:beforeAutospacing="0" w:after="0" w:afterAutospacing="0" w:line="440" w:lineRule="exact"/>
              <w:ind w:left="0" w:right="0"/>
              <w:jc w:val="center"/>
              <w:rPr>
                <w:rFonts w:hint="default" w:cs="宋体"/>
                <w:sz w:val="24"/>
                <w:lang w:val="zh-CN"/>
              </w:rPr>
            </w:pPr>
          </w:p>
        </w:tc>
        <w:tc>
          <w:tcPr>
            <w:tcW w:w="600" w:type="dxa"/>
            <w:tcBorders>
              <w:top w:val="single" w:color="auto" w:sz="4" w:space="0"/>
              <w:left w:val="single" w:color="auto" w:sz="4" w:space="0"/>
              <w:bottom w:val="single" w:color="auto" w:sz="4" w:space="0"/>
              <w:right w:val="single" w:color="auto" w:sz="4" w:space="0"/>
            </w:tcBorders>
            <w:vAlign w:val="center"/>
          </w:tcPr>
          <w:p>
            <w:pPr>
              <w:pStyle w:val="94"/>
              <w:keepNext w:val="0"/>
              <w:keepLines w:val="0"/>
              <w:suppressLineNumbers w:val="0"/>
              <w:spacing w:before="0" w:beforeAutospacing="0" w:after="0" w:afterAutospacing="0" w:line="440" w:lineRule="exact"/>
              <w:ind w:left="0" w:right="0"/>
              <w:jc w:val="center"/>
              <w:rPr>
                <w:rFonts w:hint="default" w:cs="宋体"/>
                <w:sz w:val="24"/>
                <w:lang w:val="zh-CN"/>
              </w:rPr>
            </w:pPr>
          </w:p>
        </w:tc>
        <w:tc>
          <w:tcPr>
            <w:tcW w:w="881" w:type="dxa"/>
            <w:tcBorders>
              <w:top w:val="single" w:color="auto" w:sz="4" w:space="0"/>
              <w:left w:val="single" w:color="auto" w:sz="4" w:space="0"/>
              <w:bottom w:val="single" w:color="auto" w:sz="4" w:space="0"/>
              <w:right w:val="single" w:color="auto" w:sz="4" w:space="0"/>
            </w:tcBorders>
            <w:vAlign w:val="center"/>
          </w:tcPr>
          <w:p>
            <w:pPr>
              <w:pStyle w:val="94"/>
              <w:keepNext w:val="0"/>
              <w:keepLines w:val="0"/>
              <w:suppressLineNumbers w:val="0"/>
              <w:spacing w:before="0" w:beforeAutospacing="0" w:after="0" w:afterAutospacing="0" w:line="440" w:lineRule="exact"/>
              <w:ind w:left="0" w:right="0"/>
              <w:jc w:val="center"/>
              <w:rPr>
                <w:rFonts w:hint="default" w:cs="宋体"/>
                <w:sz w:val="24"/>
                <w:lang w:val="zh-CN"/>
              </w:rPr>
            </w:pPr>
          </w:p>
        </w:tc>
        <w:tc>
          <w:tcPr>
            <w:tcW w:w="896" w:type="dxa"/>
            <w:tcBorders>
              <w:top w:val="single" w:color="auto" w:sz="4" w:space="0"/>
              <w:left w:val="single" w:color="auto" w:sz="4" w:space="0"/>
              <w:bottom w:val="single" w:color="auto" w:sz="4" w:space="0"/>
              <w:right w:val="single" w:color="auto" w:sz="4" w:space="0"/>
            </w:tcBorders>
            <w:vAlign w:val="center"/>
          </w:tcPr>
          <w:p>
            <w:pPr>
              <w:pStyle w:val="94"/>
              <w:keepNext w:val="0"/>
              <w:keepLines w:val="0"/>
              <w:suppressLineNumbers w:val="0"/>
              <w:spacing w:before="0" w:beforeAutospacing="0" w:after="0" w:afterAutospacing="0" w:line="440" w:lineRule="exact"/>
              <w:ind w:left="0" w:right="0"/>
              <w:jc w:val="center"/>
              <w:rPr>
                <w:rFonts w:hint="default" w:cs="宋体"/>
                <w:sz w:val="24"/>
                <w:lang w:val="zh-CN"/>
              </w:rPr>
            </w:pPr>
          </w:p>
        </w:tc>
        <w:tc>
          <w:tcPr>
            <w:tcW w:w="811" w:type="dxa"/>
            <w:tcBorders>
              <w:top w:val="single" w:color="auto" w:sz="4" w:space="0"/>
              <w:left w:val="single" w:color="auto" w:sz="4" w:space="0"/>
              <w:bottom w:val="single" w:color="auto" w:sz="4" w:space="0"/>
              <w:right w:val="single" w:color="auto" w:sz="4" w:space="0"/>
            </w:tcBorders>
            <w:vAlign w:val="center"/>
          </w:tcPr>
          <w:p>
            <w:pPr>
              <w:pStyle w:val="94"/>
              <w:keepNext w:val="0"/>
              <w:keepLines w:val="0"/>
              <w:suppressLineNumbers w:val="0"/>
              <w:spacing w:before="0" w:beforeAutospacing="0" w:after="0" w:afterAutospacing="0" w:line="440" w:lineRule="exact"/>
              <w:ind w:left="0" w:right="0"/>
              <w:jc w:val="center"/>
              <w:rPr>
                <w:rFonts w:hint="default" w:cs="宋体"/>
                <w:sz w:val="24"/>
                <w:lang w:val="zh-CN"/>
              </w:rPr>
            </w:pPr>
          </w:p>
        </w:tc>
        <w:tc>
          <w:tcPr>
            <w:tcW w:w="1745" w:type="dxa"/>
            <w:tcBorders>
              <w:top w:val="single" w:color="auto" w:sz="4" w:space="0"/>
              <w:left w:val="single" w:color="auto" w:sz="4" w:space="0"/>
              <w:bottom w:val="single" w:color="auto" w:sz="4" w:space="0"/>
              <w:right w:val="single" w:color="auto" w:sz="4" w:space="0"/>
            </w:tcBorders>
            <w:vAlign w:val="center"/>
          </w:tcPr>
          <w:p>
            <w:pPr>
              <w:pStyle w:val="94"/>
              <w:keepNext w:val="0"/>
              <w:keepLines w:val="0"/>
              <w:suppressLineNumbers w:val="0"/>
              <w:spacing w:before="0" w:beforeAutospacing="0" w:after="0" w:afterAutospacing="0" w:line="440" w:lineRule="exact"/>
              <w:ind w:left="0" w:right="0"/>
              <w:jc w:val="center"/>
              <w:rPr>
                <w:rFonts w:hint="default" w:cs="宋体"/>
                <w:sz w:val="24"/>
                <w:lang w:val="zh-CN"/>
              </w:rPr>
            </w:pPr>
          </w:p>
        </w:tc>
        <w:tc>
          <w:tcPr>
            <w:tcW w:w="1633" w:type="dxa"/>
            <w:tcBorders>
              <w:top w:val="single" w:color="auto" w:sz="4" w:space="0"/>
              <w:left w:val="single" w:color="auto" w:sz="4" w:space="0"/>
              <w:bottom w:val="single" w:color="auto" w:sz="4" w:space="0"/>
              <w:right w:val="single" w:color="auto" w:sz="4" w:space="0"/>
            </w:tcBorders>
            <w:vAlign w:val="center"/>
          </w:tcPr>
          <w:p>
            <w:pPr>
              <w:pStyle w:val="94"/>
              <w:keepNext w:val="0"/>
              <w:keepLines w:val="0"/>
              <w:suppressLineNumbers w:val="0"/>
              <w:spacing w:before="0" w:beforeAutospacing="0" w:after="0" w:afterAutospacing="0" w:line="440" w:lineRule="exact"/>
              <w:ind w:left="0" w:right="0"/>
              <w:jc w:val="center"/>
              <w:rPr>
                <w:rFonts w:hint="default" w:cs="宋体"/>
                <w:sz w:val="24"/>
                <w:lang w:val="zh-CN"/>
              </w:rPr>
            </w:pPr>
          </w:p>
        </w:tc>
        <w:tc>
          <w:tcPr>
            <w:tcW w:w="678" w:type="dxa"/>
            <w:tcBorders>
              <w:top w:val="single" w:color="auto" w:sz="4" w:space="0"/>
              <w:left w:val="single" w:color="auto" w:sz="4" w:space="0"/>
              <w:bottom w:val="single" w:color="auto" w:sz="4" w:space="0"/>
              <w:right w:val="single" w:color="auto" w:sz="4" w:space="0"/>
            </w:tcBorders>
            <w:vAlign w:val="center"/>
          </w:tcPr>
          <w:p>
            <w:pPr>
              <w:pStyle w:val="94"/>
              <w:keepNext w:val="0"/>
              <w:keepLines w:val="0"/>
              <w:suppressLineNumbers w:val="0"/>
              <w:spacing w:before="0" w:beforeAutospacing="0" w:after="0" w:afterAutospacing="0" w:line="440" w:lineRule="exact"/>
              <w:ind w:left="0" w:right="0"/>
              <w:jc w:val="center"/>
              <w:rPr>
                <w:rFonts w:hint="default" w:cs="宋体"/>
                <w:sz w:val="24"/>
                <w:lang w:val="zh-CN"/>
              </w:rPr>
            </w:pPr>
          </w:p>
        </w:tc>
      </w:tr>
      <w:tr>
        <w:tblPrEx>
          <w:tblCellMar>
            <w:top w:w="0" w:type="dxa"/>
            <w:left w:w="108" w:type="dxa"/>
            <w:bottom w:w="0" w:type="dxa"/>
            <w:right w:w="108" w:type="dxa"/>
          </w:tblCellMar>
        </w:tblPrEx>
        <w:trPr>
          <w:trHeight w:val="504" w:hRule="atLeast"/>
          <w:jc w:val="center"/>
        </w:trPr>
        <w:tc>
          <w:tcPr>
            <w:tcW w:w="754" w:type="dxa"/>
            <w:tcBorders>
              <w:top w:val="nil"/>
              <w:left w:val="single" w:color="auto" w:sz="4" w:space="0"/>
              <w:bottom w:val="single" w:color="auto" w:sz="4" w:space="0"/>
              <w:right w:val="single" w:color="auto" w:sz="4" w:space="0"/>
            </w:tcBorders>
            <w:vAlign w:val="center"/>
          </w:tcPr>
          <w:p>
            <w:pPr>
              <w:pStyle w:val="94"/>
              <w:keepNext w:val="0"/>
              <w:keepLines w:val="0"/>
              <w:suppressLineNumbers w:val="0"/>
              <w:spacing w:before="0" w:beforeAutospacing="0" w:after="0" w:afterAutospacing="0" w:line="440" w:lineRule="exact"/>
              <w:ind w:left="0" w:right="0"/>
              <w:jc w:val="center"/>
              <w:rPr>
                <w:rFonts w:hint="default" w:cs="宋体"/>
                <w:sz w:val="24"/>
                <w:lang w:val="zh-CN"/>
              </w:rPr>
            </w:pPr>
            <w:r>
              <w:rPr>
                <w:rFonts w:hint="eastAsia" w:cs="宋体"/>
                <w:sz w:val="24"/>
                <w:lang w:val="zh-CN"/>
              </w:rPr>
              <w:t>2</w:t>
            </w:r>
          </w:p>
        </w:tc>
        <w:tc>
          <w:tcPr>
            <w:tcW w:w="832" w:type="dxa"/>
            <w:tcBorders>
              <w:top w:val="nil"/>
              <w:left w:val="nil"/>
              <w:bottom w:val="single" w:color="auto" w:sz="4" w:space="0"/>
              <w:right w:val="single" w:color="auto" w:sz="4" w:space="0"/>
            </w:tcBorders>
            <w:vAlign w:val="center"/>
          </w:tcPr>
          <w:p>
            <w:pPr>
              <w:pStyle w:val="94"/>
              <w:keepNext w:val="0"/>
              <w:keepLines w:val="0"/>
              <w:suppressLineNumbers w:val="0"/>
              <w:spacing w:before="0" w:beforeAutospacing="0" w:after="0" w:afterAutospacing="0" w:line="440" w:lineRule="exact"/>
              <w:ind w:left="0" w:right="0"/>
              <w:jc w:val="center"/>
              <w:rPr>
                <w:rFonts w:hint="default" w:cs="宋体"/>
                <w:sz w:val="24"/>
                <w:lang w:val="zh-CN"/>
              </w:rPr>
            </w:pPr>
          </w:p>
        </w:tc>
        <w:tc>
          <w:tcPr>
            <w:tcW w:w="944" w:type="dxa"/>
            <w:tcBorders>
              <w:top w:val="nil"/>
              <w:left w:val="nil"/>
              <w:bottom w:val="single" w:color="auto" w:sz="4" w:space="0"/>
              <w:right w:val="single" w:color="auto" w:sz="4" w:space="0"/>
            </w:tcBorders>
            <w:vAlign w:val="center"/>
          </w:tcPr>
          <w:p>
            <w:pPr>
              <w:pStyle w:val="94"/>
              <w:keepNext w:val="0"/>
              <w:keepLines w:val="0"/>
              <w:suppressLineNumbers w:val="0"/>
              <w:spacing w:before="0" w:beforeAutospacing="0" w:after="0" w:afterAutospacing="0" w:line="440" w:lineRule="exact"/>
              <w:ind w:left="0" w:right="0"/>
              <w:jc w:val="center"/>
              <w:rPr>
                <w:rFonts w:hint="default" w:cs="宋体"/>
                <w:sz w:val="24"/>
                <w:lang w:val="zh-CN"/>
              </w:rPr>
            </w:pPr>
          </w:p>
        </w:tc>
        <w:tc>
          <w:tcPr>
            <w:tcW w:w="634" w:type="dxa"/>
            <w:tcBorders>
              <w:top w:val="nil"/>
              <w:left w:val="nil"/>
              <w:bottom w:val="single" w:color="auto" w:sz="4" w:space="0"/>
              <w:right w:val="single" w:color="auto" w:sz="4" w:space="0"/>
            </w:tcBorders>
            <w:vAlign w:val="center"/>
          </w:tcPr>
          <w:p>
            <w:pPr>
              <w:pStyle w:val="94"/>
              <w:keepNext w:val="0"/>
              <w:keepLines w:val="0"/>
              <w:suppressLineNumbers w:val="0"/>
              <w:spacing w:before="0" w:beforeAutospacing="0" w:after="0" w:afterAutospacing="0" w:line="440" w:lineRule="exact"/>
              <w:ind w:left="0" w:right="0"/>
              <w:jc w:val="center"/>
              <w:rPr>
                <w:rFonts w:hint="default" w:cs="宋体"/>
                <w:sz w:val="24"/>
                <w:lang w:val="zh-CN"/>
              </w:rPr>
            </w:pPr>
          </w:p>
        </w:tc>
        <w:tc>
          <w:tcPr>
            <w:tcW w:w="600" w:type="dxa"/>
            <w:tcBorders>
              <w:top w:val="nil"/>
              <w:left w:val="nil"/>
              <w:bottom w:val="single" w:color="auto" w:sz="4" w:space="0"/>
              <w:right w:val="single" w:color="auto" w:sz="4" w:space="0"/>
            </w:tcBorders>
            <w:vAlign w:val="center"/>
          </w:tcPr>
          <w:p>
            <w:pPr>
              <w:pStyle w:val="94"/>
              <w:keepNext w:val="0"/>
              <w:keepLines w:val="0"/>
              <w:suppressLineNumbers w:val="0"/>
              <w:spacing w:before="0" w:beforeAutospacing="0" w:after="0" w:afterAutospacing="0" w:line="440" w:lineRule="exact"/>
              <w:ind w:left="0" w:right="0"/>
              <w:jc w:val="center"/>
              <w:rPr>
                <w:rFonts w:hint="default" w:cs="宋体"/>
                <w:sz w:val="24"/>
                <w:lang w:val="zh-CN"/>
              </w:rPr>
            </w:pPr>
          </w:p>
        </w:tc>
        <w:tc>
          <w:tcPr>
            <w:tcW w:w="881" w:type="dxa"/>
            <w:tcBorders>
              <w:top w:val="nil"/>
              <w:left w:val="nil"/>
              <w:bottom w:val="single" w:color="auto" w:sz="4" w:space="0"/>
              <w:right w:val="single" w:color="auto" w:sz="4" w:space="0"/>
            </w:tcBorders>
            <w:vAlign w:val="center"/>
          </w:tcPr>
          <w:p>
            <w:pPr>
              <w:pStyle w:val="94"/>
              <w:keepNext w:val="0"/>
              <w:keepLines w:val="0"/>
              <w:suppressLineNumbers w:val="0"/>
              <w:spacing w:before="0" w:beforeAutospacing="0" w:after="0" w:afterAutospacing="0" w:line="440" w:lineRule="exact"/>
              <w:ind w:left="0" w:right="0"/>
              <w:jc w:val="center"/>
              <w:rPr>
                <w:rFonts w:hint="default" w:cs="宋体"/>
                <w:sz w:val="24"/>
                <w:lang w:val="zh-CN"/>
              </w:rPr>
            </w:pPr>
          </w:p>
        </w:tc>
        <w:tc>
          <w:tcPr>
            <w:tcW w:w="896" w:type="dxa"/>
            <w:tcBorders>
              <w:top w:val="nil"/>
              <w:left w:val="nil"/>
              <w:bottom w:val="single" w:color="auto" w:sz="4" w:space="0"/>
              <w:right w:val="single" w:color="auto" w:sz="4" w:space="0"/>
            </w:tcBorders>
            <w:vAlign w:val="center"/>
          </w:tcPr>
          <w:p>
            <w:pPr>
              <w:pStyle w:val="94"/>
              <w:keepNext w:val="0"/>
              <w:keepLines w:val="0"/>
              <w:suppressLineNumbers w:val="0"/>
              <w:spacing w:before="0" w:beforeAutospacing="0" w:after="0" w:afterAutospacing="0" w:line="440" w:lineRule="exact"/>
              <w:ind w:left="0" w:right="0"/>
              <w:jc w:val="center"/>
              <w:rPr>
                <w:rFonts w:hint="default" w:cs="宋体"/>
                <w:sz w:val="24"/>
                <w:lang w:val="zh-CN"/>
              </w:rPr>
            </w:pPr>
          </w:p>
        </w:tc>
        <w:tc>
          <w:tcPr>
            <w:tcW w:w="811" w:type="dxa"/>
            <w:tcBorders>
              <w:top w:val="nil"/>
              <w:left w:val="nil"/>
              <w:bottom w:val="single" w:color="auto" w:sz="4" w:space="0"/>
              <w:right w:val="single" w:color="auto" w:sz="4" w:space="0"/>
            </w:tcBorders>
            <w:vAlign w:val="center"/>
          </w:tcPr>
          <w:p>
            <w:pPr>
              <w:pStyle w:val="94"/>
              <w:keepNext w:val="0"/>
              <w:keepLines w:val="0"/>
              <w:suppressLineNumbers w:val="0"/>
              <w:spacing w:before="0" w:beforeAutospacing="0" w:after="0" w:afterAutospacing="0" w:line="440" w:lineRule="exact"/>
              <w:ind w:left="0" w:right="0"/>
              <w:jc w:val="center"/>
              <w:rPr>
                <w:rFonts w:hint="default" w:cs="宋体"/>
                <w:sz w:val="24"/>
                <w:lang w:val="zh-CN"/>
              </w:rPr>
            </w:pPr>
          </w:p>
        </w:tc>
        <w:tc>
          <w:tcPr>
            <w:tcW w:w="1745" w:type="dxa"/>
            <w:tcBorders>
              <w:top w:val="nil"/>
              <w:left w:val="nil"/>
              <w:bottom w:val="single" w:color="auto" w:sz="4" w:space="0"/>
              <w:right w:val="single" w:color="auto" w:sz="4" w:space="0"/>
            </w:tcBorders>
            <w:vAlign w:val="center"/>
          </w:tcPr>
          <w:p>
            <w:pPr>
              <w:pStyle w:val="94"/>
              <w:keepNext w:val="0"/>
              <w:keepLines w:val="0"/>
              <w:suppressLineNumbers w:val="0"/>
              <w:spacing w:before="0" w:beforeAutospacing="0" w:after="0" w:afterAutospacing="0" w:line="440" w:lineRule="exact"/>
              <w:ind w:left="0" w:right="0"/>
              <w:jc w:val="center"/>
              <w:rPr>
                <w:rFonts w:hint="default" w:cs="宋体"/>
                <w:sz w:val="24"/>
                <w:lang w:val="zh-CN"/>
              </w:rPr>
            </w:pPr>
          </w:p>
        </w:tc>
        <w:tc>
          <w:tcPr>
            <w:tcW w:w="1633" w:type="dxa"/>
            <w:tcBorders>
              <w:top w:val="nil"/>
              <w:left w:val="nil"/>
              <w:bottom w:val="single" w:color="auto" w:sz="4" w:space="0"/>
              <w:right w:val="single" w:color="auto" w:sz="4" w:space="0"/>
            </w:tcBorders>
            <w:vAlign w:val="center"/>
          </w:tcPr>
          <w:p>
            <w:pPr>
              <w:pStyle w:val="94"/>
              <w:keepNext w:val="0"/>
              <w:keepLines w:val="0"/>
              <w:suppressLineNumbers w:val="0"/>
              <w:spacing w:before="0" w:beforeAutospacing="0" w:after="0" w:afterAutospacing="0" w:line="440" w:lineRule="exact"/>
              <w:ind w:left="0" w:right="0"/>
              <w:jc w:val="center"/>
              <w:rPr>
                <w:rFonts w:hint="default" w:cs="宋体"/>
                <w:sz w:val="24"/>
                <w:lang w:val="zh-CN"/>
              </w:rPr>
            </w:pPr>
          </w:p>
        </w:tc>
        <w:tc>
          <w:tcPr>
            <w:tcW w:w="678" w:type="dxa"/>
            <w:tcBorders>
              <w:top w:val="nil"/>
              <w:left w:val="nil"/>
              <w:bottom w:val="single" w:color="auto" w:sz="4" w:space="0"/>
              <w:right w:val="single" w:color="auto" w:sz="4" w:space="0"/>
            </w:tcBorders>
            <w:vAlign w:val="center"/>
          </w:tcPr>
          <w:p>
            <w:pPr>
              <w:pStyle w:val="94"/>
              <w:keepNext w:val="0"/>
              <w:keepLines w:val="0"/>
              <w:suppressLineNumbers w:val="0"/>
              <w:spacing w:before="0" w:beforeAutospacing="0" w:after="0" w:afterAutospacing="0" w:line="440" w:lineRule="exact"/>
              <w:ind w:left="0" w:right="0"/>
              <w:jc w:val="center"/>
              <w:rPr>
                <w:rFonts w:hint="default" w:cs="宋体"/>
                <w:sz w:val="24"/>
                <w:lang w:val="zh-CN"/>
              </w:rPr>
            </w:pPr>
          </w:p>
        </w:tc>
      </w:tr>
      <w:tr>
        <w:tblPrEx>
          <w:tblCellMar>
            <w:top w:w="0" w:type="dxa"/>
            <w:left w:w="108" w:type="dxa"/>
            <w:bottom w:w="0" w:type="dxa"/>
            <w:right w:w="108" w:type="dxa"/>
          </w:tblCellMar>
        </w:tblPrEx>
        <w:trPr>
          <w:trHeight w:val="504" w:hRule="atLeast"/>
          <w:jc w:val="center"/>
        </w:trPr>
        <w:tc>
          <w:tcPr>
            <w:tcW w:w="754" w:type="dxa"/>
            <w:tcBorders>
              <w:top w:val="nil"/>
              <w:left w:val="single" w:color="auto" w:sz="4" w:space="0"/>
              <w:bottom w:val="single" w:color="auto" w:sz="4" w:space="0"/>
              <w:right w:val="single" w:color="auto" w:sz="4" w:space="0"/>
            </w:tcBorders>
            <w:vAlign w:val="center"/>
          </w:tcPr>
          <w:p>
            <w:pPr>
              <w:pStyle w:val="94"/>
              <w:keepNext w:val="0"/>
              <w:keepLines w:val="0"/>
              <w:suppressLineNumbers w:val="0"/>
              <w:spacing w:before="0" w:beforeAutospacing="0" w:after="0" w:afterAutospacing="0" w:line="440" w:lineRule="exact"/>
              <w:ind w:left="0" w:right="0"/>
              <w:jc w:val="center"/>
              <w:rPr>
                <w:rFonts w:hint="default" w:cs="宋体"/>
                <w:sz w:val="24"/>
                <w:lang w:val="zh-CN"/>
              </w:rPr>
            </w:pPr>
            <w:r>
              <w:rPr>
                <w:rFonts w:hint="eastAsia" w:cs="宋体"/>
                <w:sz w:val="24"/>
                <w:lang w:val="zh-CN"/>
              </w:rPr>
              <w:t>3</w:t>
            </w:r>
          </w:p>
        </w:tc>
        <w:tc>
          <w:tcPr>
            <w:tcW w:w="832" w:type="dxa"/>
            <w:tcBorders>
              <w:top w:val="nil"/>
              <w:left w:val="nil"/>
              <w:bottom w:val="single" w:color="auto" w:sz="4" w:space="0"/>
              <w:right w:val="single" w:color="auto" w:sz="4" w:space="0"/>
            </w:tcBorders>
            <w:vAlign w:val="center"/>
          </w:tcPr>
          <w:p>
            <w:pPr>
              <w:pStyle w:val="94"/>
              <w:keepNext w:val="0"/>
              <w:keepLines w:val="0"/>
              <w:suppressLineNumbers w:val="0"/>
              <w:spacing w:before="0" w:beforeAutospacing="0" w:after="0" w:afterAutospacing="0" w:line="440" w:lineRule="exact"/>
              <w:ind w:left="0" w:right="0"/>
              <w:jc w:val="center"/>
              <w:rPr>
                <w:rFonts w:hint="default" w:cs="宋体"/>
                <w:sz w:val="24"/>
                <w:lang w:val="zh-CN"/>
              </w:rPr>
            </w:pPr>
          </w:p>
        </w:tc>
        <w:tc>
          <w:tcPr>
            <w:tcW w:w="944" w:type="dxa"/>
            <w:tcBorders>
              <w:top w:val="nil"/>
              <w:left w:val="nil"/>
              <w:bottom w:val="single" w:color="auto" w:sz="4" w:space="0"/>
              <w:right w:val="single" w:color="auto" w:sz="4" w:space="0"/>
            </w:tcBorders>
            <w:vAlign w:val="center"/>
          </w:tcPr>
          <w:p>
            <w:pPr>
              <w:pStyle w:val="94"/>
              <w:keepNext w:val="0"/>
              <w:keepLines w:val="0"/>
              <w:suppressLineNumbers w:val="0"/>
              <w:spacing w:before="0" w:beforeAutospacing="0" w:after="0" w:afterAutospacing="0" w:line="440" w:lineRule="exact"/>
              <w:ind w:left="0" w:right="0"/>
              <w:jc w:val="center"/>
              <w:rPr>
                <w:rFonts w:hint="default" w:cs="宋体"/>
                <w:sz w:val="24"/>
                <w:lang w:val="zh-CN"/>
              </w:rPr>
            </w:pPr>
          </w:p>
        </w:tc>
        <w:tc>
          <w:tcPr>
            <w:tcW w:w="634" w:type="dxa"/>
            <w:tcBorders>
              <w:top w:val="nil"/>
              <w:left w:val="nil"/>
              <w:bottom w:val="single" w:color="auto" w:sz="4" w:space="0"/>
              <w:right w:val="single" w:color="auto" w:sz="4" w:space="0"/>
            </w:tcBorders>
            <w:vAlign w:val="center"/>
          </w:tcPr>
          <w:p>
            <w:pPr>
              <w:pStyle w:val="94"/>
              <w:keepNext w:val="0"/>
              <w:keepLines w:val="0"/>
              <w:suppressLineNumbers w:val="0"/>
              <w:spacing w:before="0" w:beforeAutospacing="0" w:after="0" w:afterAutospacing="0" w:line="440" w:lineRule="exact"/>
              <w:ind w:left="0" w:right="0"/>
              <w:jc w:val="center"/>
              <w:rPr>
                <w:rFonts w:hint="default" w:cs="宋体"/>
                <w:sz w:val="24"/>
                <w:lang w:val="zh-CN"/>
              </w:rPr>
            </w:pPr>
          </w:p>
        </w:tc>
        <w:tc>
          <w:tcPr>
            <w:tcW w:w="600" w:type="dxa"/>
            <w:tcBorders>
              <w:top w:val="nil"/>
              <w:left w:val="nil"/>
              <w:bottom w:val="single" w:color="auto" w:sz="4" w:space="0"/>
              <w:right w:val="single" w:color="auto" w:sz="4" w:space="0"/>
            </w:tcBorders>
            <w:vAlign w:val="center"/>
          </w:tcPr>
          <w:p>
            <w:pPr>
              <w:pStyle w:val="94"/>
              <w:keepNext w:val="0"/>
              <w:keepLines w:val="0"/>
              <w:suppressLineNumbers w:val="0"/>
              <w:spacing w:before="0" w:beforeAutospacing="0" w:after="0" w:afterAutospacing="0" w:line="440" w:lineRule="exact"/>
              <w:ind w:left="0" w:right="0"/>
              <w:jc w:val="center"/>
              <w:rPr>
                <w:rFonts w:hint="default" w:cs="宋体"/>
                <w:sz w:val="24"/>
                <w:lang w:val="zh-CN"/>
              </w:rPr>
            </w:pPr>
          </w:p>
        </w:tc>
        <w:tc>
          <w:tcPr>
            <w:tcW w:w="881" w:type="dxa"/>
            <w:tcBorders>
              <w:top w:val="nil"/>
              <w:left w:val="nil"/>
              <w:bottom w:val="single" w:color="auto" w:sz="4" w:space="0"/>
              <w:right w:val="single" w:color="auto" w:sz="4" w:space="0"/>
            </w:tcBorders>
            <w:vAlign w:val="center"/>
          </w:tcPr>
          <w:p>
            <w:pPr>
              <w:pStyle w:val="94"/>
              <w:keepNext w:val="0"/>
              <w:keepLines w:val="0"/>
              <w:suppressLineNumbers w:val="0"/>
              <w:spacing w:before="0" w:beforeAutospacing="0" w:after="0" w:afterAutospacing="0" w:line="440" w:lineRule="exact"/>
              <w:ind w:left="0" w:right="0"/>
              <w:jc w:val="center"/>
              <w:rPr>
                <w:rFonts w:hint="default" w:cs="宋体"/>
                <w:sz w:val="24"/>
                <w:lang w:val="zh-CN"/>
              </w:rPr>
            </w:pPr>
          </w:p>
        </w:tc>
        <w:tc>
          <w:tcPr>
            <w:tcW w:w="896" w:type="dxa"/>
            <w:tcBorders>
              <w:top w:val="nil"/>
              <w:left w:val="nil"/>
              <w:bottom w:val="single" w:color="auto" w:sz="4" w:space="0"/>
              <w:right w:val="single" w:color="auto" w:sz="4" w:space="0"/>
            </w:tcBorders>
            <w:vAlign w:val="center"/>
          </w:tcPr>
          <w:p>
            <w:pPr>
              <w:pStyle w:val="94"/>
              <w:keepNext w:val="0"/>
              <w:keepLines w:val="0"/>
              <w:suppressLineNumbers w:val="0"/>
              <w:spacing w:before="0" w:beforeAutospacing="0" w:after="0" w:afterAutospacing="0" w:line="440" w:lineRule="exact"/>
              <w:ind w:left="0" w:right="0"/>
              <w:jc w:val="center"/>
              <w:rPr>
                <w:rFonts w:hint="default" w:cs="宋体"/>
                <w:sz w:val="24"/>
                <w:lang w:val="zh-CN"/>
              </w:rPr>
            </w:pPr>
          </w:p>
        </w:tc>
        <w:tc>
          <w:tcPr>
            <w:tcW w:w="811" w:type="dxa"/>
            <w:tcBorders>
              <w:top w:val="nil"/>
              <w:left w:val="nil"/>
              <w:bottom w:val="single" w:color="auto" w:sz="4" w:space="0"/>
              <w:right w:val="single" w:color="auto" w:sz="4" w:space="0"/>
            </w:tcBorders>
            <w:vAlign w:val="center"/>
          </w:tcPr>
          <w:p>
            <w:pPr>
              <w:pStyle w:val="94"/>
              <w:keepNext w:val="0"/>
              <w:keepLines w:val="0"/>
              <w:suppressLineNumbers w:val="0"/>
              <w:spacing w:before="0" w:beforeAutospacing="0" w:after="0" w:afterAutospacing="0" w:line="440" w:lineRule="exact"/>
              <w:ind w:left="0" w:right="0"/>
              <w:jc w:val="center"/>
              <w:rPr>
                <w:rFonts w:hint="default" w:cs="宋体"/>
                <w:sz w:val="24"/>
                <w:lang w:val="zh-CN"/>
              </w:rPr>
            </w:pPr>
          </w:p>
        </w:tc>
        <w:tc>
          <w:tcPr>
            <w:tcW w:w="1745" w:type="dxa"/>
            <w:tcBorders>
              <w:top w:val="nil"/>
              <w:left w:val="nil"/>
              <w:bottom w:val="single" w:color="auto" w:sz="4" w:space="0"/>
              <w:right w:val="single" w:color="auto" w:sz="4" w:space="0"/>
            </w:tcBorders>
            <w:vAlign w:val="center"/>
          </w:tcPr>
          <w:p>
            <w:pPr>
              <w:pStyle w:val="94"/>
              <w:keepNext w:val="0"/>
              <w:keepLines w:val="0"/>
              <w:suppressLineNumbers w:val="0"/>
              <w:spacing w:before="0" w:beforeAutospacing="0" w:after="0" w:afterAutospacing="0" w:line="440" w:lineRule="exact"/>
              <w:ind w:left="0" w:right="0"/>
              <w:jc w:val="center"/>
              <w:rPr>
                <w:rFonts w:hint="default" w:cs="宋体"/>
                <w:sz w:val="24"/>
                <w:lang w:val="zh-CN"/>
              </w:rPr>
            </w:pPr>
          </w:p>
        </w:tc>
        <w:tc>
          <w:tcPr>
            <w:tcW w:w="1633" w:type="dxa"/>
            <w:tcBorders>
              <w:top w:val="nil"/>
              <w:left w:val="nil"/>
              <w:bottom w:val="single" w:color="auto" w:sz="4" w:space="0"/>
              <w:right w:val="single" w:color="auto" w:sz="4" w:space="0"/>
            </w:tcBorders>
            <w:vAlign w:val="center"/>
          </w:tcPr>
          <w:p>
            <w:pPr>
              <w:pStyle w:val="94"/>
              <w:keepNext w:val="0"/>
              <w:keepLines w:val="0"/>
              <w:suppressLineNumbers w:val="0"/>
              <w:spacing w:before="0" w:beforeAutospacing="0" w:after="0" w:afterAutospacing="0" w:line="440" w:lineRule="exact"/>
              <w:ind w:left="0" w:right="0"/>
              <w:jc w:val="center"/>
              <w:rPr>
                <w:rFonts w:hint="default" w:cs="宋体"/>
                <w:sz w:val="24"/>
                <w:lang w:val="zh-CN"/>
              </w:rPr>
            </w:pPr>
          </w:p>
        </w:tc>
        <w:tc>
          <w:tcPr>
            <w:tcW w:w="678" w:type="dxa"/>
            <w:tcBorders>
              <w:top w:val="nil"/>
              <w:left w:val="nil"/>
              <w:bottom w:val="single" w:color="auto" w:sz="4" w:space="0"/>
              <w:right w:val="single" w:color="auto" w:sz="4" w:space="0"/>
            </w:tcBorders>
            <w:vAlign w:val="center"/>
          </w:tcPr>
          <w:p>
            <w:pPr>
              <w:pStyle w:val="94"/>
              <w:keepNext w:val="0"/>
              <w:keepLines w:val="0"/>
              <w:suppressLineNumbers w:val="0"/>
              <w:spacing w:before="0" w:beforeAutospacing="0" w:after="0" w:afterAutospacing="0" w:line="440" w:lineRule="exact"/>
              <w:ind w:left="0" w:right="0"/>
              <w:jc w:val="center"/>
              <w:rPr>
                <w:rFonts w:hint="default" w:cs="宋体"/>
                <w:sz w:val="24"/>
                <w:lang w:val="zh-CN"/>
              </w:rPr>
            </w:pPr>
          </w:p>
        </w:tc>
      </w:tr>
      <w:tr>
        <w:tblPrEx>
          <w:tblCellMar>
            <w:top w:w="0" w:type="dxa"/>
            <w:left w:w="108" w:type="dxa"/>
            <w:bottom w:w="0" w:type="dxa"/>
            <w:right w:w="108" w:type="dxa"/>
          </w:tblCellMar>
        </w:tblPrEx>
        <w:trPr>
          <w:trHeight w:val="504" w:hRule="atLeast"/>
          <w:jc w:val="center"/>
        </w:trPr>
        <w:tc>
          <w:tcPr>
            <w:tcW w:w="754" w:type="dxa"/>
            <w:tcBorders>
              <w:top w:val="nil"/>
              <w:left w:val="single" w:color="auto" w:sz="4" w:space="0"/>
              <w:bottom w:val="single" w:color="auto" w:sz="4" w:space="0"/>
              <w:right w:val="single" w:color="auto" w:sz="4" w:space="0"/>
            </w:tcBorders>
            <w:vAlign w:val="center"/>
          </w:tcPr>
          <w:p>
            <w:pPr>
              <w:pStyle w:val="94"/>
              <w:keepNext w:val="0"/>
              <w:keepLines w:val="0"/>
              <w:suppressLineNumbers w:val="0"/>
              <w:spacing w:before="0" w:beforeAutospacing="0" w:after="0" w:afterAutospacing="0" w:line="440" w:lineRule="exact"/>
              <w:ind w:left="0" w:right="0"/>
              <w:jc w:val="center"/>
              <w:rPr>
                <w:rFonts w:hint="default" w:cs="宋体"/>
                <w:sz w:val="24"/>
                <w:lang w:val="zh-CN"/>
              </w:rPr>
            </w:pPr>
            <w:r>
              <w:rPr>
                <w:rFonts w:hint="eastAsia" w:cs="宋体"/>
                <w:sz w:val="24"/>
                <w:lang w:val="zh-CN"/>
              </w:rPr>
              <w:t>4</w:t>
            </w:r>
          </w:p>
        </w:tc>
        <w:tc>
          <w:tcPr>
            <w:tcW w:w="832" w:type="dxa"/>
            <w:tcBorders>
              <w:top w:val="nil"/>
              <w:left w:val="nil"/>
              <w:bottom w:val="single" w:color="auto" w:sz="4" w:space="0"/>
              <w:right w:val="single" w:color="auto" w:sz="4" w:space="0"/>
            </w:tcBorders>
            <w:vAlign w:val="center"/>
          </w:tcPr>
          <w:p>
            <w:pPr>
              <w:pStyle w:val="94"/>
              <w:keepNext w:val="0"/>
              <w:keepLines w:val="0"/>
              <w:suppressLineNumbers w:val="0"/>
              <w:spacing w:before="0" w:beforeAutospacing="0" w:after="0" w:afterAutospacing="0" w:line="440" w:lineRule="exact"/>
              <w:ind w:left="0" w:right="0"/>
              <w:jc w:val="center"/>
              <w:rPr>
                <w:rFonts w:hint="default" w:cs="宋体"/>
                <w:sz w:val="24"/>
                <w:lang w:val="zh-CN"/>
              </w:rPr>
            </w:pPr>
          </w:p>
        </w:tc>
        <w:tc>
          <w:tcPr>
            <w:tcW w:w="944" w:type="dxa"/>
            <w:tcBorders>
              <w:top w:val="nil"/>
              <w:left w:val="nil"/>
              <w:bottom w:val="single" w:color="auto" w:sz="4" w:space="0"/>
              <w:right w:val="single" w:color="auto" w:sz="4" w:space="0"/>
            </w:tcBorders>
            <w:vAlign w:val="center"/>
          </w:tcPr>
          <w:p>
            <w:pPr>
              <w:pStyle w:val="94"/>
              <w:keepNext w:val="0"/>
              <w:keepLines w:val="0"/>
              <w:suppressLineNumbers w:val="0"/>
              <w:spacing w:before="0" w:beforeAutospacing="0" w:after="0" w:afterAutospacing="0" w:line="440" w:lineRule="exact"/>
              <w:ind w:left="0" w:right="0"/>
              <w:jc w:val="center"/>
              <w:rPr>
                <w:rFonts w:hint="default" w:cs="宋体"/>
                <w:sz w:val="24"/>
                <w:lang w:val="zh-CN"/>
              </w:rPr>
            </w:pPr>
          </w:p>
        </w:tc>
        <w:tc>
          <w:tcPr>
            <w:tcW w:w="634" w:type="dxa"/>
            <w:tcBorders>
              <w:top w:val="nil"/>
              <w:left w:val="nil"/>
              <w:bottom w:val="single" w:color="auto" w:sz="4" w:space="0"/>
              <w:right w:val="single" w:color="auto" w:sz="4" w:space="0"/>
            </w:tcBorders>
            <w:vAlign w:val="center"/>
          </w:tcPr>
          <w:p>
            <w:pPr>
              <w:pStyle w:val="94"/>
              <w:keepNext w:val="0"/>
              <w:keepLines w:val="0"/>
              <w:suppressLineNumbers w:val="0"/>
              <w:spacing w:before="0" w:beforeAutospacing="0" w:after="0" w:afterAutospacing="0" w:line="440" w:lineRule="exact"/>
              <w:ind w:left="0" w:right="0"/>
              <w:jc w:val="center"/>
              <w:rPr>
                <w:rFonts w:hint="default" w:cs="宋体"/>
                <w:sz w:val="24"/>
                <w:lang w:val="zh-CN"/>
              </w:rPr>
            </w:pPr>
          </w:p>
        </w:tc>
        <w:tc>
          <w:tcPr>
            <w:tcW w:w="600" w:type="dxa"/>
            <w:tcBorders>
              <w:top w:val="nil"/>
              <w:left w:val="nil"/>
              <w:bottom w:val="single" w:color="auto" w:sz="4" w:space="0"/>
              <w:right w:val="single" w:color="auto" w:sz="4" w:space="0"/>
            </w:tcBorders>
            <w:vAlign w:val="center"/>
          </w:tcPr>
          <w:p>
            <w:pPr>
              <w:pStyle w:val="94"/>
              <w:keepNext w:val="0"/>
              <w:keepLines w:val="0"/>
              <w:suppressLineNumbers w:val="0"/>
              <w:spacing w:before="0" w:beforeAutospacing="0" w:after="0" w:afterAutospacing="0" w:line="440" w:lineRule="exact"/>
              <w:ind w:left="0" w:right="0"/>
              <w:jc w:val="center"/>
              <w:rPr>
                <w:rFonts w:hint="default" w:cs="宋体"/>
                <w:sz w:val="24"/>
                <w:lang w:val="zh-CN"/>
              </w:rPr>
            </w:pPr>
          </w:p>
        </w:tc>
        <w:tc>
          <w:tcPr>
            <w:tcW w:w="881" w:type="dxa"/>
            <w:tcBorders>
              <w:top w:val="nil"/>
              <w:left w:val="nil"/>
              <w:bottom w:val="single" w:color="auto" w:sz="4" w:space="0"/>
              <w:right w:val="single" w:color="auto" w:sz="4" w:space="0"/>
            </w:tcBorders>
            <w:vAlign w:val="center"/>
          </w:tcPr>
          <w:p>
            <w:pPr>
              <w:pStyle w:val="94"/>
              <w:keepNext w:val="0"/>
              <w:keepLines w:val="0"/>
              <w:suppressLineNumbers w:val="0"/>
              <w:spacing w:before="0" w:beforeAutospacing="0" w:after="0" w:afterAutospacing="0" w:line="440" w:lineRule="exact"/>
              <w:ind w:left="0" w:right="0"/>
              <w:jc w:val="center"/>
              <w:rPr>
                <w:rFonts w:hint="default" w:cs="宋体"/>
                <w:sz w:val="24"/>
                <w:lang w:val="zh-CN"/>
              </w:rPr>
            </w:pPr>
          </w:p>
        </w:tc>
        <w:tc>
          <w:tcPr>
            <w:tcW w:w="896" w:type="dxa"/>
            <w:tcBorders>
              <w:top w:val="nil"/>
              <w:left w:val="nil"/>
              <w:bottom w:val="single" w:color="auto" w:sz="4" w:space="0"/>
              <w:right w:val="single" w:color="auto" w:sz="4" w:space="0"/>
            </w:tcBorders>
            <w:vAlign w:val="center"/>
          </w:tcPr>
          <w:p>
            <w:pPr>
              <w:pStyle w:val="94"/>
              <w:keepNext w:val="0"/>
              <w:keepLines w:val="0"/>
              <w:suppressLineNumbers w:val="0"/>
              <w:spacing w:before="0" w:beforeAutospacing="0" w:after="0" w:afterAutospacing="0" w:line="440" w:lineRule="exact"/>
              <w:ind w:left="0" w:right="0"/>
              <w:jc w:val="center"/>
              <w:rPr>
                <w:rFonts w:hint="default" w:cs="宋体"/>
                <w:sz w:val="24"/>
                <w:lang w:val="zh-CN"/>
              </w:rPr>
            </w:pPr>
          </w:p>
        </w:tc>
        <w:tc>
          <w:tcPr>
            <w:tcW w:w="811" w:type="dxa"/>
            <w:tcBorders>
              <w:top w:val="nil"/>
              <w:left w:val="nil"/>
              <w:bottom w:val="single" w:color="auto" w:sz="4" w:space="0"/>
              <w:right w:val="single" w:color="auto" w:sz="4" w:space="0"/>
            </w:tcBorders>
            <w:vAlign w:val="center"/>
          </w:tcPr>
          <w:p>
            <w:pPr>
              <w:pStyle w:val="94"/>
              <w:keepNext w:val="0"/>
              <w:keepLines w:val="0"/>
              <w:suppressLineNumbers w:val="0"/>
              <w:spacing w:before="0" w:beforeAutospacing="0" w:after="0" w:afterAutospacing="0" w:line="440" w:lineRule="exact"/>
              <w:ind w:left="0" w:right="0"/>
              <w:jc w:val="center"/>
              <w:rPr>
                <w:rFonts w:hint="default" w:cs="宋体"/>
                <w:sz w:val="24"/>
                <w:lang w:val="zh-CN"/>
              </w:rPr>
            </w:pPr>
          </w:p>
        </w:tc>
        <w:tc>
          <w:tcPr>
            <w:tcW w:w="1745" w:type="dxa"/>
            <w:tcBorders>
              <w:top w:val="nil"/>
              <w:left w:val="nil"/>
              <w:bottom w:val="single" w:color="auto" w:sz="4" w:space="0"/>
              <w:right w:val="single" w:color="auto" w:sz="4" w:space="0"/>
            </w:tcBorders>
            <w:vAlign w:val="center"/>
          </w:tcPr>
          <w:p>
            <w:pPr>
              <w:pStyle w:val="94"/>
              <w:keepNext w:val="0"/>
              <w:keepLines w:val="0"/>
              <w:suppressLineNumbers w:val="0"/>
              <w:spacing w:before="0" w:beforeAutospacing="0" w:after="0" w:afterAutospacing="0" w:line="440" w:lineRule="exact"/>
              <w:ind w:left="0" w:right="0"/>
              <w:jc w:val="center"/>
              <w:rPr>
                <w:rFonts w:hint="default" w:cs="宋体"/>
                <w:sz w:val="24"/>
                <w:lang w:val="zh-CN"/>
              </w:rPr>
            </w:pPr>
          </w:p>
        </w:tc>
        <w:tc>
          <w:tcPr>
            <w:tcW w:w="1633" w:type="dxa"/>
            <w:tcBorders>
              <w:top w:val="nil"/>
              <w:left w:val="nil"/>
              <w:bottom w:val="single" w:color="auto" w:sz="4" w:space="0"/>
              <w:right w:val="single" w:color="auto" w:sz="4" w:space="0"/>
            </w:tcBorders>
            <w:vAlign w:val="center"/>
          </w:tcPr>
          <w:p>
            <w:pPr>
              <w:pStyle w:val="94"/>
              <w:keepNext w:val="0"/>
              <w:keepLines w:val="0"/>
              <w:suppressLineNumbers w:val="0"/>
              <w:spacing w:before="0" w:beforeAutospacing="0" w:after="0" w:afterAutospacing="0" w:line="440" w:lineRule="exact"/>
              <w:ind w:left="0" w:right="0"/>
              <w:jc w:val="center"/>
              <w:rPr>
                <w:rFonts w:hint="default" w:cs="宋体"/>
                <w:sz w:val="24"/>
                <w:lang w:val="zh-CN"/>
              </w:rPr>
            </w:pPr>
          </w:p>
        </w:tc>
        <w:tc>
          <w:tcPr>
            <w:tcW w:w="678" w:type="dxa"/>
            <w:tcBorders>
              <w:top w:val="nil"/>
              <w:left w:val="nil"/>
              <w:bottom w:val="single" w:color="auto" w:sz="4" w:space="0"/>
              <w:right w:val="single" w:color="auto" w:sz="4" w:space="0"/>
            </w:tcBorders>
            <w:vAlign w:val="center"/>
          </w:tcPr>
          <w:p>
            <w:pPr>
              <w:pStyle w:val="94"/>
              <w:keepNext w:val="0"/>
              <w:keepLines w:val="0"/>
              <w:suppressLineNumbers w:val="0"/>
              <w:spacing w:before="0" w:beforeAutospacing="0" w:after="0" w:afterAutospacing="0" w:line="440" w:lineRule="exact"/>
              <w:ind w:left="0" w:right="0"/>
              <w:jc w:val="center"/>
              <w:rPr>
                <w:rFonts w:hint="default" w:cs="宋体"/>
                <w:sz w:val="24"/>
                <w:lang w:val="zh-CN"/>
              </w:rPr>
            </w:pPr>
          </w:p>
        </w:tc>
      </w:tr>
      <w:tr>
        <w:tblPrEx>
          <w:tblCellMar>
            <w:top w:w="0" w:type="dxa"/>
            <w:left w:w="108" w:type="dxa"/>
            <w:bottom w:w="0" w:type="dxa"/>
            <w:right w:w="108" w:type="dxa"/>
          </w:tblCellMar>
        </w:tblPrEx>
        <w:trPr>
          <w:trHeight w:val="504" w:hRule="atLeast"/>
          <w:jc w:val="center"/>
        </w:trPr>
        <w:tc>
          <w:tcPr>
            <w:tcW w:w="754" w:type="dxa"/>
            <w:tcBorders>
              <w:top w:val="nil"/>
              <w:left w:val="single" w:color="auto" w:sz="4" w:space="0"/>
              <w:bottom w:val="single" w:color="auto" w:sz="4" w:space="0"/>
              <w:right w:val="single" w:color="auto" w:sz="4" w:space="0"/>
            </w:tcBorders>
            <w:vAlign w:val="center"/>
          </w:tcPr>
          <w:p>
            <w:pPr>
              <w:pStyle w:val="94"/>
              <w:keepNext w:val="0"/>
              <w:keepLines w:val="0"/>
              <w:suppressLineNumbers w:val="0"/>
              <w:spacing w:before="0" w:beforeAutospacing="0" w:after="0" w:afterAutospacing="0" w:line="440" w:lineRule="exact"/>
              <w:ind w:left="0" w:right="0"/>
              <w:jc w:val="center"/>
              <w:rPr>
                <w:rFonts w:hint="default" w:cs="宋体"/>
                <w:sz w:val="24"/>
                <w:lang w:val="zh-CN"/>
              </w:rPr>
            </w:pPr>
            <w:r>
              <w:rPr>
                <w:rFonts w:hint="eastAsia" w:cs="宋体"/>
                <w:sz w:val="24"/>
                <w:lang w:val="zh-CN"/>
              </w:rPr>
              <w:t>…</w:t>
            </w:r>
          </w:p>
        </w:tc>
        <w:tc>
          <w:tcPr>
            <w:tcW w:w="832" w:type="dxa"/>
            <w:tcBorders>
              <w:top w:val="nil"/>
              <w:left w:val="nil"/>
              <w:bottom w:val="single" w:color="auto" w:sz="4" w:space="0"/>
              <w:right w:val="single" w:color="auto" w:sz="4" w:space="0"/>
            </w:tcBorders>
            <w:vAlign w:val="center"/>
          </w:tcPr>
          <w:p>
            <w:pPr>
              <w:pStyle w:val="94"/>
              <w:keepNext w:val="0"/>
              <w:keepLines w:val="0"/>
              <w:suppressLineNumbers w:val="0"/>
              <w:spacing w:before="0" w:beforeAutospacing="0" w:after="0" w:afterAutospacing="0" w:line="440" w:lineRule="exact"/>
              <w:ind w:left="0" w:right="0"/>
              <w:jc w:val="center"/>
              <w:rPr>
                <w:rFonts w:hint="default" w:cs="宋体"/>
                <w:sz w:val="24"/>
                <w:lang w:val="zh-CN"/>
              </w:rPr>
            </w:pPr>
          </w:p>
        </w:tc>
        <w:tc>
          <w:tcPr>
            <w:tcW w:w="944" w:type="dxa"/>
            <w:tcBorders>
              <w:top w:val="nil"/>
              <w:left w:val="nil"/>
              <w:bottom w:val="single" w:color="auto" w:sz="4" w:space="0"/>
              <w:right w:val="single" w:color="auto" w:sz="4" w:space="0"/>
            </w:tcBorders>
            <w:vAlign w:val="center"/>
          </w:tcPr>
          <w:p>
            <w:pPr>
              <w:pStyle w:val="94"/>
              <w:keepNext w:val="0"/>
              <w:keepLines w:val="0"/>
              <w:suppressLineNumbers w:val="0"/>
              <w:spacing w:before="0" w:beforeAutospacing="0" w:after="0" w:afterAutospacing="0" w:line="440" w:lineRule="exact"/>
              <w:ind w:left="0" w:right="0"/>
              <w:jc w:val="center"/>
              <w:rPr>
                <w:rFonts w:hint="default" w:cs="宋体"/>
                <w:sz w:val="24"/>
                <w:lang w:val="zh-CN"/>
              </w:rPr>
            </w:pPr>
          </w:p>
        </w:tc>
        <w:tc>
          <w:tcPr>
            <w:tcW w:w="634" w:type="dxa"/>
            <w:tcBorders>
              <w:top w:val="nil"/>
              <w:left w:val="nil"/>
              <w:bottom w:val="single" w:color="auto" w:sz="4" w:space="0"/>
              <w:right w:val="single" w:color="auto" w:sz="4" w:space="0"/>
            </w:tcBorders>
            <w:vAlign w:val="center"/>
          </w:tcPr>
          <w:p>
            <w:pPr>
              <w:pStyle w:val="94"/>
              <w:keepNext w:val="0"/>
              <w:keepLines w:val="0"/>
              <w:suppressLineNumbers w:val="0"/>
              <w:spacing w:before="0" w:beforeAutospacing="0" w:after="0" w:afterAutospacing="0" w:line="440" w:lineRule="exact"/>
              <w:ind w:left="0" w:right="0"/>
              <w:jc w:val="center"/>
              <w:rPr>
                <w:rFonts w:hint="default" w:cs="宋体"/>
                <w:sz w:val="24"/>
                <w:lang w:val="zh-CN"/>
              </w:rPr>
            </w:pPr>
          </w:p>
        </w:tc>
        <w:tc>
          <w:tcPr>
            <w:tcW w:w="600" w:type="dxa"/>
            <w:tcBorders>
              <w:top w:val="nil"/>
              <w:left w:val="nil"/>
              <w:bottom w:val="single" w:color="auto" w:sz="4" w:space="0"/>
              <w:right w:val="single" w:color="auto" w:sz="4" w:space="0"/>
            </w:tcBorders>
            <w:vAlign w:val="center"/>
          </w:tcPr>
          <w:p>
            <w:pPr>
              <w:pStyle w:val="94"/>
              <w:keepNext w:val="0"/>
              <w:keepLines w:val="0"/>
              <w:suppressLineNumbers w:val="0"/>
              <w:spacing w:before="0" w:beforeAutospacing="0" w:after="0" w:afterAutospacing="0" w:line="440" w:lineRule="exact"/>
              <w:ind w:left="0" w:right="0"/>
              <w:jc w:val="center"/>
              <w:rPr>
                <w:rFonts w:hint="default" w:cs="宋体"/>
                <w:sz w:val="24"/>
                <w:lang w:val="zh-CN"/>
              </w:rPr>
            </w:pPr>
          </w:p>
        </w:tc>
        <w:tc>
          <w:tcPr>
            <w:tcW w:w="881" w:type="dxa"/>
            <w:tcBorders>
              <w:top w:val="nil"/>
              <w:left w:val="nil"/>
              <w:bottom w:val="single" w:color="auto" w:sz="4" w:space="0"/>
              <w:right w:val="single" w:color="auto" w:sz="4" w:space="0"/>
            </w:tcBorders>
            <w:vAlign w:val="center"/>
          </w:tcPr>
          <w:p>
            <w:pPr>
              <w:pStyle w:val="94"/>
              <w:keepNext w:val="0"/>
              <w:keepLines w:val="0"/>
              <w:suppressLineNumbers w:val="0"/>
              <w:spacing w:before="0" w:beforeAutospacing="0" w:after="0" w:afterAutospacing="0" w:line="440" w:lineRule="exact"/>
              <w:ind w:left="0" w:right="0"/>
              <w:jc w:val="center"/>
              <w:rPr>
                <w:rFonts w:hint="default" w:cs="宋体"/>
                <w:sz w:val="24"/>
                <w:lang w:val="zh-CN"/>
              </w:rPr>
            </w:pPr>
          </w:p>
        </w:tc>
        <w:tc>
          <w:tcPr>
            <w:tcW w:w="896" w:type="dxa"/>
            <w:tcBorders>
              <w:top w:val="nil"/>
              <w:left w:val="nil"/>
              <w:bottom w:val="single" w:color="auto" w:sz="4" w:space="0"/>
              <w:right w:val="single" w:color="auto" w:sz="4" w:space="0"/>
            </w:tcBorders>
            <w:vAlign w:val="center"/>
          </w:tcPr>
          <w:p>
            <w:pPr>
              <w:pStyle w:val="94"/>
              <w:keepNext w:val="0"/>
              <w:keepLines w:val="0"/>
              <w:suppressLineNumbers w:val="0"/>
              <w:spacing w:before="0" w:beforeAutospacing="0" w:after="0" w:afterAutospacing="0" w:line="440" w:lineRule="exact"/>
              <w:ind w:left="0" w:right="0"/>
              <w:jc w:val="center"/>
              <w:rPr>
                <w:rFonts w:hint="default" w:cs="宋体"/>
                <w:sz w:val="24"/>
                <w:lang w:val="zh-CN"/>
              </w:rPr>
            </w:pPr>
          </w:p>
        </w:tc>
        <w:tc>
          <w:tcPr>
            <w:tcW w:w="811" w:type="dxa"/>
            <w:tcBorders>
              <w:top w:val="nil"/>
              <w:left w:val="nil"/>
              <w:bottom w:val="single" w:color="auto" w:sz="4" w:space="0"/>
              <w:right w:val="single" w:color="auto" w:sz="4" w:space="0"/>
            </w:tcBorders>
            <w:vAlign w:val="center"/>
          </w:tcPr>
          <w:p>
            <w:pPr>
              <w:pStyle w:val="94"/>
              <w:keepNext w:val="0"/>
              <w:keepLines w:val="0"/>
              <w:suppressLineNumbers w:val="0"/>
              <w:spacing w:before="0" w:beforeAutospacing="0" w:after="0" w:afterAutospacing="0" w:line="440" w:lineRule="exact"/>
              <w:ind w:left="0" w:right="0"/>
              <w:jc w:val="center"/>
              <w:rPr>
                <w:rFonts w:hint="default" w:cs="宋体"/>
                <w:sz w:val="24"/>
                <w:lang w:val="zh-CN"/>
              </w:rPr>
            </w:pPr>
          </w:p>
        </w:tc>
        <w:tc>
          <w:tcPr>
            <w:tcW w:w="1745" w:type="dxa"/>
            <w:tcBorders>
              <w:top w:val="nil"/>
              <w:left w:val="nil"/>
              <w:bottom w:val="single" w:color="auto" w:sz="4" w:space="0"/>
              <w:right w:val="single" w:color="auto" w:sz="4" w:space="0"/>
            </w:tcBorders>
            <w:vAlign w:val="center"/>
          </w:tcPr>
          <w:p>
            <w:pPr>
              <w:pStyle w:val="94"/>
              <w:keepNext w:val="0"/>
              <w:keepLines w:val="0"/>
              <w:suppressLineNumbers w:val="0"/>
              <w:spacing w:before="0" w:beforeAutospacing="0" w:after="0" w:afterAutospacing="0" w:line="440" w:lineRule="exact"/>
              <w:ind w:left="0" w:right="0"/>
              <w:jc w:val="center"/>
              <w:rPr>
                <w:rFonts w:hint="default" w:cs="宋体"/>
                <w:sz w:val="24"/>
                <w:lang w:val="zh-CN"/>
              </w:rPr>
            </w:pPr>
          </w:p>
        </w:tc>
        <w:tc>
          <w:tcPr>
            <w:tcW w:w="1633" w:type="dxa"/>
            <w:tcBorders>
              <w:top w:val="nil"/>
              <w:left w:val="nil"/>
              <w:bottom w:val="single" w:color="auto" w:sz="4" w:space="0"/>
              <w:right w:val="single" w:color="auto" w:sz="4" w:space="0"/>
            </w:tcBorders>
            <w:vAlign w:val="center"/>
          </w:tcPr>
          <w:p>
            <w:pPr>
              <w:pStyle w:val="94"/>
              <w:keepNext w:val="0"/>
              <w:keepLines w:val="0"/>
              <w:suppressLineNumbers w:val="0"/>
              <w:spacing w:before="0" w:beforeAutospacing="0" w:after="0" w:afterAutospacing="0" w:line="440" w:lineRule="exact"/>
              <w:ind w:left="0" w:right="0"/>
              <w:jc w:val="center"/>
              <w:rPr>
                <w:rFonts w:hint="default" w:cs="宋体"/>
                <w:sz w:val="24"/>
                <w:lang w:val="zh-CN"/>
              </w:rPr>
            </w:pPr>
          </w:p>
        </w:tc>
        <w:tc>
          <w:tcPr>
            <w:tcW w:w="678" w:type="dxa"/>
            <w:tcBorders>
              <w:top w:val="nil"/>
              <w:left w:val="nil"/>
              <w:bottom w:val="single" w:color="auto" w:sz="4" w:space="0"/>
              <w:right w:val="single" w:color="auto" w:sz="4" w:space="0"/>
            </w:tcBorders>
            <w:vAlign w:val="center"/>
          </w:tcPr>
          <w:p>
            <w:pPr>
              <w:pStyle w:val="94"/>
              <w:keepNext w:val="0"/>
              <w:keepLines w:val="0"/>
              <w:suppressLineNumbers w:val="0"/>
              <w:spacing w:before="0" w:beforeAutospacing="0" w:after="0" w:afterAutospacing="0" w:line="440" w:lineRule="exact"/>
              <w:ind w:left="0" w:right="0"/>
              <w:jc w:val="center"/>
              <w:rPr>
                <w:rFonts w:hint="default" w:cs="宋体"/>
                <w:sz w:val="24"/>
                <w:lang w:val="zh-CN"/>
              </w:rPr>
            </w:pPr>
          </w:p>
        </w:tc>
      </w:tr>
      <w:tr>
        <w:tblPrEx>
          <w:tblCellMar>
            <w:top w:w="0" w:type="dxa"/>
            <w:left w:w="108" w:type="dxa"/>
            <w:bottom w:w="0" w:type="dxa"/>
            <w:right w:w="108" w:type="dxa"/>
          </w:tblCellMar>
        </w:tblPrEx>
        <w:trPr>
          <w:trHeight w:val="1480" w:hRule="exact"/>
          <w:jc w:val="center"/>
        </w:trPr>
        <w:tc>
          <w:tcPr>
            <w:tcW w:w="2530" w:type="dxa"/>
            <w:gridSpan w:val="3"/>
            <w:tcBorders>
              <w:top w:val="nil"/>
              <w:left w:val="single" w:color="auto" w:sz="4" w:space="0"/>
              <w:bottom w:val="single" w:color="auto" w:sz="4" w:space="0"/>
              <w:right w:val="single" w:color="auto" w:sz="4" w:space="0"/>
            </w:tcBorders>
            <w:vAlign w:val="center"/>
          </w:tcPr>
          <w:p>
            <w:pPr>
              <w:pStyle w:val="94"/>
              <w:keepNext w:val="0"/>
              <w:keepLines w:val="0"/>
              <w:suppressLineNumbers w:val="0"/>
              <w:spacing w:before="0" w:beforeAutospacing="0" w:after="0" w:afterAutospacing="0" w:line="440" w:lineRule="exact"/>
              <w:ind w:left="0" w:right="0"/>
              <w:jc w:val="center"/>
              <w:rPr>
                <w:rFonts w:hint="default" w:cs="宋体"/>
                <w:sz w:val="24"/>
                <w:lang w:val="zh-CN"/>
              </w:rPr>
            </w:pPr>
            <w:r>
              <w:rPr>
                <w:rFonts w:hint="eastAsia" w:cs="宋体"/>
                <w:sz w:val="24"/>
                <w:lang w:val="zh-CN"/>
              </w:rPr>
              <w:t>节能、减排、环境标志产品报价合计（元）</w:t>
            </w:r>
          </w:p>
        </w:tc>
        <w:tc>
          <w:tcPr>
            <w:tcW w:w="7878" w:type="dxa"/>
            <w:gridSpan w:val="8"/>
            <w:tcBorders>
              <w:top w:val="nil"/>
              <w:left w:val="nil"/>
              <w:bottom w:val="single" w:color="auto" w:sz="4" w:space="0"/>
              <w:right w:val="single" w:color="auto" w:sz="4" w:space="0"/>
            </w:tcBorders>
            <w:vAlign w:val="center"/>
          </w:tcPr>
          <w:p>
            <w:pPr>
              <w:pStyle w:val="94"/>
              <w:keepNext w:val="0"/>
              <w:keepLines w:val="0"/>
              <w:suppressLineNumbers w:val="0"/>
              <w:spacing w:before="0" w:beforeAutospacing="0" w:after="0" w:afterAutospacing="0" w:line="440" w:lineRule="exact"/>
              <w:ind w:left="0" w:right="0"/>
              <w:jc w:val="center"/>
              <w:rPr>
                <w:rFonts w:hint="default" w:cs="宋体"/>
                <w:sz w:val="24"/>
                <w:lang w:val="zh-CN"/>
              </w:rPr>
            </w:pPr>
            <w:r>
              <w:rPr>
                <w:rFonts w:hint="eastAsia" w:cs="宋体"/>
                <w:sz w:val="24"/>
                <w:lang w:val="zh-CN"/>
              </w:rPr>
              <w:t xml:space="preserve">大写：                            小写：                            </w:t>
            </w:r>
          </w:p>
        </w:tc>
      </w:tr>
    </w:tbl>
    <w:p>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ascii="宋体" w:hAnsi="宋体" w:cs="宋体"/>
          <w:b/>
          <w:bCs/>
          <w:sz w:val="24"/>
        </w:rPr>
      </w:pPr>
      <w:r>
        <w:rPr>
          <w:rFonts w:hint="eastAsia" w:ascii="宋体" w:hAnsi="宋体" w:cs="宋体"/>
          <w:b/>
          <w:bCs/>
          <w:sz w:val="24"/>
        </w:rPr>
        <w:t>注：1、供应商所填写的内容必须真实、可靠，如有虚假或隐瞒，一经查实将导致投标被拒绝；</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ascii="宋体" w:hAnsi="宋体" w:cs="宋体"/>
          <w:b/>
          <w:bCs/>
          <w:sz w:val="24"/>
        </w:rPr>
      </w:pPr>
      <w:r>
        <w:rPr>
          <w:rFonts w:hint="eastAsia" w:ascii="宋体" w:hAnsi="宋体" w:cs="宋体"/>
          <w:b/>
          <w:bCs/>
          <w:sz w:val="24"/>
        </w:rPr>
        <w:t>2.此表须供应商加盖单位公章，未提供本表的不进行加分。</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ascii="宋体" w:hAnsi="宋体" w:cs="宋体"/>
          <w:b/>
          <w:bCs/>
          <w:sz w:val="24"/>
          <w:u w:val="single"/>
        </w:rPr>
      </w:pPr>
      <w:r>
        <w:rPr>
          <w:rFonts w:hint="eastAsia" w:ascii="宋体" w:hAnsi="宋体" w:cs="宋体"/>
          <w:b/>
          <w:bCs/>
          <w:sz w:val="24"/>
          <w:u w:val="single"/>
        </w:rPr>
        <w:t>3.如果供应商提供节能环保产品，须提供相关证明材料复印件。为方便评委评审，供应商应将所投产品在证明材料上（即最新一期“节能产品政府采购清单”的清单页）加以标记</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宋体" w:hAnsi="宋体" w:cs="宋体"/>
          <w:b/>
          <w:bCs/>
          <w:sz w:val="24"/>
        </w:rPr>
      </w:pPr>
      <w:r>
        <w:rPr>
          <w:rFonts w:hint="eastAsia" w:ascii="宋体" w:hAnsi="宋体" w:cs="宋体"/>
          <w:b/>
          <w:bCs/>
          <w:sz w:val="24"/>
        </w:rPr>
        <w:t>4、本表不含最新一期《节能产品政府采购清单》中强制采购内容，否则不予加分。</w:t>
      </w:r>
    </w:p>
    <w:p>
      <w:pPr>
        <w:pStyle w:val="2"/>
        <w:rPr>
          <w:rFonts w:hint="eastAsia" w:ascii="宋体" w:hAnsi="宋体" w:cs="宋体"/>
          <w:b/>
          <w:bCs/>
          <w:sz w:val="24"/>
        </w:rPr>
      </w:pPr>
    </w:p>
    <w:p>
      <w:pPr>
        <w:pStyle w:val="2"/>
        <w:rPr>
          <w:rFonts w:hint="eastAsia" w:ascii="宋体" w:hAnsi="宋体" w:cs="宋体"/>
          <w:b/>
          <w:bCs/>
          <w:sz w:val="24"/>
        </w:rPr>
      </w:pPr>
    </w:p>
    <w:p>
      <w:pPr>
        <w:pStyle w:val="35"/>
        <w:spacing w:line="560" w:lineRule="exact"/>
        <w:rPr>
          <w:rFonts w:cs="宋体"/>
          <w:sz w:val="24"/>
        </w:rPr>
      </w:pPr>
      <w:r>
        <w:rPr>
          <w:rFonts w:hint="eastAsia" w:cs="宋体"/>
          <w:sz w:val="24"/>
        </w:rPr>
        <w:t>供应商全称（公章）：</w:t>
      </w:r>
    </w:p>
    <w:p>
      <w:pPr>
        <w:pStyle w:val="35"/>
        <w:spacing w:line="560" w:lineRule="exact"/>
        <w:rPr>
          <w:rFonts w:cs="宋体"/>
          <w:sz w:val="24"/>
        </w:rPr>
      </w:pPr>
      <w:r>
        <w:rPr>
          <w:rFonts w:hint="eastAsia" w:cs="宋体"/>
          <w:sz w:val="24"/>
        </w:rPr>
        <w:t>全权代表或法定代表人（签字或盖章）：</w:t>
      </w:r>
    </w:p>
    <w:p>
      <w:pPr>
        <w:autoSpaceDE w:val="0"/>
        <w:autoSpaceDN w:val="0"/>
        <w:adjustRightInd w:val="0"/>
        <w:snapToGrid w:val="0"/>
        <w:spacing w:line="560" w:lineRule="exact"/>
        <w:jc w:val="left"/>
        <w:rPr>
          <w:rFonts w:ascii="宋体" w:hAnsi="宋体"/>
          <w:kern w:val="0"/>
          <w:sz w:val="24"/>
          <w:szCs w:val="20"/>
        </w:rPr>
      </w:pPr>
      <w:r>
        <w:rPr>
          <w:rFonts w:hint="eastAsia" w:ascii="宋体" w:hAnsi="宋体" w:cs="宋体"/>
          <w:sz w:val="24"/>
        </w:rPr>
        <w:t>日期：      年   月   日</w:t>
      </w:r>
      <w:r>
        <w:rPr>
          <w:rFonts w:hint="eastAsia" w:ascii="宋体" w:hAnsi="宋体"/>
          <w:kern w:val="0"/>
          <w:sz w:val="24"/>
          <w:szCs w:val="20"/>
        </w:rPr>
        <w:t xml:space="preserve">          </w:t>
      </w:r>
    </w:p>
    <w:p>
      <w:pPr>
        <w:pStyle w:val="46"/>
        <w:ind w:firstLine="480"/>
        <w:rPr>
          <w:rFonts w:ascii="宋体" w:hAnsi="宋体"/>
          <w:kern w:val="0"/>
          <w:sz w:val="24"/>
          <w:szCs w:val="20"/>
        </w:rPr>
      </w:pPr>
    </w:p>
    <w:p/>
    <w:p>
      <w:pPr>
        <w:snapToGrid w:val="0"/>
        <w:spacing w:line="560" w:lineRule="exact"/>
        <w:jc w:val="center"/>
        <w:rPr>
          <w:rFonts w:hint="eastAsia" w:hAnsi="宋体" w:cs="宋体"/>
          <w:b/>
          <w:bCs/>
          <w:sz w:val="24"/>
          <w:lang w:bidi="ar"/>
        </w:rPr>
      </w:pPr>
    </w:p>
    <w:p>
      <w:pPr>
        <w:snapToGrid w:val="0"/>
        <w:spacing w:line="560" w:lineRule="exact"/>
        <w:jc w:val="center"/>
        <w:rPr>
          <w:rFonts w:hAnsi="宋体"/>
          <w:b/>
          <w:bCs/>
          <w:sz w:val="24"/>
        </w:rPr>
      </w:pPr>
      <w:r>
        <w:rPr>
          <w:rFonts w:hint="eastAsia" w:hAnsi="宋体" w:cs="宋体"/>
          <w:b/>
          <w:bCs/>
          <w:sz w:val="24"/>
          <w:lang w:bidi="ar"/>
        </w:rPr>
        <w:t>2、强制采购节能产品投标清单</w:t>
      </w:r>
    </w:p>
    <w:p>
      <w:pPr>
        <w:spacing w:line="360" w:lineRule="auto"/>
        <w:jc w:val="center"/>
        <w:rPr>
          <w:rFonts w:ascii="宋体" w:hAnsi="宋体" w:cs="宋体"/>
          <w:b/>
          <w:sz w:val="24"/>
        </w:rPr>
      </w:pPr>
    </w:p>
    <w:p>
      <w:pPr>
        <w:pStyle w:val="35"/>
        <w:spacing w:line="360" w:lineRule="auto"/>
        <w:rPr>
          <w:rFonts w:cs="宋体"/>
          <w:sz w:val="24"/>
        </w:rPr>
      </w:pPr>
      <w:r>
        <w:rPr>
          <w:rFonts w:hint="eastAsia" w:cs="宋体"/>
          <w:sz w:val="24"/>
        </w:rPr>
        <w:t xml:space="preserve">项目名称： </w:t>
      </w:r>
    </w:p>
    <w:tbl>
      <w:tblPr>
        <w:tblStyle w:val="3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4"/>
        <w:gridCol w:w="1241"/>
        <w:gridCol w:w="1352"/>
        <w:gridCol w:w="1398"/>
        <w:gridCol w:w="1537"/>
        <w:gridCol w:w="1214"/>
        <w:gridCol w:w="798"/>
        <w:gridCol w:w="925"/>
        <w:gridCol w:w="9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5" w:hRule="atLeast"/>
          <w:jc w:val="center"/>
        </w:trPr>
        <w:tc>
          <w:tcPr>
            <w:tcW w:w="53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tabs>
                <w:tab w:val="left" w:pos="8280"/>
              </w:tabs>
              <w:autoSpaceDE w:val="0"/>
              <w:autoSpaceDN w:val="0"/>
              <w:adjustRightInd w:val="0"/>
              <w:spacing w:before="0" w:beforeAutospacing="0" w:after="0" w:afterAutospacing="0" w:line="360" w:lineRule="auto"/>
              <w:ind w:left="0" w:right="0"/>
              <w:jc w:val="center"/>
              <w:rPr>
                <w:rFonts w:hint="default" w:ascii="宋体" w:hAnsi="宋体" w:cs="宋体"/>
                <w:sz w:val="24"/>
                <w:lang w:val="zh-CN"/>
              </w:rPr>
            </w:pPr>
            <w:r>
              <w:rPr>
                <w:rFonts w:hint="eastAsia" w:ascii="宋体" w:hAnsi="宋体" w:cs="宋体"/>
                <w:sz w:val="24"/>
                <w:lang w:val="zh-CN"/>
              </w:rPr>
              <w:t>序号</w:t>
            </w:r>
          </w:p>
        </w:tc>
        <w:tc>
          <w:tcPr>
            <w:tcW w:w="124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tabs>
                <w:tab w:val="left" w:pos="8280"/>
              </w:tabs>
              <w:autoSpaceDE w:val="0"/>
              <w:autoSpaceDN w:val="0"/>
              <w:adjustRightInd w:val="0"/>
              <w:spacing w:before="0" w:beforeAutospacing="0" w:after="0" w:afterAutospacing="0" w:line="360" w:lineRule="auto"/>
              <w:ind w:left="0" w:right="0"/>
              <w:jc w:val="center"/>
              <w:rPr>
                <w:rFonts w:hint="default" w:ascii="宋体" w:hAnsi="宋体" w:cs="宋体"/>
                <w:sz w:val="24"/>
                <w:lang w:val="zh-CN"/>
              </w:rPr>
            </w:pPr>
            <w:r>
              <w:rPr>
                <w:rFonts w:hint="eastAsia" w:ascii="宋体" w:hAnsi="宋体" w:cs="宋体"/>
                <w:sz w:val="24"/>
                <w:lang w:val="zh-CN"/>
              </w:rPr>
              <w:t>产品名称</w:t>
            </w:r>
          </w:p>
        </w:tc>
        <w:tc>
          <w:tcPr>
            <w:tcW w:w="1352"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tabs>
                <w:tab w:val="left" w:pos="8280"/>
              </w:tabs>
              <w:autoSpaceDE w:val="0"/>
              <w:autoSpaceDN w:val="0"/>
              <w:adjustRightInd w:val="0"/>
              <w:spacing w:before="0" w:beforeAutospacing="0" w:after="0" w:afterAutospacing="0" w:line="360" w:lineRule="auto"/>
              <w:ind w:left="0" w:right="0"/>
              <w:jc w:val="center"/>
              <w:rPr>
                <w:rFonts w:hint="default" w:ascii="宋体" w:hAnsi="宋体" w:cs="宋体"/>
                <w:sz w:val="24"/>
                <w:lang w:val="zh-CN"/>
              </w:rPr>
            </w:pPr>
            <w:r>
              <w:rPr>
                <w:rFonts w:hint="eastAsia" w:ascii="宋体" w:hAnsi="宋体" w:cs="宋体"/>
                <w:sz w:val="24"/>
                <w:lang w:val="zh-CN"/>
              </w:rPr>
              <w:t>品牌/型号</w:t>
            </w:r>
          </w:p>
        </w:tc>
        <w:tc>
          <w:tcPr>
            <w:tcW w:w="1398"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tabs>
                <w:tab w:val="left" w:pos="8280"/>
              </w:tabs>
              <w:autoSpaceDE w:val="0"/>
              <w:autoSpaceDN w:val="0"/>
              <w:adjustRightInd w:val="0"/>
              <w:spacing w:before="0" w:beforeAutospacing="0" w:after="0" w:afterAutospacing="0" w:line="360" w:lineRule="auto"/>
              <w:ind w:left="0" w:right="0"/>
              <w:jc w:val="center"/>
              <w:rPr>
                <w:rFonts w:hint="default" w:ascii="宋体" w:hAnsi="宋体" w:cs="宋体"/>
                <w:sz w:val="24"/>
                <w:lang w:val="zh-CN"/>
              </w:rPr>
            </w:pPr>
            <w:r>
              <w:rPr>
                <w:rFonts w:hint="eastAsia" w:ascii="宋体" w:hAnsi="宋体" w:cs="宋体"/>
                <w:sz w:val="24"/>
                <w:lang w:val="zh-CN"/>
              </w:rPr>
              <w:t>厂家/产地</w:t>
            </w:r>
          </w:p>
        </w:tc>
        <w:tc>
          <w:tcPr>
            <w:tcW w:w="153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tabs>
                <w:tab w:val="left" w:pos="8280"/>
              </w:tabs>
              <w:autoSpaceDE w:val="0"/>
              <w:autoSpaceDN w:val="0"/>
              <w:adjustRightInd w:val="0"/>
              <w:spacing w:before="0" w:beforeAutospacing="0" w:after="0" w:afterAutospacing="0" w:line="360" w:lineRule="auto"/>
              <w:ind w:left="0" w:right="0"/>
              <w:jc w:val="center"/>
              <w:rPr>
                <w:rFonts w:hint="default" w:ascii="宋体" w:hAnsi="宋体" w:cs="宋体"/>
                <w:sz w:val="24"/>
                <w:lang w:val="zh-CN"/>
              </w:rPr>
            </w:pPr>
            <w:r>
              <w:rPr>
                <w:rFonts w:hint="eastAsia" w:ascii="宋体" w:hAnsi="宋体" w:cs="宋体"/>
                <w:sz w:val="24"/>
                <w:lang w:val="zh-CN"/>
              </w:rPr>
              <w:t>节字标志</w:t>
            </w:r>
          </w:p>
          <w:p>
            <w:pPr>
              <w:keepNext w:val="0"/>
              <w:keepLines w:val="0"/>
              <w:suppressLineNumbers w:val="0"/>
              <w:tabs>
                <w:tab w:val="left" w:pos="8280"/>
              </w:tabs>
              <w:autoSpaceDE w:val="0"/>
              <w:autoSpaceDN w:val="0"/>
              <w:adjustRightInd w:val="0"/>
              <w:spacing w:before="0" w:beforeAutospacing="0" w:after="0" w:afterAutospacing="0" w:line="360" w:lineRule="auto"/>
              <w:ind w:left="0" w:right="0"/>
              <w:jc w:val="center"/>
              <w:rPr>
                <w:rFonts w:hint="default" w:ascii="宋体" w:hAnsi="宋体" w:cs="宋体"/>
                <w:sz w:val="24"/>
                <w:lang w:val="zh-CN"/>
              </w:rPr>
            </w:pPr>
            <w:r>
              <w:rPr>
                <w:rFonts w:hint="eastAsia" w:ascii="宋体" w:hAnsi="宋体" w:cs="宋体"/>
                <w:sz w:val="24"/>
                <w:lang w:val="zh-CN"/>
              </w:rPr>
              <w:t>认证证书号</w:t>
            </w:r>
          </w:p>
        </w:tc>
        <w:tc>
          <w:tcPr>
            <w:tcW w:w="121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tabs>
                <w:tab w:val="left" w:pos="8280"/>
              </w:tabs>
              <w:autoSpaceDE w:val="0"/>
              <w:autoSpaceDN w:val="0"/>
              <w:adjustRightInd w:val="0"/>
              <w:spacing w:before="0" w:beforeAutospacing="0" w:after="0" w:afterAutospacing="0" w:line="360" w:lineRule="auto"/>
              <w:ind w:left="0" w:right="0"/>
              <w:jc w:val="center"/>
              <w:rPr>
                <w:rFonts w:hint="default" w:ascii="宋体" w:hAnsi="宋体" w:cs="宋体"/>
                <w:sz w:val="24"/>
                <w:lang w:val="zh-CN"/>
              </w:rPr>
            </w:pPr>
            <w:r>
              <w:rPr>
                <w:rFonts w:hint="eastAsia" w:ascii="宋体" w:hAnsi="宋体" w:cs="宋体"/>
                <w:sz w:val="24"/>
                <w:lang w:val="zh-CN"/>
              </w:rPr>
              <w:t>环境标志</w:t>
            </w:r>
          </w:p>
          <w:p>
            <w:pPr>
              <w:keepNext w:val="0"/>
              <w:keepLines w:val="0"/>
              <w:suppressLineNumbers w:val="0"/>
              <w:tabs>
                <w:tab w:val="left" w:pos="8280"/>
              </w:tabs>
              <w:autoSpaceDE w:val="0"/>
              <w:autoSpaceDN w:val="0"/>
              <w:adjustRightInd w:val="0"/>
              <w:spacing w:before="0" w:beforeAutospacing="0" w:after="0" w:afterAutospacing="0" w:line="360" w:lineRule="auto"/>
              <w:ind w:left="0" w:right="0"/>
              <w:jc w:val="center"/>
              <w:rPr>
                <w:rFonts w:hint="default" w:ascii="宋体" w:hAnsi="宋体" w:cs="宋体"/>
                <w:sz w:val="24"/>
                <w:lang w:val="zh-CN"/>
              </w:rPr>
            </w:pPr>
            <w:r>
              <w:rPr>
                <w:rFonts w:hint="eastAsia" w:ascii="宋体" w:hAnsi="宋体" w:cs="宋体"/>
                <w:sz w:val="24"/>
                <w:lang w:val="zh-CN"/>
              </w:rPr>
              <w:t>认证证书编号</w:t>
            </w:r>
          </w:p>
        </w:tc>
        <w:tc>
          <w:tcPr>
            <w:tcW w:w="798"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tabs>
                <w:tab w:val="left" w:pos="8280"/>
              </w:tabs>
              <w:autoSpaceDE w:val="0"/>
              <w:autoSpaceDN w:val="0"/>
              <w:adjustRightInd w:val="0"/>
              <w:spacing w:before="0" w:beforeAutospacing="0" w:after="0" w:afterAutospacing="0" w:line="360" w:lineRule="auto"/>
              <w:ind w:left="0" w:right="0"/>
              <w:jc w:val="center"/>
              <w:rPr>
                <w:rFonts w:hint="default" w:ascii="宋体" w:hAnsi="宋体" w:cs="宋体"/>
                <w:sz w:val="24"/>
                <w:lang w:val="zh-CN"/>
              </w:rPr>
            </w:pPr>
            <w:r>
              <w:rPr>
                <w:rFonts w:hint="eastAsia" w:ascii="宋体" w:hAnsi="宋体" w:cs="宋体"/>
                <w:sz w:val="24"/>
                <w:lang w:val="zh-CN"/>
              </w:rPr>
              <w:t>数量</w:t>
            </w:r>
          </w:p>
        </w:tc>
        <w:tc>
          <w:tcPr>
            <w:tcW w:w="9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tabs>
                <w:tab w:val="left" w:pos="8280"/>
              </w:tabs>
              <w:autoSpaceDE w:val="0"/>
              <w:autoSpaceDN w:val="0"/>
              <w:adjustRightInd w:val="0"/>
              <w:spacing w:before="0" w:beforeAutospacing="0" w:after="0" w:afterAutospacing="0" w:line="360" w:lineRule="auto"/>
              <w:ind w:left="0" w:right="0"/>
              <w:jc w:val="center"/>
              <w:rPr>
                <w:rFonts w:hint="default" w:ascii="宋体" w:hAnsi="宋体" w:cs="宋体"/>
                <w:sz w:val="24"/>
                <w:lang w:val="zh-CN"/>
              </w:rPr>
            </w:pPr>
            <w:r>
              <w:rPr>
                <w:rFonts w:hint="eastAsia" w:ascii="宋体" w:hAnsi="宋体" w:cs="宋体"/>
                <w:sz w:val="24"/>
                <w:lang w:val="zh-CN"/>
              </w:rPr>
              <w:t>单价（元）</w:t>
            </w:r>
          </w:p>
        </w:tc>
        <w:tc>
          <w:tcPr>
            <w:tcW w:w="98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tabs>
                <w:tab w:val="left" w:pos="8280"/>
              </w:tabs>
              <w:autoSpaceDE w:val="0"/>
              <w:autoSpaceDN w:val="0"/>
              <w:adjustRightInd w:val="0"/>
              <w:spacing w:before="0" w:beforeAutospacing="0" w:after="0" w:afterAutospacing="0" w:line="360" w:lineRule="auto"/>
              <w:ind w:left="0" w:right="0"/>
              <w:jc w:val="center"/>
              <w:rPr>
                <w:rFonts w:hint="default" w:ascii="宋体" w:hAnsi="宋体" w:cs="宋体"/>
                <w:sz w:val="24"/>
                <w:lang w:val="zh-CN"/>
              </w:rPr>
            </w:pPr>
            <w:r>
              <w:rPr>
                <w:rFonts w:hint="eastAsia" w:ascii="宋体" w:hAnsi="宋体" w:cs="宋体"/>
                <w:sz w:val="24"/>
                <w:lang w:val="zh-CN"/>
              </w:rPr>
              <w:t>小计（元）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53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int="default" w:ascii="宋体" w:hAnsi="宋体" w:cs="宋体"/>
                <w:sz w:val="24"/>
              </w:rPr>
            </w:pPr>
          </w:p>
        </w:tc>
        <w:tc>
          <w:tcPr>
            <w:tcW w:w="124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int="default" w:ascii="宋体" w:hAnsi="宋体" w:cs="宋体"/>
                <w:sz w:val="24"/>
              </w:rPr>
            </w:pPr>
          </w:p>
        </w:tc>
        <w:tc>
          <w:tcPr>
            <w:tcW w:w="1352"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int="default" w:ascii="宋体" w:hAnsi="宋体" w:cs="宋体"/>
                <w:sz w:val="24"/>
              </w:rPr>
            </w:pPr>
          </w:p>
        </w:tc>
        <w:tc>
          <w:tcPr>
            <w:tcW w:w="1398"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int="default" w:ascii="宋体" w:hAnsi="宋体" w:cs="宋体"/>
                <w:sz w:val="24"/>
              </w:rPr>
            </w:pPr>
          </w:p>
        </w:tc>
        <w:tc>
          <w:tcPr>
            <w:tcW w:w="153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int="default" w:ascii="宋体" w:hAnsi="宋体" w:cs="宋体"/>
                <w:sz w:val="24"/>
              </w:rPr>
            </w:pPr>
          </w:p>
        </w:tc>
        <w:tc>
          <w:tcPr>
            <w:tcW w:w="121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int="default" w:ascii="宋体" w:hAnsi="宋体" w:cs="宋体"/>
                <w:sz w:val="24"/>
              </w:rPr>
            </w:pPr>
          </w:p>
        </w:tc>
        <w:tc>
          <w:tcPr>
            <w:tcW w:w="798"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int="default" w:ascii="宋体" w:hAnsi="宋体" w:cs="宋体"/>
                <w:sz w:val="24"/>
              </w:rPr>
            </w:pPr>
          </w:p>
        </w:tc>
        <w:tc>
          <w:tcPr>
            <w:tcW w:w="9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int="default" w:ascii="宋体" w:hAnsi="宋体" w:cs="宋体"/>
                <w:sz w:val="24"/>
              </w:rPr>
            </w:pPr>
          </w:p>
        </w:tc>
        <w:tc>
          <w:tcPr>
            <w:tcW w:w="98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int="default"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53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int="default" w:ascii="宋体" w:hAnsi="宋体" w:cs="宋体"/>
                <w:sz w:val="24"/>
              </w:rPr>
            </w:pPr>
          </w:p>
        </w:tc>
        <w:tc>
          <w:tcPr>
            <w:tcW w:w="124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int="default" w:ascii="宋体" w:hAnsi="宋体" w:cs="宋体"/>
                <w:sz w:val="24"/>
              </w:rPr>
            </w:pPr>
          </w:p>
        </w:tc>
        <w:tc>
          <w:tcPr>
            <w:tcW w:w="1352"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int="default" w:ascii="宋体" w:hAnsi="宋体" w:cs="宋体"/>
                <w:sz w:val="24"/>
              </w:rPr>
            </w:pPr>
          </w:p>
        </w:tc>
        <w:tc>
          <w:tcPr>
            <w:tcW w:w="1398"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int="default" w:ascii="宋体" w:hAnsi="宋体" w:cs="宋体"/>
                <w:sz w:val="24"/>
              </w:rPr>
            </w:pPr>
          </w:p>
        </w:tc>
        <w:tc>
          <w:tcPr>
            <w:tcW w:w="153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int="default" w:ascii="宋体" w:hAnsi="宋体" w:cs="宋体"/>
                <w:sz w:val="24"/>
              </w:rPr>
            </w:pPr>
          </w:p>
        </w:tc>
        <w:tc>
          <w:tcPr>
            <w:tcW w:w="121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int="default" w:ascii="宋体" w:hAnsi="宋体" w:cs="宋体"/>
                <w:sz w:val="24"/>
              </w:rPr>
            </w:pPr>
          </w:p>
        </w:tc>
        <w:tc>
          <w:tcPr>
            <w:tcW w:w="798"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int="default" w:ascii="宋体" w:hAnsi="宋体" w:cs="宋体"/>
                <w:sz w:val="24"/>
              </w:rPr>
            </w:pPr>
          </w:p>
        </w:tc>
        <w:tc>
          <w:tcPr>
            <w:tcW w:w="9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int="default" w:ascii="宋体" w:hAnsi="宋体" w:cs="宋体"/>
                <w:sz w:val="24"/>
              </w:rPr>
            </w:pPr>
          </w:p>
        </w:tc>
        <w:tc>
          <w:tcPr>
            <w:tcW w:w="98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int="default"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53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int="default" w:ascii="宋体" w:hAnsi="宋体" w:cs="宋体"/>
                <w:sz w:val="24"/>
              </w:rPr>
            </w:pPr>
          </w:p>
        </w:tc>
        <w:tc>
          <w:tcPr>
            <w:tcW w:w="124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int="default" w:ascii="宋体" w:hAnsi="宋体" w:cs="宋体"/>
                <w:sz w:val="24"/>
              </w:rPr>
            </w:pPr>
          </w:p>
        </w:tc>
        <w:tc>
          <w:tcPr>
            <w:tcW w:w="1352"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int="default" w:ascii="宋体" w:hAnsi="宋体" w:cs="宋体"/>
                <w:sz w:val="24"/>
              </w:rPr>
            </w:pPr>
          </w:p>
        </w:tc>
        <w:tc>
          <w:tcPr>
            <w:tcW w:w="1398"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int="default" w:ascii="宋体" w:hAnsi="宋体" w:cs="宋体"/>
                <w:sz w:val="24"/>
              </w:rPr>
            </w:pPr>
          </w:p>
        </w:tc>
        <w:tc>
          <w:tcPr>
            <w:tcW w:w="153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int="default" w:ascii="宋体" w:hAnsi="宋体" w:cs="宋体"/>
                <w:sz w:val="24"/>
              </w:rPr>
            </w:pPr>
          </w:p>
        </w:tc>
        <w:tc>
          <w:tcPr>
            <w:tcW w:w="121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int="default" w:ascii="宋体" w:hAnsi="宋体" w:cs="宋体"/>
                <w:sz w:val="24"/>
              </w:rPr>
            </w:pPr>
          </w:p>
        </w:tc>
        <w:tc>
          <w:tcPr>
            <w:tcW w:w="798"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int="default" w:ascii="宋体" w:hAnsi="宋体" w:cs="宋体"/>
                <w:sz w:val="24"/>
              </w:rPr>
            </w:pPr>
          </w:p>
        </w:tc>
        <w:tc>
          <w:tcPr>
            <w:tcW w:w="9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int="default" w:ascii="宋体" w:hAnsi="宋体" w:cs="宋体"/>
                <w:sz w:val="24"/>
              </w:rPr>
            </w:pPr>
          </w:p>
        </w:tc>
        <w:tc>
          <w:tcPr>
            <w:tcW w:w="98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int="default"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53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int="default" w:ascii="宋体" w:hAnsi="宋体" w:cs="宋体"/>
                <w:sz w:val="24"/>
              </w:rPr>
            </w:pPr>
          </w:p>
        </w:tc>
        <w:tc>
          <w:tcPr>
            <w:tcW w:w="124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int="default" w:ascii="宋体" w:hAnsi="宋体" w:cs="宋体"/>
                <w:sz w:val="24"/>
              </w:rPr>
            </w:pPr>
          </w:p>
        </w:tc>
        <w:tc>
          <w:tcPr>
            <w:tcW w:w="1352"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int="default" w:ascii="宋体" w:hAnsi="宋体" w:cs="宋体"/>
                <w:sz w:val="24"/>
              </w:rPr>
            </w:pPr>
          </w:p>
        </w:tc>
        <w:tc>
          <w:tcPr>
            <w:tcW w:w="1398"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int="default" w:ascii="宋体" w:hAnsi="宋体" w:cs="宋体"/>
                <w:sz w:val="24"/>
              </w:rPr>
            </w:pPr>
          </w:p>
        </w:tc>
        <w:tc>
          <w:tcPr>
            <w:tcW w:w="153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int="default" w:ascii="宋体" w:hAnsi="宋体" w:cs="宋体"/>
                <w:sz w:val="24"/>
              </w:rPr>
            </w:pPr>
          </w:p>
        </w:tc>
        <w:tc>
          <w:tcPr>
            <w:tcW w:w="121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int="default" w:ascii="宋体" w:hAnsi="宋体" w:cs="宋体"/>
                <w:sz w:val="24"/>
              </w:rPr>
            </w:pPr>
          </w:p>
        </w:tc>
        <w:tc>
          <w:tcPr>
            <w:tcW w:w="798"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int="default" w:ascii="宋体" w:hAnsi="宋体" w:cs="宋体"/>
                <w:sz w:val="24"/>
              </w:rPr>
            </w:pPr>
          </w:p>
        </w:tc>
        <w:tc>
          <w:tcPr>
            <w:tcW w:w="9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int="default" w:ascii="宋体" w:hAnsi="宋体" w:cs="宋体"/>
                <w:sz w:val="24"/>
              </w:rPr>
            </w:pPr>
          </w:p>
        </w:tc>
        <w:tc>
          <w:tcPr>
            <w:tcW w:w="98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int="default"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53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int="default" w:ascii="宋体" w:hAnsi="宋体" w:cs="宋体"/>
                <w:sz w:val="24"/>
              </w:rPr>
            </w:pPr>
          </w:p>
        </w:tc>
        <w:tc>
          <w:tcPr>
            <w:tcW w:w="124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int="default" w:ascii="宋体" w:hAnsi="宋体" w:cs="宋体"/>
                <w:sz w:val="24"/>
              </w:rPr>
            </w:pPr>
          </w:p>
        </w:tc>
        <w:tc>
          <w:tcPr>
            <w:tcW w:w="1352"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int="default" w:ascii="宋体" w:hAnsi="宋体" w:cs="宋体"/>
                <w:sz w:val="24"/>
              </w:rPr>
            </w:pPr>
          </w:p>
        </w:tc>
        <w:tc>
          <w:tcPr>
            <w:tcW w:w="1398"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int="default" w:ascii="宋体" w:hAnsi="宋体" w:cs="宋体"/>
                <w:sz w:val="24"/>
              </w:rPr>
            </w:pPr>
          </w:p>
        </w:tc>
        <w:tc>
          <w:tcPr>
            <w:tcW w:w="153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int="default" w:ascii="宋体" w:hAnsi="宋体" w:cs="宋体"/>
                <w:sz w:val="24"/>
              </w:rPr>
            </w:pPr>
          </w:p>
        </w:tc>
        <w:tc>
          <w:tcPr>
            <w:tcW w:w="121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int="default" w:ascii="宋体" w:hAnsi="宋体" w:cs="宋体"/>
                <w:sz w:val="24"/>
              </w:rPr>
            </w:pPr>
          </w:p>
        </w:tc>
        <w:tc>
          <w:tcPr>
            <w:tcW w:w="798"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int="default" w:ascii="宋体" w:hAnsi="宋体" w:cs="宋体"/>
                <w:sz w:val="24"/>
              </w:rPr>
            </w:pPr>
          </w:p>
        </w:tc>
        <w:tc>
          <w:tcPr>
            <w:tcW w:w="9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int="default" w:ascii="宋体" w:hAnsi="宋体" w:cs="宋体"/>
                <w:sz w:val="24"/>
              </w:rPr>
            </w:pPr>
          </w:p>
        </w:tc>
        <w:tc>
          <w:tcPr>
            <w:tcW w:w="98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int="default"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9980" w:type="dxa"/>
            <w:gridSpan w:val="9"/>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rPr>
                <w:rFonts w:hint="default" w:ascii="宋体" w:hAnsi="宋体" w:cs="宋体"/>
                <w:sz w:val="24"/>
              </w:rPr>
            </w:pPr>
            <w:r>
              <w:rPr>
                <w:rFonts w:hint="eastAsia" w:ascii="宋体" w:hAnsi="宋体" w:cs="宋体"/>
                <w:sz w:val="24"/>
              </w:rPr>
              <w:t>总合计：   大写：          小写：</w:t>
            </w:r>
          </w:p>
        </w:tc>
      </w:tr>
    </w:tbl>
    <w:p>
      <w:pPr>
        <w:spacing w:line="360" w:lineRule="auto"/>
        <w:ind w:firstLine="480" w:firstLineChars="200"/>
        <w:rPr>
          <w:rFonts w:ascii="宋体" w:hAnsi="宋体" w:cs="宋体"/>
          <w:b/>
          <w:sz w:val="24"/>
          <w:u w:val="single"/>
        </w:rPr>
      </w:pPr>
      <w:r>
        <w:rPr>
          <w:rFonts w:hint="eastAsia" w:ascii="宋体" w:hAnsi="宋体" w:cs="宋体"/>
          <w:b/>
          <w:sz w:val="24"/>
          <w:lang w:bidi="ar"/>
        </w:rPr>
        <w:t>说明： 1、本次采购货物中如包括政府强制采购的节能产品，则投标人所投标的相应货物的品牌及型号必须列入最新公布的《财政部、国家发展改革委关于调整节能产品政府采购清单的通知》的清单，</w:t>
      </w:r>
      <w:r>
        <w:rPr>
          <w:rFonts w:hint="eastAsia" w:ascii="宋体" w:hAnsi="宋体" w:cs="宋体"/>
          <w:b/>
          <w:sz w:val="24"/>
          <w:u w:val="single"/>
          <w:lang w:bidi="ar"/>
        </w:rPr>
        <w:t>并提供该货物所在的节能产品政府采购清单页，否则评标委员会有权利拒绝其投标。</w:t>
      </w:r>
    </w:p>
    <w:p>
      <w:pPr>
        <w:spacing w:line="360" w:lineRule="auto"/>
        <w:ind w:firstLine="480" w:firstLineChars="200"/>
        <w:rPr>
          <w:rFonts w:ascii="宋体" w:hAnsi="宋体" w:cs="宋体"/>
          <w:b/>
          <w:sz w:val="24"/>
        </w:rPr>
      </w:pPr>
      <w:r>
        <w:rPr>
          <w:rFonts w:hint="eastAsia" w:ascii="宋体" w:hAnsi="宋体" w:cs="宋体"/>
          <w:b/>
          <w:sz w:val="24"/>
          <w:lang w:bidi="ar"/>
        </w:rPr>
        <w:t>2、最新公布的《财政部、国家发展改革委关于调整节能产品政府采购清单的通知》的清单以</w:t>
      </w:r>
      <w:r>
        <w:rPr>
          <w:rFonts w:hint="eastAsia" w:ascii="宋体" w:hAnsi="宋体" w:cs="宋体"/>
          <w:b/>
          <w:sz w:val="24"/>
          <w:u w:val="double"/>
          <w:lang w:bidi="ar"/>
        </w:rPr>
        <w:t>中华人民共和国财政部网站（http://www.mof.gov.cn）</w:t>
      </w:r>
      <w:r>
        <w:rPr>
          <w:rFonts w:hint="eastAsia" w:ascii="宋体" w:hAnsi="宋体" w:cs="宋体"/>
          <w:b/>
          <w:sz w:val="24"/>
          <w:lang w:bidi="ar"/>
        </w:rPr>
        <w:t>或</w:t>
      </w:r>
      <w:r>
        <w:rPr>
          <w:rFonts w:hint="eastAsia" w:ascii="宋体" w:hAnsi="宋体" w:cs="宋体"/>
          <w:b/>
          <w:sz w:val="24"/>
          <w:u w:val="double"/>
          <w:lang w:bidi="ar"/>
        </w:rPr>
        <w:t>中国政府采购网（http://www.ccgp.gov.cn）</w:t>
      </w:r>
      <w:r>
        <w:rPr>
          <w:rFonts w:hint="eastAsia" w:ascii="宋体" w:hAnsi="宋体" w:cs="宋体"/>
          <w:b/>
          <w:sz w:val="24"/>
          <w:lang w:bidi="ar"/>
        </w:rPr>
        <w:t>或</w:t>
      </w:r>
      <w:r>
        <w:rPr>
          <w:rFonts w:hint="eastAsia" w:ascii="宋体" w:hAnsi="宋体" w:cs="宋体"/>
          <w:b/>
          <w:sz w:val="24"/>
          <w:u w:val="double"/>
          <w:lang w:bidi="ar"/>
        </w:rPr>
        <w:t>国家发展改革委网站（http://www.ndrc.gov.cn）</w:t>
      </w:r>
      <w:r>
        <w:rPr>
          <w:rFonts w:hint="eastAsia" w:ascii="宋体" w:hAnsi="宋体" w:cs="宋体"/>
          <w:b/>
          <w:sz w:val="24"/>
          <w:lang w:bidi="ar"/>
        </w:rPr>
        <w:t>或</w:t>
      </w:r>
      <w:r>
        <w:rPr>
          <w:rFonts w:hint="eastAsia" w:ascii="宋体" w:hAnsi="宋体" w:cs="宋体"/>
          <w:b/>
          <w:sz w:val="24"/>
          <w:u w:val="double"/>
          <w:lang w:bidi="ar"/>
        </w:rPr>
        <w:t>中国质量认证中心网站（http://www.cqc.com.cn）</w:t>
      </w:r>
      <w:r>
        <w:rPr>
          <w:rFonts w:hint="eastAsia" w:ascii="宋体" w:hAnsi="宋体" w:cs="宋体"/>
          <w:b/>
          <w:sz w:val="24"/>
          <w:lang w:bidi="ar"/>
        </w:rPr>
        <w:t>最新发布的 “节能产品政府采购清单”为准。</w:t>
      </w:r>
    </w:p>
    <w:p>
      <w:pPr>
        <w:spacing w:line="360" w:lineRule="auto"/>
        <w:ind w:firstLine="480" w:firstLineChars="200"/>
        <w:rPr>
          <w:rFonts w:cs="宋体"/>
          <w:sz w:val="24"/>
        </w:rPr>
      </w:pPr>
      <w:r>
        <w:rPr>
          <w:rFonts w:hint="eastAsia" w:ascii="宋体" w:hAnsi="宋体" w:cs="宋体"/>
          <w:b/>
          <w:sz w:val="24"/>
          <w:lang w:bidi="ar"/>
        </w:rPr>
        <w:t>3、政府强制采购的节能产品具体品目在“节能清单”中以“★”标注。</w:t>
      </w:r>
    </w:p>
    <w:p>
      <w:pPr>
        <w:pStyle w:val="35"/>
        <w:spacing w:line="560" w:lineRule="exact"/>
        <w:rPr>
          <w:rFonts w:cs="宋体"/>
          <w:sz w:val="24"/>
        </w:rPr>
      </w:pPr>
      <w:r>
        <w:rPr>
          <w:rFonts w:hint="eastAsia" w:cs="宋体"/>
          <w:sz w:val="24"/>
        </w:rPr>
        <w:t>供应商全称（公章）：</w:t>
      </w:r>
    </w:p>
    <w:p>
      <w:pPr>
        <w:pStyle w:val="35"/>
        <w:spacing w:line="560" w:lineRule="exact"/>
        <w:rPr>
          <w:rFonts w:cs="宋体"/>
          <w:sz w:val="24"/>
        </w:rPr>
      </w:pPr>
      <w:r>
        <w:rPr>
          <w:rFonts w:hint="eastAsia" w:cs="宋体"/>
          <w:sz w:val="24"/>
        </w:rPr>
        <w:t>全权代表或法定代表人（签字或盖章）：</w:t>
      </w:r>
    </w:p>
    <w:p>
      <w:pPr>
        <w:pStyle w:val="35"/>
        <w:spacing w:line="560" w:lineRule="exact"/>
        <w:rPr>
          <w:rFonts w:ascii="宋体" w:hAnsi="宋体"/>
          <w:b/>
          <w:kern w:val="0"/>
          <w:sz w:val="24"/>
          <w:szCs w:val="20"/>
        </w:rPr>
      </w:pPr>
      <w:r>
        <w:rPr>
          <w:rFonts w:hint="eastAsia" w:cs="宋体"/>
          <w:sz w:val="24"/>
        </w:rPr>
        <w:t xml:space="preserve">日期：      年   月   日 </w:t>
      </w:r>
    </w:p>
    <w:p>
      <w:pPr>
        <w:spacing w:line="560" w:lineRule="exact"/>
        <w:jc w:val="left"/>
        <w:rPr>
          <w:rFonts w:hint="eastAsia" w:ascii="宋体" w:hAnsi="宋体"/>
          <w:b/>
          <w:kern w:val="0"/>
          <w:sz w:val="24"/>
          <w:szCs w:val="20"/>
        </w:rPr>
      </w:pPr>
    </w:p>
    <w:p>
      <w:pPr>
        <w:spacing w:line="560" w:lineRule="exact"/>
        <w:jc w:val="left"/>
        <w:rPr>
          <w:rFonts w:ascii="宋体" w:hAnsi="宋体"/>
          <w:b/>
          <w:kern w:val="0"/>
          <w:sz w:val="24"/>
          <w:szCs w:val="20"/>
        </w:rPr>
      </w:pPr>
      <w:r>
        <w:rPr>
          <w:rFonts w:hint="eastAsia" w:ascii="宋体" w:hAnsi="宋体"/>
          <w:b/>
          <w:kern w:val="0"/>
          <w:sz w:val="24"/>
          <w:szCs w:val="20"/>
          <w:lang w:val="en-US" w:eastAsia="zh-CN"/>
        </w:rPr>
        <w:t>14</w:t>
      </w:r>
      <w:r>
        <w:rPr>
          <w:rFonts w:hint="eastAsia" w:ascii="宋体" w:hAnsi="宋体"/>
          <w:b/>
          <w:kern w:val="0"/>
          <w:sz w:val="24"/>
          <w:szCs w:val="20"/>
        </w:rPr>
        <w:t>.技术部分</w:t>
      </w:r>
    </w:p>
    <w:p>
      <w:pPr>
        <w:spacing w:line="560" w:lineRule="exact"/>
        <w:jc w:val="left"/>
        <w:rPr>
          <w:rFonts w:ascii="宋体" w:hAnsi="宋体"/>
          <w:b/>
          <w:sz w:val="24"/>
          <w:szCs w:val="20"/>
        </w:rPr>
      </w:pPr>
      <w:r>
        <w:rPr>
          <w:rFonts w:hint="eastAsia" w:ascii="宋体" w:hAnsi="宋体"/>
          <w:b/>
          <w:sz w:val="24"/>
          <w:szCs w:val="20"/>
        </w:rPr>
        <w:t>1、技术规范偏离表</w:t>
      </w:r>
    </w:p>
    <w:p>
      <w:pPr>
        <w:pStyle w:val="35"/>
        <w:tabs>
          <w:tab w:val="center" w:pos="4706"/>
          <w:tab w:val="left" w:pos="6165"/>
        </w:tabs>
        <w:spacing w:line="360" w:lineRule="auto"/>
        <w:ind w:firstLine="3600" w:firstLineChars="1500"/>
        <w:jc w:val="left"/>
        <w:rPr>
          <w:b/>
          <w:bCs/>
          <w:sz w:val="24"/>
        </w:rPr>
      </w:pPr>
      <w:r>
        <w:rPr>
          <w:rFonts w:hint="eastAsia"/>
          <w:b/>
          <w:sz w:val="24"/>
        </w:rPr>
        <w:t>技术规范</w:t>
      </w:r>
      <w:r>
        <w:rPr>
          <w:rFonts w:hint="eastAsia"/>
          <w:b/>
          <w:bCs/>
          <w:sz w:val="24"/>
        </w:rPr>
        <w:t>偏离表</w:t>
      </w:r>
    </w:p>
    <w:tbl>
      <w:tblPr>
        <w:tblStyle w:val="3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1"/>
        <w:gridCol w:w="1338"/>
        <w:gridCol w:w="2333"/>
        <w:gridCol w:w="1334"/>
        <w:gridCol w:w="2150"/>
        <w:gridCol w:w="9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91" w:type="dxa"/>
            <w:vMerge w:val="restart"/>
            <w:vAlign w:val="center"/>
          </w:tcPr>
          <w:p>
            <w:pPr>
              <w:keepNext w:val="0"/>
              <w:keepLines w:val="0"/>
              <w:suppressLineNumbers w:val="0"/>
              <w:spacing w:before="0" w:beforeAutospacing="0" w:after="0" w:afterAutospacing="0"/>
              <w:ind w:left="0" w:right="0"/>
              <w:jc w:val="center"/>
              <w:rPr>
                <w:rFonts w:hint="eastAsia" w:eastAsia="宋体"/>
                <w:sz w:val="24"/>
                <w:szCs w:val="24"/>
                <w:vertAlign w:val="baseline"/>
                <w:lang w:eastAsia="zh-CN"/>
              </w:rPr>
            </w:pPr>
            <w:r>
              <w:rPr>
                <w:rFonts w:hint="eastAsia"/>
                <w:sz w:val="24"/>
                <w:szCs w:val="24"/>
                <w:vertAlign w:val="baseline"/>
                <w:lang w:eastAsia="zh-CN"/>
              </w:rPr>
              <w:t>序号</w:t>
            </w:r>
          </w:p>
        </w:tc>
        <w:tc>
          <w:tcPr>
            <w:tcW w:w="3671" w:type="dxa"/>
            <w:gridSpan w:val="2"/>
            <w:vAlign w:val="center"/>
          </w:tcPr>
          <w:p>
            <w:pPr>
              <w:keepNext w:val="0"/>
              <w:keepLines w:val="0"/>
              <w:suppressLineNumbers w:val="0"/>
              <w:spacing w:before="0" w:beforeAutospacing="0" w:after="0" w:afterAutospacing="0"/>
              <w:ind w:left="0" w:right="0"/>
              <w:jc w:val="center"/>
              <w:rPr>
                <w:rFonts w:hint="default"/>
                <w:sz w:val="24"/>
                <w:szCs w:val="24"/>
                <w:vertAlign w:val="baseline"/>
              </w:rPr>
            </w:pPr>
            <w:r>
              <w:rPr>
                <w:rFonts w:hint="eastAsia"/>
                <w:sz w:val="24"/>
                <w:szCs w:val="24"/>
                <w:vertAlign w:val="baseline"/>
                <w:lang w:eastAsia="zh-CN"/>
              </w:rPr>
              <w:t>招标文件条款</w:t>
            </w:r>
          </w:p>
        </w:tc>
        <w:tc>
          <w:tcPr>
            <w:tcW w:w="3484" w:type="dxa"/>
            <w:gridSpan w:val="2"/>
            <w:vAlign w:val="center"/>
          </w:tcPr>
          <w:p>
            <w:pPr>
              <w:keepNext w:val="0"/>
              <w:keepLines w:val="0"/>
              <w:suppressLineNumbers w:val="0"/>
              <w:spacing w:before="0" w:beforeAutospacing="0" w:after="0" w:afterAutospacing="0"/>
              <w:ind w:left="0" w:right="0"/>
              <w:jc w:val="center"/>
              <w:rPr>
                <w:rFonts w:hint="default"/>
                <w:sz w:val="24"/>
                <w:szCs w:val="24"/>
                <w:vertAlign w:val="baseline"/>
              </w:rPr>
            </w:pPr>
            <w:r>
              <w:rPr>
                <w:rFonts w:hint="eastAsia"/>
                <w:sz w:val="24"/>
                <w:szCs w:val="24"/>
                <w:vertAlign w:val="baseline"/>
                <w:lang w:eastAsia="zh-CN"/>
              </w:rPr>
              <w:t>投标文件条款</w:t>
            </w:r>
          </w:p>
        </w:tc>
        <w:tc>
          <w:tcPr>
            <w:tcW w:w="933" w:type="dxa"/>
            <w:vAlign w:val="center"/>
          </w:tcPr>
          <w:p>
            <w:pPr>
              <w:keepNext w:val="0"/>
              <w:keepLines w:val="0"/>
              <w:suppressLineNumbers w:val="0"/>
              <w:spacing w:before="0" w:beforeAutospacing="0" w:after="0" w:afterAutospacing="0"/>
              <w:ind w:left="0" w:right="0"/>
              <w:jc w:val="center"/>
              <w:rPr>
                <w:rFonts w:hint="eastAsia" w:eastAsia="宋体"/>
                <w:sz w:val="24"/>
                <w:szCs w:val="24"/>
                <w:vertAlign w:val="baseline"/>
                <w:lang w:eastAsia="zh-CN"/>
              </w:rPr>
            </w:pPr>
            <w:r>
              <w:rPr>
                <w:rFonts w:hint="eastAsia"/>
                <w:sz w:val="24"/>
                <w:szCs w:val="24"/>
                <w:vertAlign w:val="baseline"/>
                <w:lang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91" w:type="dxa"/>
            <w:vMerge w:val="continue"/>
            <w:vAlign w:val="center"/>
          </w:tcPr>
          <w:p>
            <w:pPr>
              <w:keepNext w:val="0"/>
              <w:keepLines w:val="0"/>
              <w:suppressLineNumbers w:val="0"/>
              <w:spacing w:before="0" w:beforeAutospacing="0" w:after="0" w:afterAutospacing="0"/>
              <w:ind w:left="0" w:right="0"/>
              <w:jc w:val="center"/>
              <w:rPr>
                <w:rFonts w:hint="default"/>
                <w:sz w:val="24"/>
                <w:szCs w:val="24"/>
                <w:vertAlign w:val="baseline"/>
              </w:rPr>
            </w:pPr>
          </w:p>
        </w:tc>
        <w:tc>
          <w:tcPr>
            <w:tcW w:w="1338" w:type="dxa"/>
            <w:vAlign w:val="center"/>
          </w:tcPr>
          <w:p>
            <w:pPr>
              <w:keepNext w:val="0"/>
              <w:keepLines w:val="0"/>
              <w:suppressLineNumbers w:val="0"/>
              <w:spacing w:before="0" w:beforeAutospacing="0" w:after="0" w:afterAutospacing="0"/>
              <w:ind w:left="0" w:right="0"/>
              <w:jc w:val="center"/>
              <w:rPr>
                <w:rFonts w:hint="eastAsia" w:eastAsia="宋体"/>
                <w:sz w:val="24"/>
                <w:szCs w:val="24"/>
                <w:vertAlign w:val="baseline"/>
                <w:lang w:eastAsia="zh-CN"/>
              </w:rPr>
            </w:pPr>
            <w:r>
              <w:rPr>
                <w:rFonts w:hint="eastAsia"/>
                <w:sz w:val="24"/>
                <w:szCs w:val="24"/>
                <w:vertAlign w:val="baseline"/>
                <w:lang w:eastAsia="zh-CN"/>
              </w:rPr>
              <w:t>条款号</w:t>
            </w:r>
          </w:p>
        </w:tc>
        <w:tc>
          <w:tcPr>
            <w:tcW w:w="2333" w:type="dxa"/>
            <w:vAlign w:val="center"/>
          </w:tcPr>
          <w:p>
            <w:pPr>
              <w:keepNext w:val="0"/>
              <w:keepLines w:val="0"/>
              <w:suppressLineNumbers w:val="0"/>
              <w:spacing w:before="0" w:beforeAutospacing="0" w:after="0" w:afterAutospacing="0"/>
              <w:ind w:left="0" w:right="0"/>
              <w:jc w:val="center"/>
              <w:rPr>
                <w:rFonts w:hint="eastAsia" w:eastAsia="宋体"/>
                <w:sz w:val="24"/>
                <w:szCs w:val="24"/>
                <w:vertAlign w:val="baseline"/>
                <w:lang w:eastAsia="zh-CN"/>
              </w:rPr>
            </w:pPr>
            <w:r>
              <w:rPr>
                <w:rFonts w:hint="eastAsia"/>
                <w:sz w:val="24"/>
                <w:szCs w:val="24"/>
                <w:vertAlign w:val="baseline"/>
                <w:lang w:eastAsia="zh-CN"/>
              </w:rPr>
              <w:t>条款内容</w:t>
            </w:r>
          </w:p>
        </w:tc>
        <w:tc>
          <w:tcPr>
            <w:tcW w:w="1334" w:type="dxa"/>
            <w:vAlign w:val="center"/>
          </w:tcPr>
          <w:p>
            <w:pPr>
              <w:keepNext w:val="0"/>
              <w:keepLines w:val="0"/>
              <w:suppressLineNumbers w:val="0"/>
              <w:spacing w:before="0" w:beforeAutospacing="0" w:after="0" w:afterAutospacing="0"/>
              <w:ind w:left="0" w:right="0"/>
              <w:jc w:val="center"/>
              <w:rPr>
                <w:rFonts w:hint="default"/>
                <w:sz w:val="24"/>
                <w:szCs w:val="24"/>
                <w:vertAlign w:val="baseline"/>
              </w:rPr>
            </w:pPr>
            <w:r>
              <w:rPr>
                <w:rFonts w:hint="eastAsia"/>
                <w:sz w:val="24"/>
                <w:szCs w:val="24"/>
                <w:vertAlign w:val="baseline"/>
                <w:lang w:eastAsia="zh-CN"/>
              </w:rPr>
              <w:t>条款号</w:t>
            </w:r>
          </w:p>
        </w:tc>
        <w:tc>
          <w:tcPr>
            <w:tcW w:w="2150" w:type="dxa"/>
            <w:vAlign w:val="center"/>
          </w:tcPr>
          <w:p>
            <w:pPr>
              <w:keepNext w:val="0"/>
              <w:keepLines w:val="0"/>
              <w:suppressLineNumbers w:val="0"/>
              <w:spacing w:before="0" w:beforeAutospacing="0" w:after="0" w:afterAutospacing="0"/>
              <w:ind w:left="0" w:right="0"/>
              <w:jc w:val="center"/>
              <w:rPr>
                <w:rFonts w:hint="default"/>
                <w:sz w:val="24"/>
                <w:szCs w:val="24"/>
                <w:vertAlign w:val="baseline"/>
              </w:rPr>
            </w:pPr>
            <w:r>
              <w:rPr>
                <w:rFonts w:hint="eastAsia"/>
                <w:sz w:val="24"/>
                <w:szCs w:val="24"/>
                <w:vertAlign w:val="baseline"/>
                <w:lang w:eastAsia="zh-CN"/>
              </w:rPr>
              <w:t>条款内容</w:t>
            </w:r>
          </w:p>
        </w:tc>
        <w:tc>
          <w:tcPr>
            <w:tcW w:w="933" w:type="dxa"/>
            <w:vAlign w:val="center"/>
          </w:tcPr>
          <w:p>
            <w:pPr>
              <w:keepNext w:val="0"/>
              <w:keepLines w:val="0"/>
              <w:suppressLineNumbers w:val="0"/>
              <w:spacing w:before="0" w:beforeAutospacing="0" w:after="0" w:afterAutospacing="0"/>
              <w:ind w:left="0" w:right="0"/>
              <w:jc w:val="center"/>
              <w:rPr>
                <w:rFonts w:hint="default"/>
                <w:sz w:val="24"/>
                <w:szCs w:val="24"/>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91" w:type="dxa"/>
            <w:vAlign w:val="center"/>
          </w:tcPr>
          <w:p>
            <w:pPr>
              <w:keepNext w:val="0"/>
              <w:keepLines w:val="0"/>
              <w:suppressLineNumbers w:val="0"/>
              <w:spacing w:before="0" w:beforeAutospacing="0" w:after="0" w:afterAutospacing="0"/>
              <w:ind w:left="0" w:right="0"/>
              <w:jc w:val="center"/>
              <w:rPr>
                <w:rFonts w:hint="default"/>
                <w:vertAlign w:val="baseline"/>
              </w:rPr>
            </w:pPr>
          </w:p>
        </w:tc>
        <w:tc>
          <w:tcPr>
            <w:tcW w:w="1338" w:type="dxa"/>
            <w:vAlign w:val="center"/>
          </w:tcPr>
          <w:p>
            <w:pPr>
              <w:keepNext w:val="0"/>
              <w:keepLines w:val="0"/>
              <w:suppressLineNumbers w:val="0"/>
              <w:spacing w:before="0" w:beforeAutospacing="0" w:after="0" w:afterAutospacing="0"/>
              <w:ind w:left="0" w:right="0"/>
              <w:jc w:val="center"/>
              <w:rPr>
                <w:rFonts w:hint="default"/>
                <w:vertAlign w:val="baseline"/>
              </w:rPr>
            </w:pPr>
          </w:p>
        </w:tc>
        <w:tc>
          <w:tcPr>
            <w:tcW w:w="2333" w:type="dxa"/>
            <w:vAlign w:val="center"/>
          </w:tcPr>
          <w:p>
            <w:pPr>
              <w:keepNext w:val="0"/>
              <w:keepLines w:val="0"/>
              <w:suppressLineNumbers w:val="0"/>
              <w:spacing w:before="0" w:beforeAutospacing="0" w:after="0" w:afterAutospacing="0"/>
              <w:ind w:left="0" w:right="0"/>
              <w:jc w:val="center"/>
              <w:rPr>
                <w:rFonts w:hint="default"/>
                <w:vertAlign w:val="baseline"/>
              </w:rPr>
            </w:pPr>
          </w:p>
        </w:tc>
        <w:tc>
          <w:tcPr>
            <w:tcW w:w="1334" w:type="dxa"/>
            <w:vAlign w:val="center"/>
          </w:tcPr>
          <w:p>
            <w:pPr>
              <w:keepNext w:val="0"/>
              <w:keepLines w:val="0"/>
              <w:suppressLineNumbers w:val="0"/>
              <w:spacing w:before="0" w:beforeAutospacing="0" w:after="0" w:afterAutospacing="0"/>
              <w:ind w:left="0" w:right="0"/>
              <w:jc w:val="center"/>
              <w:rPr>
                <w:rFonts w:hint="default"/>
                <w:vertAlign w:val="baseline"/>
              </w:rPr>
            </w:pPr>
          </w:p>
        </w:tc>
        <w:tc>
          <w:tcPr>
            <w:tcW w:w="2150" w:type="dxa"/>
            <w:vAlign w:val="center"/>
          </w:tcPr>
          <w:p>
            <w:pPr>
              <w:keepNext w:val="0"/>
              <w:keepLines w:val="0"/>
              <w:suppressLineNumbers w:val="0"/>
              <w:spacing w:before="0" w:beforeAutospacing="0" w:after="0" w:afterAutospacing="0"/>
              <w:ind w:left="0" w:right="0"/>
              <w:jc w:val="center"/>
              <w:rPr>
                <w:rFonts w:hint="default"/>
                <w:vertAlign w:val="baseline"/>
              </w:rPr>
            </w:pPr>
          </w:p>
        </w:tc>
        <w:tc>
          <w:tcPr>
            <w:tcW w:w="933" w:type="dxa"/>
            <w:vAlign w:val="center"/>
          </w:tcPr>
          <w:p>
            <w:pPr>
              <w:keepNext w:val="0"/>
              <w:keepLines w:val="0"/>
              <w:suppressLineNumbers w:val="0"/>
              <w:spacing w:before="0" w:beforeAutospacing="0" w:after="0" w:afterAutospacing="0"/>
              <w:ind w:left="0" w:right="0"/>
              <w:jc w:val="center"/>
              <w:rPr>
                <w:rFonts w:hint="default"/>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91" w:type="dxa"/>
            <w:vAlign w:val="center"/>
          </w:tcPr>
          <w:p>
            <w:pPr>
              <w:keepNext w:val="0"/>
              <w:keepLines w:val="0"/>
              <w:suppressLineNumbers w:val="0"/>
              <w:spacing w:before="0" w:beforeAutospacing="0" w:after="0" w:afterAutospacing="0"/>
              <w:ind w:left="0" w:right="0"/>
              <w:jc w:val="center"/>
              <w:rPr>
                <w:rFonts w:hint="default"/>
                <w:vertAlign w:val="baseline"/>
              </w:rPr>
            </w:pPr>
          </w:p>
        </w:tc>
        <w:tc>
          <w:tcPr>
            <w:tcW w:w="1338" w:type="dxa"/>
            <w:vAlign w:val="center"/>
          </w:tcPr>
          <w:p>
            <w:pPr>
              <w:keepNext w:val="0"/>
              <w:keepLines w:val="0"/>
              <w:suppressLineNumbers w:val="0"/>
              <w:spacing w:before="0" w:beforeAutospacing="0" w:after="0" w:afterAutospacing="0"/>
              <w:ind w:left="0" w:right="0"/>
              <w:jc w:val="center"/>
              <w:rPr>
                <w:rFonts w:hint="default"/>
                <w:vertAlign w:val="baseline"/>
              </w:rPr>
            </w:pPr>
          </w:p>
        </w:tc>
        <w:tc>
          <w:tcPr>
            <w:tcW w:w="2333" w:type="dxa"/>
            <w:vAlign w:val="center"/>
          </w:tcPr>
          <w:p>
            <w:pPr>
              <w:keepNext w:val="0"/>
              <w:keepLines w:val="0"/>
              <w:suppressLineNumbers w:val="0"/>
              <w:spacing w:before="0" w:beforeAutospacing="0" w:after="0" w:afterAutospacing="0"/>
              <w:ind w:left="0" w:right="0"/>
              <w:jc w:val="center"/>
              <w:rPr>
                <w:rFonts w:hint="default"/>
                <w:vertAlign w:val="baseline"/>
              </w:rPr>
            </w:pPr>
          </w:p>
        </w:tc>
        <w:tc>
          <w:tcPr>
            <w:tcW w:w="1334" w:type="dxa"/>
            <w:vAlign w:val="center"/>
          </w:tcPr>
          <w:p>
            <w:pPr>
              <w:keepNext w:val="0"/>
              <w:keepLines w:val="0"/>
              <w:suppressLineNumbers w:val="0"/>
              <w:spacing w:before="0" w:beforeAutospacing="0" w:after="0" w:afterAutospacing="0"/>
              <w:ind w:left="0" w:right="0"/>
              <w:jc w:val="center"/>
              <w:rPr>
                <w:rFonts w:hint="default"/>
                <w:vertAlign w:val="baseline"/>
              </w:rPr>
            </w:pPr>
          </w:p>
        </w:tc>
        <w:tc>
          <w:tcPr>
            <w:tcW w:w="2150" w:type="dxa"/>
            <w:vAlign w:val="center"/>
          </w:tcPr>
          <w:p>
            <w:pPr>
              <w:keepNext w:val="0"/>
              <w:keepLines w:val="0"/>
              <w:suppressLineNumbers w:val="0"/>
              <w:spacing w:before="0" w:beforeAutospacing="0" w:after="0" w:afterAutospacing="0"/>
              <w:ind w:left="0" w:right="0"/>
              <w:jc w:val="center"/>
              <w:rPr>
                <w:rFonts w:hint="default"/>
                <w:vertAlign w:val="baseline"/>
              </w:rPr>
            </w:pPr>
          </w:p>
        </w:tc>
        <w:tc>
          <w:tcPr>
            <w:tcW w:w="933" w:type="dxa"/>
            <w:vAlign w:val="center"/>
          </w:tcPr>
          <w:p>
            <w:pPr>
              <w:keepNext w:val="0"/>
              <w:keepLines w:val="0"/>
              <w:suppressLineNumbers w:val="0"/>
              <w:spacing w:before="0" w:beforeAutospacing="0" w:after="0" w:afterAutospacing="0"/>
              <w:ind w:left="0" w:right="0"/>
              <w:jc w:val="center"/>
              <w:rPr>
                <w:rFonts w:hint="default"/>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91" w:type="dxa"/>
            <w:vAlign w:val="center"/>
          </w:tcPr>
          <w:p>
            <w:pPr>
              <w:keepNext w:val="0"/>
              <w:keepLines w:val="0"/>
              <w:suppressLineNumbers w:val="0"/>
              <w:spacing w:before="0" w:beforeAutospacing="0" w:after="0" w:afterAutospacing="0"/>
              <w:ind w:left="0" w:right="0"/>
              <w:jc w:val="center"/>
              <w:rPr>
                <w:rFonts w:hint="default"/>
                <w:vertAlign w:val="baseline"/>
              </w:rPr>
            </w:pPr>
          </w:p>
        </w:tc>
        <w:tc>
          <w:tcPr>
            <w:tcW w:w="1338" w:type="dxa"/>
            <w:vAlign w:val="center"/>
          </w:tcPr>
          <w:p>
            <w:pPr>
              <w:keepNext w:val="0"/>
              <w:keepLines w:val="0"/>
              <w:suppressLineNumbers w:val="0"/>
              <w:spacing w:before="0" w:beforeAutospacing="0" w:after="0" w:afterAutospacing="0"/>
              <w:ind w:left="0" w:right="0"/>
              <w:jc w:val="center"/>
              <w:rPr>
                <w:rFonts w:hint="default"/>
                <w:vertAlign w:val="baseline"/>
              </w:rPr>
            </w:pPr>
          </w:p>
        </w:tc>
        <w:tc>
          <w:tcPr>
            <w:tcW w:w="2333" w:type="dxa"/>
            <w:vAlign w:val="center"/>
          </w:tcPr>
          <w:p>
            <w:pPr>
              <w:keepNext w:val="0"/>
              <w:keepLines w:val="0"/>
              <w:suppressLineNumbers w:val="0"/>
              <w:spacing w:before="0" w:beforeAutospacing="0" w:after="0" w:afterAutospacing="0"/>
              <w:ind w:left="0" w:right="0"/>
              <w:jc w:val="center"/>
              <w:rPr>
                <w:rFonts w:hint="default"/>
                <w:vertAlign w:val="baseline"/>
              </w:rPr>
            </w:pPr>
          </w:p>
        </w:tc>
        <w:tc>
          <w:tcPr>
            <w:tcW w:w="1334" w:type="dxa"/>
            <w:vAlign w:val="center"/>
          </w:tcPr>
          <w:p>
            <w:pPr>
              <w:keepNext w:val="0"/>
              <w:keepLines w:val="0"/>
              <w:suppressLineNumbers w:val="0"/>
              <w:spacing w:before="0" w:beforeAutospacing="0" w:after="0" w:afterAutospacing="0"/>
              <w:ind w:left="0" w:right="0"/>
              <w:jc w:val="center"/>
              <w:rPr>
                <w:rFonts w:hint="default"/>
                <w:vertAlign w:val="baseline"/>
              </w:rPr>
            </w:pPr>
          </w:p>
        </w:tc>
        <w:tc>
          <w:tcPr>
            <w:tcW w:w="2150" w:type="dxa"/>
            <w:vAlign w:val="center"/>
          </w:tcPr>
          <w:p>
            <w:pPr>
              <w:keepNext w:val="0"/>
              <w:keepLines w:val="0"/>
              <w:suppressLineNumbers w:val="0"/>
              <w:spacing w:before="0" w:beforeAutospacing="0" w:after="0" w:afterAutospacing="0"/>
              <w:ind w:left="0" w:right="0"/>
              <w:jc w:val="center"/>
              <w:rPr>
                <w:rFonts w:hint="default"/>
                <w:vertAlign w:val="baseline"/>
              </w:rPr>
            </w:pPr>
          </w:p>
        </w:tc>
        <w:tc>
          <w:tcPr>
            <w:tcW w:w="933" w:type="dxa"/>
            <w:vAlign w:val="center"/>
          </w:tcPr>
          <w:p>
            <w:pPr>
              <w:keepNext w:val="0"/>
              <w:keepLines w:val="0"/>
              <w:suppressLineNumbers w:val="0"/>
              <w:spacing w:before="0" w:beforeAutospacing="0" w:after="0" w:afterAutospacing="0"/>
              <w:ind w:left="0" w:right="0"/>
              <w:jc w:val="center"/>
              <w:rPr>
                <w:rFonts w:hint="default"/>
                <w:vertAlign w:val="baseline"/>
              </w:rPr>
            </w:pPr>
          </w:p>
        </w:tc>
      </w:tr>
    </w:tbl>
    <w:p>
      <w:pPr>
        <w:spacing w:line="360" w:lineRule="auto"/>
        <w:ind w:firstLine="470" w:firstLineChars="196"/>
        <w:rPr>
          <w:b/>
          <w:bCs/>
          <w:sz w:val="24"/>
        </w:rPr>
      </w:pPr>
      <w:r>
        <w:rPr>
          <w:rFonts w:hint="eastAsia"/>
          <w:b/>
          <w:bCs/>
          <w:sz w:val="24"/>
        </w:rPr>
        <w:t>本表可依样扩展</w:t>
      </w:r>
    </w:p>
    <w:p>
      <w:pPr>
        <w:autoSpaceDE w:val="0"/>
        <w:autoSpaceDN w:val="0"/>
        <w:adjustRightInd w:val="0"/>
        <w:spacing w:line="360" w:lineRule="auto"/>
        <w:rPr>
          <w:rFonts w:ascii="宋体" w:hAnsi="宋体" w:cs="宋体"/>
          <w:b/>
          <w:sz w:val="24"/>
          <w:lang w:val="zh-CN"/>
        </w:rPr>
      </w:pPr>
      <w:r>
        <w:rPr>
          <w:rFonts w:hint="eastAsia" w:ascii="宋体" w:hAnsi="宋体" w:cs="宋体"/>
          <w:b/>
          <w:sz w:val="24"/>
          <w:lang w:val="zh-CN"/>
        </w:rPr>
        <w:t>注：</w:t>
      </w:r>
    </w:p>
    <w:p>
      <w:pPr>
        <w:autoSpaceDE w:val="0"/>
        <w:autoSpaceDN w:val="0"/>
        <w:adjustRightInd w:val="0"/>
        <w:spacing w:line="360" w:lineRule="auto"/>
        <w:ind w:firstLine="352" w:firstLineChars="147"/>
        <w:rPr>
          <w:rFonts w:ascii="宋体" w:hAnsi="宋体" w:cs="宋体"/>
          <w:b/>
          <w:sz w:val="24"/>
          <w:lang w:val="zh-CN"/>
        </w:rPr>
      </w:pPr>
      <w:r>
        <w:rPr>
          <w:rFonts w:hint="eastAsia" w:ascii="宋体" w:hAnsi="宋体" w:cs="宋体"/>
          <w:b/>
          <w:sz w:val="24"/>
          <w:lang w:val="zh-CN"/>
        </w:rPr>
        <w:t>（1）如无偏离请注明“无”字。</w:t>
      </w:r>
    </w:p>
    <w:p>
      <w:pPr>
        <w:autoSpaceDE w:val="0"/>
        <w:autoSpaceDN w:val="0"/>
        <w:adjustRightInd w:val="0"/>
        <w:spacing w:line="360" w:lineRule="auto"/>
        <w:ind w:firstLine="352" w:firstLineChars="147"/>
        <w:rPr>
          <w:rFonts w:ascii="宋体" w:hAnsi="宋体" w:cs="宋体"/>
          <w:b/>
          <w:sz w:val="24"/>
          <w:lang w:val="zh-CN"/>
        </w:rPr>
      </w:pPr>
      <w:r>
        <w:rPr>
          <w:rFonts w:hint="eastAsia" w:ascii="宋体" w:hAnsi="宋体" w:cs="宋体"/>
          <w:b/>
          <w:sz w:val="24"/>
          <w:lang w:val="zh-CN"/>
        </w:rPr>
        <w:t>（2）如供应商在偏离表中无注明，投标文件与招标文件不一致或差异，以招标文件为准。</w:t>
      </w:r>
    </w:p>
    <w:p>
      <w:pPr>
        <w:autoSpaceDE w:val="0"/>
        <w:autoSpaceDN w:val="0"/>
        <w:adjustRightInd w:val="0"/>
        <w:spacing w:line="360" w:lineRule="auto"/>
        <w:ind w:firstLine="352" w:firstLineChars="147"/>
        <w:rPr>
          <w:rFonts w:ascii="宋体" w:hAnsi="宋体" w:cs="宋体"/>
          <w:b/>
          <w:sz w:val="24"/>
          <w:lang w:val="zh-CN"/>
        </w:rPr>
      </w:pPr>
      <w:r>
        <w:rPr>
          <w:rFonts w:hint="eastAsia" w:ascii="宋体" w:hAnsi="宋体" w:cs="宋体"/>
          <w:b/>
          <w:sz w:val="24"/>
          <w:lang w:val="zh-CN"/>
        </w:rPr>
        <w:t>（3）响应服务的技术参数要实质上相当于或优于招标服务清单中的参考技术参数，否则视为不响应招标文件的实质性要求。</w:t>
      </w:r>
    </w:p>
    <w:p>
      <w:pPr>
        <w:spacing w:line="560" w:lineRule="exact"/>
        <w:ind w:firstLine="480" w:firstLineChars="200"/>
        <w:jc w:val="left"/>
        <w:rPr>
          <w:rFonts w:ascii="宋体" w:hAnsi="宋体"/>
          <w:b/>
          <w:sz w:val="24"/>
        </w:rPr>
      </w:pPr>
    </w:p>
    <w:p>
      <w:pPr>
        <w:spacing w:line="560" w:lineRule="exact"/>
        <w:ind w:firstLine="480" w:firstLineChars="200"/>
        <w:jc w:val="left"/>
        <w:rPr>
          <w:rFonts w:ascii="宋体" w:hAnsi="宋体"/>
          <w:b/>
          <w:sz w:val="24"/>
        </w:rPr>
      </w:pPr>
    </w:p>
    <w:p>
      <w:pPr>
        <w:spacing w:line="560" w:lineRule="exact"/>
        <w:ind w:firstLine="480" w:firstLineChars="200"/>
        <w:jc w:val="left"/>
        <w:rPr>
          <w:rFonts w:ascii="宋体" w:hAnsi="宋体"/>
          <w:b/>
          <w:sz w:val="24"/>
        </w:rPr>
      </w:pPr>
    </w:p>
    <w:p>
      <w:pPr>
        <w:spacing w:line="560" w:lineRule="exact"/>
        <w:ind w:firstLine="480" w:firstLineChars="200"/>
        <w:jc w:val="left"/>
        <w:rPr>
          <w:rFonts w:ascii="宋体" w:hAnsi="宋体"/>
          <w:b/>
          <w:sz w:val="24"/>
        </w:rPr>
      </w:pPr>
    </w:p>
    <w:p>
      <w:pPr>
        <w:spacing w:line="560" w:lineRule="exact"/>
        <w:ind w:firstLine="480" w:firstLineChars="200"/>
        <w:jc w:val="left"/>
        <w:rPr>
          <w:rFonts w:ascii="宋体" w:hAnsi="宋体"/>
          <w:b/>
          <w:sz w:val="24"/>
        </w:rPr>
      </w:pPr>
    </w:p>
    <w:p>
      <w:pPr>
        <w:pStyle w:val="2"/>
        <w:rPr>
          <w:rFonts w:ascii="宋体" w:hAnsi="宋体"/>
          <w:b/>
          <w:sz w:val="24"/>
        </w:rPr>
      </w:pPr>
    </w:p>
    <w:p>
      <w:pPr>
        <w:pStyle w:val="2"/>
        <w:rPr>
          <w:rFonts w:ascii="宋体" w:hAnsi="宋体"/>
          <w:b/>
          <w:sz w:val="24"/>
        </w:rPr>
      </w:pPr>
    </w:p>
    <w:p>
      <w:pPr>
        <w:pStyle w:val="2"/>
        <w:rPr>
          <w:rFonts w:ascii="宋体" w:hAnsi="宋体"/>
          <w:b/>
          <w:sz w:val="24"/>
        </w:rPr>
      </w:pPr>
    </w:p>
    <w:p>
      <w:pPr>
        <w:pStyle w:val="2"/>
        <w:rPr>
          <w:rFonts w:ascii="宋体" w:hAnsi="宋体"/>
          <w:b/>
          <w:sz w:val="24"/>
        </w:rPr>
      </w:pPr>
    </w:p>
    <w:p>
      <w:pPr>
        <w:pStyle w:val="2"/>
        <w:rPr>
          <w:rFonts w:ascii="宋体" w:hAnsi="宋体"/>
          <w:b/>
          <w:sz w:val="24"/>
        </w:rPr>
      </w:pPr>
    </w:p>
    <w:p>
      <w:pPr>
        <w:pStyle w:val="2"/>
        <w:rPr>
          <w:rFonts w:ascii="宋体" w:hAnsi="宋体"/>
          <w:b/>
          <w:sz w:val="24"/>
        </w:rPr>
      </w:pPr>
    </w:p>
    <w:p>
      <w:pPr>
        <w:pStyle w:val="2"/>
        <w:rPr>
          <w:rFonts w:ascii="宋体" w:hAnsi="宋体"/>
          <w:b/>
          <w:sz w:val="24"/>
        </w:rPr>
      </w:pPr>
    </w:p>
    <w:p>
      <w:pPr>
        <w:spacing w:line="560" w:lineRule="exact"/>
        <w:ind w:firstLine="480" w:firstLineChars="200"/>
        <w:jc w:val="left"/>
        <w:rPr>
          <w:rFonts w:ascii="宋体" w:hAnsi="宋体"/>
          <w:b/>
          <w:sz w:val="24"/>
        </w:rPr>
      </w:pPr>
    </w:p>
    <w:p>
      <w:pPr>
        <w:spacing w:line="560" w:lineRule="exact"/>
        <w:ind w:firstLine="480" w:firstLineChars="200"/>
        <w:jc w:val="left"/>
        <w:rPr>
          <w:rFonts w:ascii="宋体" w:hAnsi="宋体"/>
          <w:b/>
          <w:sz w:val="24"/>
        </w:rPr>
      </w:pPr>
      <w:r>
        <w:rPr>
          <w:rFonts w:hint="eastAsia" w:ascii="宋体" w:hAnsi="宋体"/>
          <w:b/>
          <w:sz w:val="24"/>
        </w:rPr>
        <w:t>2、产品说明（包括产品品牌型号、制造商、技术性能指标、主要技术参数说明、产品符合国家及地方质量、检测标准的情况等）</w:t>
      </w:r>
    </w:p>
    <w:p>
      <w:pPr>
        <w:spacing w:line="560" w:lineRule="exact"/>
        <w:ind w:firstLine="480" w:firstLineChars="200"/>
        <w:jc w:val="left"/>
        <w:rPr>
          <w:rFonts w:ascii="宋体" w:hAnsi="宋体"/>
          <w:b/>
          <w:sz w:val="24"/>
        </w:rPr>
      </w:pPr>
      <w:r>
        <w:rPr>
          <w:rFonts w:hint="eastAsia" w:ascii="宋体" w:hAnsi="宋体"/>
          <w:b/>
          <w:sz w:val="24"/>
        </w:rPr>
        <w:t>3、产品合格证书及相关检验、检测报告、证书、产品样册等扫描件</w:t>
      </w:r>
    </w:p>
    <w:p>
      <w:pPr>
        <w:spacing w:line="560" w:lineRule="exact"/>
        <w:ind w:firstLine="480" w:firstLineChars="200"/>
        <w:jc w:val="left"/>
        <w:rPr>
          <w:rFonts w:ascii="宋体" w:hAnsi="宋体"/>
          <w:b/>
          <w:sz w:val="24"/>
        </w:rPr>
      </w:pPr>
      <w:r>
        <w:rPr>
          <w:rFonts w:hint="eastAsia" w:ascii="宋体" w:hAnsi="宋体"/>
          <w:b/>
          <w:sz w:val="24"/>
        </w:rPr>
        <w:t>4、技术支持的详细说明、质量保证、售后服务措施及优惠承诺 （应包括整体质量保证、售后服务期限、免费服务期限、厂家免费维护保养周期、服务反应速度、售后服务范围、供货时限保证、备品备件的供应、安装、调试、操作培训、技术指导、优惠承诺条款及其他服务内容等）</w:t>
      </w:r>
    </w:p>
    <w:p>
      <w:pPr>
        <w:spacing w:line="560" w:lineRule="exact"/>
        <w:ind w:firstLine="480" w:firstLineChars="200"/>
        <w:jc w:val="left"/>
        <w:rPr>
          <w:rFonts w:ascii="宋体" w:hAnsi="宋体"/>
          <w:b/>
          <w:sz w:val="24"/>
        </w:rPr>
      </w:pPr>
      <w:bookmarkStart w:id="325" w:name="_Toc518923122"/>
      <w:r>
        <w:rPr>
          <w:rFonts w:hint="eastAsia" w:ascii="宋体" w:hAnsi="宋体"/>
          <w:b/>
          <w:sz w:val="24"/>
        </w:rPr>
        <w:t>5、供货方案、进度计划安排、人员配备等</w:t>
      </w:r>
    </w:p>
    <w:p>
      <w:pPr>
        <w:autoSpaceDE w:val="0"/>
        <w:autoSpaceDN w:val="0"/>
        <w:adjustRightInd w:val="0"/>
        <w:spacing w:line="560" w:lineRule="exact"/>
        <w:jc w:val="left"/>
        <w:rPr>
          <w:rFonts w:ascii="宋体" w:hAnsi="宋体"/>
          <w:kern w:val="0"/>
          <w:sz w:val="24"/>
          <w:szCs w:val="22"/>
        </w:rPr>
      </w:pPr>
    </w:p>
    <w:p>
      <w:pPr>
        <w:spacing w:line="560" w:lineRule="exact"/>
        <w:jc w:val="left"/>
        <w:rPr>
          <w:rFonts w:ascii="宋体" w:hAnsi="宋体"/>
          <w:kern w:val="0"/>
          <w:sz w:val="24"/>
          <w:szCs w:val="22"/>
        </w:rPr>
      </w:pPr>
    </w:p>
    <w:bookmarkEnd w:id="325"/>
    <w:p>
      <w:pPr>
        <w:pStyle w:val="3"/>
        <w:tabs>
          <w:tab w:val="left" w:pos="0"/>
        </w:tabs>
        <w:spacing w:before="0" w:after="0" w:line="360" w:lineRule="auto"/>
        <w:ind w:firstLine="2240" w:firstLineChars="700"/>
        <w:jc w:val="both"/>
        <w:rPr>
          <w:rFonts w:hAnsi="宋体"/>
        </w:rPr>
      </w:pPr>
    </w:p>
    <w:p>
      <w:pPr>
        <w:pStyle w:val="3"/>
        <w:tabs>
          <w:tab w:val="left" w:pos="0"/>
        </w:tabs>
        <w:spacing w:before="0" w:after="0" w:line="360" w:lineRule="auto"/>
        <w:ind w:firstLine="2240" w:firstLineChars="700"/>
        <w:jc w:val="both"/>
        <w:rPr>
          <w:rFonts w:hAnsi="宋体"/>
        </w:rPr>
      </w:pPr>
    </w:p>
    <w:p>
      <w:pPr>
        <w:pStyle w:val="3"/>
        <w:tabs>
          <w:tab w:val="left" w:pos="0"/>
        </w:tabs>
        <w:spacing w:before="0" w:after="0" w:line="360" w:lineRule="auto"/>
        <w:ind w:firstLine="2240" w:firstLineChars="700"/>
        <w:jc w:val="both"/>
        <w:rPr>
          <w:rFonts w:hAnsi="宋体"/>
        </w:rPr>
      </w:pPr>
    </w:p>
    <w:p>
      <w:pPr>
        <w:rPr>
          <w:rFonts w:hAnsi="宋体"/>
        </w:rPr>
      </w:pPr>
    </w:p>
    <w:p>
      <w:pPr>
        <w:pStyle w:val="46"/>
        <w:rPr>
          <w:rFonts w:hAnsi="宋体"/>
        </w:rPr>
      </w:pPr>
    </w:p>
    <w:p>
      <w:pPr>
        <w:rPr>
          <w:rFonts w:hAnsi="宋体"/>
        </w:rPr>
      </w:pPr>
    </w:p>
    <w:p>
      <w:pPr>
        <w:pStyle w:val="46"/>
        <w:rPr>
          <w:rFonts w:hAnsi="宋体"/>
        </w:rPr>
      </w:pPr>
    </w:p>
    <w:p>
      <w:pPr>
        <w:rPr>
          <w:rFonts w:hAnsi="宋体"/>
        </w:rPr>
      </w:pPr>
    </w:p>
    <w:p>
      <w:pPr>
        <w:pStyle w:val="46"/>
        <w:rPr>
          <w:rFonts w:hAnsi="宋体"/>
        </w:rPr>
      </w:pPr>
    </w:p>
    <w:p>
      <w:pPr>
        <w:rPr>
          <w:rFonts w:hAnsi="宋体"/>
        </w:rPr>
      </w:pPr>
    </w:p>
    <w:p>
      <w:pPr>
        <w:pStyle w:val="46"/>
        <w:rPr>
          <w:rFonts w:hAnsi="宋体"/>
        </w:rPr>
      </w:pPr>
    </w:p>
    <w:p>
      <w:pPr>
        <w:sectPr>
          <w:pgSz w:w="11906" w:h="16838"/>
          <w:pgMar w:top="1440" w:right="1457" w:bottom="1440" w:left="1457" w:header="851" w:footer="992" w:gutter="0"/>
          <w:pgNumType w:fmt="decimal"/>
          <w:cols w:space="720" w:num="1"/>
          <w:docGrid w:type="linesAndChars" w:linePitch="312" w:charSpace="0"/>
        </w:sectPr>
      </w:pPr>
      <w:r>
        <w:rPr>
          <w:rFonts w:hint="eastAsia"/>
        </w:rPr>
        <w:t xml:space="preserve">  </w:t>
      </w:r>
    </w:p>
    <w:bookmarkEnd w:id="303"/>
    <w:p>
      <w:pPr>
        <w:pStyle w:val="3"/>
        <w:numPr>
          <w:ilvl w:val="0"/>
          <w:numId w:val="6"/>
        </w:numPr>
        <w:tabs>
          <w:tab w:val="left" w:pos="0"/>
        </w:tabs>
        <w:spacing w:before="0" w:after="0" w:line="560" w:lineRule="exact"/>
        <w:ind w:firstLine="1325" w:firstLineChars="300"/>
        <w:jc w:val="both"/>
        <w:rPr>
          <w:rFonts w:hAnsi="宋体"/>
          <w:sz w:val="44"/>
          <w:szCs w:val="44"/>
        </w:rPr>
      </w:pPr>
      <w:bookmarkStart w:id="326" w:name="_Toc32231"/>
      <w:bookmarkStart w:id="327" w:name="_Toc17591"/>
      <w:bookmarkStart w:id="328" w:name="_Toc62323850"/>
      <w:bookmarkStart w:id="329" w:name="_Toc304201058"/>
      <w:bookmarkStart w:id="330" w:name="_Toc31939"/>
      <w:bookmarkStart w:id="331" w:name="_Toc384995799"/>
      <w:bookmarkStart w:id="332" w:name="_Toc62323625"/>
      <w:bookmarkStart w:id="333" w:name="_Toc5466"/>
      <w:r>
        <w:rPr>
          <w:rFonts w:hAnsi="宋体"/>
          <w:sz w:val="44"/>
          <w:szCs w:val="44"/>
        </w:rPr>
        <w:t>政府采购</w:t>
      </w:r>
      <w:r>
        <w:rPr>
          <w:rFonts w:hint="eastAsia" w:hAnsi="宋体"/>
          <w:sz w:val="44"/>
          <w:szCs w:val="44"/>
        </w:rPr>
        <w:t>合同格式</w:t>
      </w:r>
      <w:bookmarkEnd w:id="326"/>
      <w:bookmarkEnd w:id="327"/>
    </w:p>
    <w:p>
      <w:pPr>
        <w:pStyle w:val="97"/>
        <w:spacing w:line="2200" w:lineRule="exact"/>
        <w:ind w:firstLine="3801" w:firstLineChars="528"/>
        <w:rPr>
          <w:rFonts w:ascii="宋体" w:hAnsi="宋体" w:cs="宋体"/>
          <w:sz w:val="72"/>
          <w:szCs w:val="72"/>
        </w:rPr>
      </w:pPr>
    </w:p>
    <w:p>
      <w:pPr>
        <w:pStyle w:val="97"/>
        <w:spacing w:line="2200" w:lineRule="exact"/>
        <w:ind w:firstLine="3816" w:firstLineChars="528"/>
        <w:rPr>
          <w:rFonts w:ascii="宋体" w:hAnsi="宋体" w:cs="宋体"/>
          <w:b/>
          <w:bCs/>
          <w:sz w:val="72"/>
          <w:szCs w:val="72"/>
        </w:rPr>
      </w:pPr>
      <w:r>
        <w:rPr>
          <w:rFonts w:hint="eastAsia" w:ascii="宋体" w:hAnsi="宋体" w:cs="宋体"/>
          <w:b/>
          <w:bCs/>
          <w:sz w:val="72"/>
          <w:szCs w:val="72"/>
        </w:rPr>
        <w:t>合</w:t>
      </w:r>
    </w:p>
    <w:p>
      <w:pPr>
        <w:pStyle w:val="97"/>
        <w:spacing w:line="2200" w:lineRule="exact"/>
        <w:ind w:firstLine="0"/>
        <w:jc w:val="center"/>
        <w:rPr>
          <w:rFonts w:ascii="宋体" w:hAnsi="宋体" w:cs="宋体"/>
          <w:b/>
          <w:bCs/>
          <w:sz w:val="72"/>
          <w:szCs w:val="72"/>
        </w:rPr>
      </w:pPr>
      <w:r>
        <w:rPr>
          <w:rFonts w:hint="eastAsia" w:ascii="宋体" w:hAnsi="宋体" w:cs="宋体"/>
          <w:b/>
          <w:bCs/>
          <w:sz w:val="72"/>
          <w:szCs w:val="72"/>
        </w:rPr>
        <w:t>同</w:t>
      </w:r>
    </w:p>
    <w:p>
      <w:pPr>
        <w:pStyle w:val="97"/>
        <w:spacing w:line="2200" w:lineRule="exact"/>
        <w:ind w:firstLine="0"/>
        <w:jc w:val="center"/>
        <w:rPr>
          <w:rFonts w:ascii="宋体" w:hAnsi="宋体" w:cs="宋体"/>
          <w:b/>
          <w:bCs/>
        </w:rPr>
      </w:pPr>
      <w:r>
        <w:rPr>
          <w:rFonts w:hint="eastAsia" w:ascii="宋体" w:hAnsi="宋体" w:cs="宋体"/>
          <w:b/>
          <w:bCs/>
          <w:sz w:val="72"/>
          <w:szCs w:val="72"/>
        </w:rPr>
        <w:t>书</w:t>
      </w:r>
    </w:p>
    <w:p>
      <w:pPr>
        <w:pStyle w:val="97"/>
        <w:ind w:firstLine="0"/>
        <w:rPr>
          <w:rFonts w:ascii="宋体" w:hAnsi="宋体" w:cs="宋体"/>
        </w:rPr>
      </w:pPr>
    </w:p>
    <w:p>
      <w:pPr>
        <w:pStyle w:val="97"/>
        <w:spacing w:line="520" w:lineRule="exact"/>
        <w:ind w:firstLine="0"/>
        <w:rPr>
          <w:rFonts w:ascii="宋体" w:hAnsi="宋体" w:cs="宋体"/>
          <w:sz w:val="30"/>
          <w:szCs w:val="30"/>
        </w:rPr>
      </w:pPr>
    </w:p>
    <w:p>
      <w:pPr>
        <w:pStyle w:val="97"/>
        <w:spacing w:line="520" w:lineRule="exact"/>
        <w:ind w:firstLine="1120" w:firstLineChars="400"/>
        <w:rPr>
          <w:rFonts w:ascii="宋体" w:hAnsi="宋体" w:cs="宋体"/>
          <w:sz w:val="28"/>
          <w:szCs w:val="28"/>
        </w:rPr>
      </w:pPr>
      <w:r>
        <w:rPr>
          <w:rFonts w:hint="eastAsia" w:ascii="宋体" w:hAnsi="宋体" w:cs="宋体"/>
          <w:sz w:val="28"/>
          <w:szCs w:val="28"/>
        </w:rPr>
        <w:t>甲    方：</w:t>
      </w:r>
    </w:p>
    <w:p>
      <w:pPr>
        <w:pStyle w:val="97"/>
        <w:spacing w:line="520" w:lineRule="exact"/>
        <w:ind w:firstLine="1120" w:firstLineChars="400"/>
        <w:rPr>
          <w:rFonts w:ascii="宋体" w:hAnsi="宋体" w:cs="宋体"/>
          <w:sz w:val="28"/>
          <w:szCs w:val="28"/>
        </w:rPr>
      </w:pPr>
      <w:r>
        <w:rPr>
          <w:rFonts w:hint="eastAsia" w:ascii="宋体" w:hAnsi="宋体" w:cs="宋体"/>
          <w:sz w:val="28"/>
          <w:szCs w:val="28"/>
        </w:rPr>
        <w:t>乙    方：</w:t>
      </w:r>
    </w:p>
    <w:p>
      <w:pPr>
        <w:pStyle w:val="97"/>
        <w:spacing w:line="520" w:lineRule="exact"/>
        <w:ind w:firstLine="1120" w:firstLineChars="400"/>
        <w:rPr>
          <w:rFonts w:ascii="宋体" w:hAnsi="宋体" w:cs="宋体"/>
          <w:sz w:val="28"/>
          <w:szCs w:val="28"/>
        </w:rPr>
      </w:pPr>
      <w:r>
        <w:rPr>
          <w:rFonts w:hint="eastAsia" w:ascii="宋体" w:hAnsi="宋体" w:cs="宋体"/>
          <w:sz w:val="28"/>
          <w:szCs w:val="28"/>
        </w:rPr>
        <w:t>项目编号：</w:t>
      </w:r>
    </w:p>
    <w:p>
      <w:pPr>
        <w:pStyle w:val="97"/>
        <w:spacing w:line="520" w:lineRule="exact"/>
        <w:ind w:firstLine="1120" w:firstLineChars="400"/>
        <w:rPr>
          <w:rFonts w:ascii="宋体" w:hAnsi="宋体" w:cs="宋体"/>
          <w:sz w:val="28"/>
          <w:szCs w:val="28"/>
        </w:rPr>
      </w:pPr>
      <w:r>
        <w:rPr>
          <w:rFonts w:hint="eastAsia" w:ascii="宋体" w:hAnsi="宋体" w:cs="宋体"/>
          <w:sz w:val="28"/>
          <w:szCs w:val="28"/>
        </w:rPr>
        <w:t>项目名称：</w:t>
      </w:r>
    </w:p>
    <w:p>
      <w:pPr>
        <w:pStyle w:val="97"/>
        <w:spacing w:line="520" w:lineRule="exact"/>
        <w:ind w:firstLine="1120" w:firstLineChars="400"/>
        <w:rPr>
          <w:rFonts w:ascii="宋体" w:hAnsi="宋体" w:cs="宋体"/>
          <w:sz w:val="28"/>
          <w:szCs w:val="28"/>
        </w:rPr>
      </w:pPr>
      <w:r>
        <w:rPr>
          <w:rFonts w:hint="eastAsia" w:ascii="宋体" w:hAnsi="宋体" w:cs="宋体"/>
          <w:sz w:val="28"/>
          <w:szCs w:val="28"/>
        </w:rPr>
        <w:t>签订地点：</w:t>
      </w:r>
    </w:p>
    <w:p>
      <w:pPr>
        <w:pStyle w:val="97"/>
        <w:spacing w:line="520" w:lineRule="exact"/>
        <w:ind w:firstLine="1120" w:firstLineChars="400"/>
      </w:pPr>
      <w:r>
        <w:rPr>
          <w:rFonts w:hint="eastAsia" w:ascii="宋体" w:hAnsi="宋体" w:cs="宋体"/>
          <w:sz w:val="28"/>
          <w:szCs w:val="28"/>
        </w:rPr>
        <w:t>签订时间：  年   月   日</w:t>
      </w:r>
      <w:r>
        <w:rPr>
          <w:rFonts w:hint="eastAsia"/>
        </w:rPr>
        <w:t xml:space="preserve"> </w:t>
      </w:r>
    </w:p>
    <w:p>
      <w:pPr>
        <w:pStyle w:val="35"/>
        <w:spacing w:line="360" w:lineRule="auto"/>
        <w:ind w:firstLine="480" w:firstLineChars="200"/>
        <w:rPr>
          <w:sz w:val="24"/>
        </w:rPr>
      </w:pPr>
    </w:p>
    <w:p>
      <w:pPr>
        <w:pStyle w:val="35"/>
        <w:spacing w:after="0" w:line="500" w:lineRule="exact"/>
        <w:ind w:firstLine="480" w:firstLineChars="200"/>
        <w:rPr>
          <w:sz w:val="24"/>
        </w:rPr>
      </w:pPr>
      <w:r>
        <w:rPr>
          <w:rFonts w:hint="eastAsia"/>
          <w:sz w:val="24"/>
        </w:rPr>
        <w:t>根据《中华人民共和国</w:t>
      </w:r>
      <w:r>
        <w:rPr>
          <w:rFonts w:hint="eastAsia"/>
          <w:sz w:val="24"/>
          <w:lang w:eastAsia="zh-CN"/>
        </w:rPr>
        <w:t>政府</w:t>
      </w:r>
      <w:r>
        <w:rPr>
          <w:rFonts w:hint="eastAsia"/>
          <w:sz w:val="24"/>
        </w:rPr>
        <w:t>采购法》、《中华人民共和国采购法实施条例》、《中华人民共和国民法典》等法律、法规的规定，为明确甲乙双方责任、权利和义务，经甲、乙双方充分协商，特订立本合同，以资共同遵守。</w:t>
      </w:r>
    </w:p>
    <w:p>
      <w:pPr>
        <w:pStyle w:val="35"/>
        <w:spacing w:after="0" w:line="500" w:lineRule="exact"/>
        <w:rPr>
          <w:b/>
          <w:bCs/>
          <w:sz w:val="24"/>
        </w:rPr>
      </w:pPr>
      <w:r>
        <w:rPr>
          <w:rFonts w:hint="eastAsia"/>
          <w:b/>
          <w:bCs/>
          <w:sz w:val="24"/>
        </w:rPr>
        <w:t>一、合同文件</w:t>
      </w:r>
    </w:p>
    <w:p>
      <w:pPr>
        <w:pStyle w:val="35"/>
        <w:spacing w:after="0" w:line="500" w:lineRule="exact"/>
        <w:ind w:firstLine="482" w:firstLineChars="200"/>
        <w:rPr>
          <w:b/>
          <w:bCs/>
          <w:sz w:val="24"/>
        </w:rPr>
      </w:pPr>
      <w:r>
        <w:rPr>
          <w:rFonts w:hint="eastAsia"/>
          <w:b/>
          <w:bCs/>
          <w:sz w:val="24"/>
        </w:rPr>
        <w:t>下列文件构成本合同的组成部分：</w:t>
      </w:r>
    </w:p>
    <w:p>
      <w:pPr>
        <w:pStyle w:val="35"/>
        <w:spacing w:after="0" w:line="500" w:lineRule="exact"/>
        <w:ind w:firstLine="480" w:firstLineChars="200"/>
        <w:rPr>
          <w:b/>
          <w:bCs/>
          <w:sz w:val="24"/>
        </w:rPr>
      </w:pPr>
      <w:r>
        <w:rPr>
          <w:rFonts w:hint="eastAsia"/>
          <w:sz w:val="24"/>
        </w:rPr>
        <w:t>A．货物供货合同</w:t>
      </w:r>
    </w:p>
    <w:p>
      <w:pPr>
        <w:pStyle w:val="35"/>
        <w:spacing w:after="0" w:line="500" w:lineRule="exact"/>
        <w:ind w:firstLine="480" w:firstLineChars="200"/>
        <w:rPr>
          <w:sz w:val="24"/>
        </w:rPr>
      </w:pPr>
      <w:r>
        <w:rPr>
          <w:rFonts w:hint="eastAsia"/>
          <w:sz w:val="24"/>
        </w:rPr>
        <w:t>B. 中标通知书</w:t>
      </w:r>
    </w:p>
    <w:p>
      <w:pPr>
        <w:pStyle w:val="35"/>
        <w:spacing w:after="0" w:line="500" w:lineRule="exact"/>
        <w:ind w:firstLine="480" w:firstLineChars="200"/>
        <w:rPr>
          <w:sz w:val="24"/>
        </w:rPr>
      </w:pPr>
      <w:r>
        <w:rPr>
          <w:rFonts w:hint="eastAsia"/>
          <w:sz w:val="24"/>
        </w:rPr>
        <w:t>C．投标文件</w:t>
      </w:r>
    </w:p>
    <w:p>
      <w:pPr>
        <w:pStyle w:val="35"/>
        <w:spacing w:after="0" w:line="500" w:lineRule="exact"/>
        <w:ind w:firstLine="480" w:firstLineChars="200"/>
        <w:rPr>
          <w:sz w:val="24"/>
        </w:rPr>
      </w:pPr>
      <w:r>
        <w:rPr>
          <w:rFonts w:hint="eastAsia"/>
          <w:sz w:val="24"/>
        </w:rPr>
        <w:t>D．投标货物价格表</w:t>
      </w:r>
    </w:p>
    <w:p>
      <w:pPr>
        <w:pStyle w:val="35"/>
        <w:spacing w:after="0" w:line="500" w:lineRule="exact"/>
        <w:ind w:firstLine="480" w:firstLineChars="200"/>
        <w:rPr>
          <w:sz w:val="24"/>
        </w:rPr>
      </w:pPr>
      <w:r>
        <w:rPr>
          <w:rFonts w:hint="eastAsia"/>
          <w:sz w:val="24"/>
        </w:rPr>
        <w:t>E．采购项目清单及技术规范</w:t>
      </w:r>
    </w:p>
    <w:p>
      <w:pPr>
        <w:pStyle w:val="35"/>
        <w:spacing w:after="0" w:line="500" w:lineRule="exact"/>
        <w:ind w:firstLine="480" w:firstLineChars="200"/>
        <w:rPr>
          <w:sz w:val="24"/>
        </w:rPr>
      </w:pPr>
      <w:r>
        <w:rPr>
          <w:rFonts w:hint="eastAsia"/>
          <w:sz w:val="24"/>
        </w:rPr>
        <w:t>F．合同执行期间经备案部门审核同意的双方达成的补充协议</w:t>
      </w:r>
    </w:p>
    <w:p>
      <w:pPr>
        <w:pStyle w:val="35"/>
        <w:spacing w:after="0" w:line="500" w:lineRule="exact"/>
        <w:rPr>
          <w:b/>
          <w:bCs/>
          <w:sz w:val="24"/>
        </w:rPr>
      </w:pPr>
      <w:r>
        <w:rPr>
          <w:rFonts w:hint="eastAsia"/>
          <w:b/>
          <w:bCs/>
          <w:sz w:val="24"/>
        </w:rPr>
        <w:t>二、合同范围和条件</w:t>
      </w:r>
    </w:p>
    <w:p>
      <w:pPr>
        <w:pStyle w:val="35"/>
        <w:spacing w:after="0" w:line="500" w:lineRule="exact"/>
        <w:ind w:firstLine="480" w:firstLineChars="200"/>
        <w:rPr>
          <w:sz w:val="24"/>
        </w:rPr>
      </w:pPr>
      <w:r>
        <w:rPr>
          <w:rFonts w:hint="eastAsia"/>
          <w:sz w:val="24"/>
        </w:rPr>
        <w:t>本合同的范围和条件与上述合同文件中规定内容一致。</w:t>
      </w:r>
    </w:p>
    <w:p>
      <w:pPr>
        <w:pStyle w:val="35"/>
        <w:spacing w:after="0" w:line="500" w:lineRule="exact"/>
        <w:rPr>
          <w:sz w:val="24"/>
        </w:rPr>
      </w:pPr>
      <w:r>
        <w:rPr>
          <w:rFonts w:hint="eastAsia"/>
          <w:b/>
          <w:bCs/>
          <w:sz w:val="24"/>
        </w:rPr>
        <w:t>三、货物数量和价格</w:t>
      </w:r>
    </w:p>
    <w:p>
      <w:pPr>
        <w:pStyle w:val="35"/>
        <w:spacing w:after="0" w:line="500" w:lineRule="exact"/>
        <w:ind w:firstLine="480" w:firstLineChars="200"/>
        <w:rPr>
          <w:sz w:val="24"/>
        </w:rPr>
      </w:pPr>
      <w:r>
        <w:rPr>
          <w:rFonts w:hint="eastAsia"/>
          <w:sz w:val="24"/>
        </w:rPr>
        <w:t>本合同要求提供的货物和数量见投标文件中货物价格表。</w:t>
      </w:r>
    </w:p>
    <w:p>
      <w:pPr>
        <w:pStyle w:val="35"/>
        <w:spacing w:after="0" w:line="500" w:lineRule="exact"/>
        <w:rPr>
          <w:sz w:val="24"/>
        </w:rPr>
      </w:pPr>
      <w:r>
        <w:rPr>
          <w:rFonts w:hint="eastAsia"/>
          <w:b/>
          <w:sz w:val="24"/>
        </w:rPr>
        <w:t>四、合同总价</w:t>
      </w:r>
    </w:p>
    <w:p>
      <w:pPr>
        <w:pStyle w:val="35"/>
        <w:spacing w:after="0" w:line="500" w:lineRule="exact"/>
        <w:ind w:firstLine="480" w:firstLineChars="200"/>
        <w:rPr>
          <w:sz w:val="24"/>
        </w:rPr>
      </w:pPr>
      <w:r>
        <w:rPr>
          <w:rFonts w:hint="eastAsia"/>
          <w:sz w:val="24"/>
        </w:rPr>
        <w:t>本合同总价为</w:t>
      </w:r>
      <w:r>
        <w:rPr>
          <w:rFonts w:hint="eastAsia"/>
          <w:sz w:val="24"/>
          <w:u w:val="single"/>
        </w:rPr>
        <w:t xml:space="preserve">             </w:t>
      </w:r>
      <w:r>
        <w:rPr>
          <w:rFonts w:hint="eastAsia"/>
          <w:sz w:val="24"/>
        </w:rPr>
        <w:t>元，分项价格见投标文件中投标文件货物价格表。</w:t>
      </w:r>
    </w:p>
    <w:p>
      <w:pPr>
        <w:numPr>
          <w:ilvl w:val="0"/>
          <w:numId w:val="7"/>
        </w:numPr>
        <w:adjustRightInd w:val="0"/>
        <w:snapToGrid w:val="0"/>
        <w:spacing w:line="500" w:lineRule="exact"/>
        <w:rPr>
          <w:b/>
          <w:bCs/>
          <w:sz w:val="24"/>
        </w:rPr>
      </w:pPr>
      <w:r>
        <w:rPr>
          <w:rFonts w:hint="eastAsia"/>
          <w:b/>
          <w:bCs/>
          <w:sz w:val="24"/>
        </w:rPr>
        <w:t xml:space="preserve">交货、包装与验收 </w:t>
      </w:r>
    </w:p>
    <w:p>
      <w:pPr>
        <w:pStyle w:val="35"/>
        <w:spacing w:after="0" w:line="500" w:lineRule="exact"/>
        <w:ind w:firstLine="480" w:firstLineChars="200"/>
        <w:rPr>
          <w:sz w:val="24"/>
        </w:rPr>
      </w:pPr>
      <w:r>
        <w:rPr>
          <w:rFonts w:hint="eastAsia"/>
          <w:sz w:val="24"/>
        </w:rPr>
        <w:t>1．交货地点：</w:t>
      </w:r>
      <w:r>
        <w:rPr>
          <w:rFonts w:hint="eastAsia" w:ascii="宋体" w:hAnsi="宋体" w:cs="宋体"/>
          <w:color w:val="000000"/>
          <w:kern w:val="0"/>
          <w:sz w:val="24"/>
          <w:lang w:bidi="ar"/>
        </w:rPr>
        <w:t>采购人指定地点。</w:t>
      </w:r>
    </w:p>
    <w:p>
      <w:pPr>
        <w:pStyle w:val="35"/>
        <w:spacing w:after="0" w:line="500" w:lineRule="exact"/>
        <w:ind w:firstLine="480" w:firstLineChars="200"/>
        <w:rPr>
          <w:sz w:val="24"/>
        </w:rPr>
      </w:pPr>
      <w:r>
        <w:rPr>
          <w:rFonts w:hint="eastAsia"/>
          <w:sz w:val="24"/>
        </w:rPr>
        <w:t>2．</w:t>
      </w:r>
      <w:r>
        <w:rPr>
          <w:rFonts w:hint="eastAsia" w:ascii="宋体" w:hAnsi="宋体"/>
          <w:sz w:val="24"/>
        </w:rPr>
        <w:t xml:space="preserve">供货期：45日历天    </w:t>
      </w:r>
      <w:r>
        <w:rPr>
          <w:rFonts w:hint="eastAsia"/>
          <w:sz w:val="24"/>
        </w:rPr>
        <w:t xml:space="preserve"> </w:t>
      </w:r>
    </w:p>
    <w:p>
      <w:pPr>
        <w:pStyle w:val="35"/>
        <w:spacing w:after="0" w:line="500" w:lineRule="exact"/>
        <w:ind w:firstLine="480" w:firstLineChars="200"/>
        <w:rPr>
          <w:sz w:val="24"/>
        </w:rPr>
      </w:pPr>
      <w:r>
        <w:rPr>
          <w:rFonts w:hint="eastAsia"/>
          <w:sz w:val="24"/>
        </w:rPr>
        <w:t>3．乙方将货物一次运至交货地点。并于到货前24小时将到货名称、型号、数量、外形尺寸、单位及注意事项等通知甲方。</w:t>
      </w:r>
    </w:p>
    <w:p>
      <w:pPr>
        <w:pStyle w:val="35"/>
        <w:spacing w:after="0" w:line="500" w:lineRule="exact"/>
        <w:ind w:firstLine="480" w:firstLineChars="200"/>
        <w:rPr>
          <w:sz w:val="24"/>
        </w:rPr>
      </w:pPr>
      <w:r>
        <w:rPr>
          <w:rFonts w:hint="eastAsia"/>
          <w:sz w:val="24"/>
        </w:rPr>
        <w:t xml:space="preserve">4．设备包装应符合国家标准，以保证设备在运输过程中不受损伤，由于包装不当造成设备在运输过程中有任何损坏或丢失，由乙方负责。 </w:t>
      </w:r>
    </w:p>
    <w:p>
      <w:pPr>
        <w:pStyle w:val="35"/>
        <w:spacing w:after="0" w:line="500" w:lineRule="exact"/>
        <w:ind w:firstLine="480" w:firstLineChars="200"/>
        <w:rPr>
          <w:sz w:val="24"/>
        </w:rPr>
      </w:pPr>
      <w:r>
        <w:rPr>
          <w:rFonts w:hint="eastAsia"/>
          <w:sz w:val="24"/>
        </w:rPr>
        <w:t xml:space="preserve">5．设备由乙方负责送到施工现场，由乙方负责运输、卸车。 </w:t>
      </w:r>
    </w:p>
    <w:p>
      <w:pPr>
        <w:pStyle w:val="35"/>
        <w:spacing w:after="0" w:line="500" w:lineRule="exact"/>
        <w:ind w:firstLine="480" w:firstLineChars="200"/>
        <w:rPr>
          <w:sz w:val="24"/>
        </w:rPr>
      </w:pPr>
      <w:r>
        <w:rPr>
          <w:rFonts w:hint="eastAsia"/>
          <w:sz w:val="24"/>
        </w:rPr>
        <w:t xml:space="preserve">6．设备到达现场，甲乙双方均须在场并确认包装的完好性后，由甲方验货。乙方应按甲方安排的时间派人到现场，对货物进行清点验收，并签字确认。若发 </w:t>
      </w:r>
    </w:p>
    <w:p>
      <w:pPr>
        <w:pStyle w:val="35"/>
        <w:spacing w:after="0" w:line="500" w:lineRule="exact"/>
        <w:rPr>
          <w:sz w:val="24"/>
        </w:rPr>
      </w:pPr>
      <w:r>
        <w:rPr>
          <w:rFonts w:hint="eastAsia"/>
          <w:sz w:val="24"/>
        </w:rPr>
        <w:t xml:space="preserve">现货物与装箱单不符，乙方负责补齐或收回。 </w:t>
      </w:r>
    </w:p>
    <w:p>
      <w:pPr>
        <w:pStyle w:val="35"/>
        <w:spacing w:after="0" w:line="500" w:lineRule="exact"/>
        <w:ind w:firstLine="480" w:firstLineChars="200"/>
        <w:rPr>
          <w:sz w:val="24"/>
        </w:rPr>
      </w:pPr>
      <w:r>
        <w:rPr>
          <w:rFonts w:hint="eastAsia"/>
          <w:sz w:val="24"/>
        </w:rPr>
        <w:t>7．乙方负责设备安装及调试，直至设备正常运行。</w:t>
      </w:r>
    </w:p>
    <w:p>
      <w:pPr>
        <w:numPr>
          <w:ilvl w:val="0"/>
          <w:numId w:val="7"/>
        </w:numPr>
        <w:adjustRightInd w:val="0"/>
        <w:snapToGrid w:val="0"/>
        <w:spacing w:line="500" w:lineRule="exact"/>
        <w:rPr>
          <w:b/>
          <w:bCs/>
          <w:sz w:val="24"/>
        </w:rPr>
      </w:pPr>
      <w:r>
        <w:rPr>
          <w:rFonts w:hint="eastAsia"/>
          <w:b/>
          <w:bCs/>
          <w:sz w:val="24"/>
        </w:rPr>
        <w:t>质量保证及服务承诺：（详见投标文件）</w:t>
      </w:r>
    </w:p>
    <w:p>
      <w:pPr>
        <w:pStyle w:val="35"/>
        <w:spacing w:after="0" w:line="500" w:lineRule="exact"/>
        <w:ind w:firstLine="480" w:firstLineChars="200"/>
        <w:rPr>
          <w:sz w:val="24"/>
        </w:rPr>
      </w:pPr>
      <w:r>
        <w:rPr>
          <w:rFonts w:hint="eastAsia"/>
          <w:sz w:val="24"/>
        </w:rPr>
        <w:t xml:space="preserve">1．乙方应严格按照国家有关标准和规定向甲方提供合格产品。 </w:t>
      </w:r>
    </w:p>
    <w:p>
      <w:pPr>
        <w:pStyle w:val="35"/>
        <w:spacing w:after="0" w:line="500" w:lineRule="exact"/>
        <w:ind w:firstLine="480" w:firstLineChars="200"/>
        <w:rPr>
          <w:sz w:val="24"/>
        </w:rPr>
      </w:pPr>
      <w:r>
        <w:rPr>
          <w:rFonts w:hint="eastAsia"/>
          <w:sz w:val="24"/>
        </w:rPr>
        <w:t xml:space="preserve">2．乙方负责免费为甲方培训操作及维修人员，并提供相关记录，及时归入设备管理档案。 </w:t>
      </w:r>
    </w:p>
    <w:p>
      <w:pPr>
        <w:pStyle w:val="35"/>
        <w:spacing w:after="0" w:line="500" w:lineRule="exact"/>
        <w:ind w:firstLine="480" w:firstLineChars="200"/>
        <w:rPr>
          <w:sz w:val="24"/>
        </w:rPr>
      </w:pPr>
      <w:r>
        <w:rPr>
          <w:rFonts w:hint="eastAsia"/>
          <w:sz w:val="24"/>
        </w:rPr>
        <w:t xml:space="preserve">3. 整机质保1年，自安装验收合格之日起计算。接到报修电话后，24小时 </w:t>
      </w:r>
    </w:p>
    <w:p>
      <w:pPr>
        <w:pStyle w:val="35"/>
        <w:spacing w:after="0" w:line="500" w:lineRule="exact"/>
        <w:rPr>
          <w:sz w:val="24"/>
        </w:rPr>
      </w:pPr>
      <w:r>
        <w:rPr>
          <w:rFonts w:hint="eastAsia"/>
          <w:sz w:val="24"/>
        </w:rPr>
        <w:t xml:space="preserve">内到位解决问题。乙方逾期维修或拒不维修的，甲方可以找第三方进行维修，相 </w:t>
      </w:r>
    </w:p>
    <w:p>
      <w:pPr>
        <w:pStyle w:val="35"/>
        <w:spacing w:after="0" w:line="500" w:lineRule="exact"/>
        <w:rPr>
          <w:sz w:val="24"/>
        </w:rPr>
      </w:pPr>
      <w:r>
        <w:rPr>
          <w:rFonts w:hint="eastAsia"/>
          <w:sz w:val="24"/>
        </w:rPr>
        <w:t xml:space="preserve">关费用由乙方承担，甲方可从货款中扣除或向乙方要求赔偿。质保期后，乙方提 </w:t>
      </w:r>
    </w:p>
    <w:p>
      <w:pPr>
        <w:pStyle w:val="35"/>
        <w:spacing w:after="0" w:line="500" w:lineRule="exact"/>
        <w:rPr>
          <w:sz w:val="24"/>
        </w:rPr>
      </w:pPr>
      <w:r>
        <w:rPr>
          <w:rFonts w:hint="eastAsia"/>
          <w:sz w:val="24"/>
        </w:rPr>
        <w:t>供终身免费服务，只收取相关配件成本费。</w:t>
      </w:r>
    </w:p>
    <w:p>
      <w:pPr>
        <w:pStyle w:val="35"/>
        <w:spacing w:after="0" w:line="500" w:lineRule="exact"/>
        <w:ind w:firstLine="480" w:firstLineChars="200"/>
      </w:pPr>
      <w:r>
        <w:rPr>
          <w:rFonts w:hint="eastAsia"/>
          <w:sz w:val="24"/>
        </w:rPr>
        <w:t>售后服务联系人：</w:t>
      </w:r>
      <w:r>
        <w:rPr>
          <w:rFonts w:hint="eastAsia"/>
          <w:sz w:val="24"/>
          <w:u w:val="single"/>
        </w:rPr>
        <w:t xml:space="preserve">        </w:t>
      </w:r>
      <w:r>
        <w:rPr>
          <w:rFonts w:hint="eastAsia"/>
          <w:sz w:val="24"/>
        </w:rPr>
        <w:t>，联系电话：</w:t>
      </w:r>
      <w:r>
        <w:rPr>
          <w:rFonts w:hint="eastAsia"/>
          <w:sz w:val="24"/>
          <w:u w:val="single"/>
        </w:rPr>
        <w:t xml:space="preserve">           </w:t>
      </w:r>
      <w:r>
        <w:rPr>
          <w:rFonts w:hint="eastAsia"/>
          <w:sz w:val="24"/>
        </w:rPr>
        <w:t>。</w:t>
      </w:r>
    </w:p>
    <w:p>
      <w:pPr>
        <w:pStyle w:val="35"/>
        <w:spacing w:after="0" w:line="500" w:lineRule="exact"/>
        <w:rPr>
          <w:b/>
          <w:sz w:val="24"/>
        </w:rPr>
      </w:pPr>
      <w:r>
        <w:rPr>
          <w:rFonts w:hint="eastAsia"/>
          <w:b/>
          <w:sz w:val="24"/>
        </w:rPr>
        <w:t>七、付款方式</w:t>
      </w:r>
    </w:p>
    <w:p>
      <w:pPr>
        <w:spacing w:line="500" w:lineRule="exact"/>
        <w:ind w:firstLine="480" w:firstLineChars="200"/>
        <w:rPr>
          <w:highlight w:val="none"/>
        </w:rPr>
      </w:pPr>
      <w:r>
        <w:rPr>
          <w:rFonts w:hint="eastAsia" w:ascii="宋体" w:hAnsi="宋体" w:cs="宋体"/>
          <w:sz w:val="24"/>
          <w:szCs w:val="22"/>
          <w:highlight w:val="none"/>
          <w:lang w:bidi="zh-CN"/>
        </w:rPr>
        <w:t>货物安装验收合格，正常运行1个月后，付合同总价款的60%,正常运行6个月后，付合同总价款的30%，质保期满，货物无质量问题无息付清10%余款;如遇甲方因特殊原因不能如期付款，双方另行约定。</w:t>
      </w:r>
    </w:p>
    <w:p>
      <w:pPr>
        <w:pStyle w:val="35"/>
        <w:spacing w:after="0" w:line="500" w:lineRule="exact"/>
        <w:rPr>
          <w:b/>
          <w:sz w:val="24"/>
        </w:rPr>
      </w:pPr>
      <w:r>
        <w:rPr>
          <w:rFonts w:hint="eastAsia"/>
          <w:b/>
          <w:sz w:val="24"/>
        </w:rPr>
        <w:t>八、违约责任</w:t>
      </w:r>
    </w:p>
    <w:p>
      <w:pPr>
        <w:spacing w:line="500" w:lineRule="exact"/>
        <w:ind w:firstLine="480" w:firstLineChars="200"/>
        <w:rPr>
          <w:rFonts w:ascii="宋体" w:hAnsi="宋体"/>
          <w:sz w:val="24"/>
        </w:rPr>
      </w:pPr>
      <w:r>
        <w:rPr>
          <w:rFonts w:ascii="宋体" w:hAnsi="宋体"/>
          <w:sz w:val="24"/>
        </w:rPr>
        <w:t>合同生效后，乙方违约（包括</w:t>
      </w:r>
      <w:r>
        <w:rPr>
          <w:rFonts w:hint="eastAsia" w:ascii="宋体" w:hAnsi="宋体"/>
          <w:sz w:val="24"/>
        </w:rPr>
        <w:t>货物</w:t>
      </w:r>
      <w:r>
        <w:rPr>
          <w:rFonts w:ascii="宋体" w:hAnsi="宋体"/>
          <w:sz w:val="24"/>
        </w:rPr>
        <w:t>质量不合格、泄密、</w:t>
      </w:r>
      <w:r>
        <w:rPr>
          <w:rFonts w:hint="eastAsia" w:ascii="宋体" w:hAnsi="宋体"/>
          <w:sz w:val="24"/>
        </w:rPr>
        <w:t>供货</w:t>
      </w:r>
      <w:r>
        <w:rPr>
          <w:rFonts w:ascii="宋体" w:hAnsi="宋体"/>
          <w:sz w:val="24"/>
        </w:rPr>
        <w:t>不及时、延迟交付时间等），甲方有权终止合同，由乙方赔偿本次和再次采购所发生的所有费用及造成的一切损失。</w:t>
      </w:r>
    </w:p>
    <w:p>
      <w:pPr>
        <w:pStyle w:val="35"/>
        <w:spacing w:after="0" w:line="500" w:lineRule="exact"/>
        <w:rPr>
          <w:b/>
          <w:sz w:val="24"/>
        </w:rPr>
      </w:pPr>
      <w:r>
        <w:rPr>
          <w:rFonts w:hint="eastAsia"/>
          <w:b/>
          <w:sz w:val="24"/>
        </w:rPr>
        <w:t>九、争议解决</w:t>
      </w:r>
    </w:p>
    <w:p>
      <w:pPr>
        <w:pStyle w:val="35"/>
        <w:spacing w:after="0" w:line="500" w:lineRule="exact"/>
        <w:ind w:firstLine="480" w:firstLineChars="200"/>
        <w:rPr>
          <w:sz w:val="24"/>
        </w:rPr>
      </w:pPr>
      <w:r>
        <w:rPr>
          <w:rFonts w:hint="eastAsia"/>
          <w:sz w:val="24"/>
        </w:rPr>
        <w:t>本合同在履行过程中发生争议，双方协商解决。协商不成，双方均可向博山所在地法院申请仲裁。</w:t>
      </w:r>
    </w:p>
    <w:p>
      <w:pPr>
        <w:pStyle w:val="35"/>
        <w:spacing w:after="0" w:line="500" w:lineRule="exact"/>
        <w:rPr>
          <w:b/>
          <w:sz w:val="24"/>
        </w:rPr>
      </w:pPr>
      <w:r>
        <w:rPr>
          <w:rFonts w:hint="eastAsia"/>
          <w:b/>
          <w:sz w:val="24"/>
        </w:rPr>
        <w:t>十一、合同的生效</w:t>
      </w:r>
    </w:p>
    <w:p>
      <w:pPr>
        <w:pStyle w:val="35"/>
        <w:spacing w:after="0" w:line="500" w:lineRule="exact"/>
        <w:ind w:firstLine="480" w:firstLineChars="200"/>
        <w:rPr>
          <w:sz w:val="24"/>
        </w:rPr>
      </w:pPr>
      <w:r>
        <w:rPr>
          <w:rFonts w:hint="eastAsia"/>
          <w:sz w:val="24"/>
        </w:rPr>
        <w:t>本合同经双方代表签字盖章后生效，合同执行期内，双方均不得随意变更或解除合同。本合同如有未尽事宜，须经双方共同协商，作出补充规定，补充规定与本合同具有同等法律效力。</w:t>
      </w:r>
    </w:p>
    <w:p>
      <w:pPr>
        <w:pStyle w:val="36"/>
        <w:adjustRightInd w:val="0"/>
        <w:snapToGrid w:val="0"/>
        <w:spacing w:line="500" w:lineRule="exact"/>
        <w:ind w:firstLine="480" w:firstLineChars="200"/>
      </w:pPr>
      <w:r>
        <w:t>本合同一式</w:t>
      </w:r>
      <w:r>
        <w:rPr>
          <w:rFonts w:hint="eastAsia"/>
        </w:rPr>
        <w:t>陆</w:t>
      </w:r>
      <w:r>
        <w:t>份，甲方执</w:t>
      </w:r>
      <w:r>
        <w:rPr>
          <w:rFonts w:hint="eastAsia"/>
          <w:lang w:eastAsia="zh-CN"/>
        </w:rPr>
        <w:t>叁</w:t>
      </w:r>
      <w:r>
        <w:t>份，乙方执</w:t>
      </w:r>
      <w:r>
        <w:rPr>
          <w:rFonts w:hint="eastAsia"/>
          <w:lang w:eastAsia="zh-CN"/>
        </w:rPr>
        <w:t>贰</w:t>
      </w:r>
      <w:r>
        <w:t>份，</w:t>
      </w:r>
      <w:r>
        <w:rPr>
          <w:rFonts w:hint="eastAsia"/>
        </w:rPr>
        <w:t>代理机构执壹</w:t>
      </w:r>
      <w:r>
        <w:t>份。</w:t>
      </w:r>
    </w:p>
    <w:p>
      <w:pPr>
        <w:pStyle w:val="35"/>
        <w:spacing w:after="0" w:line="500" w:lineRule="exact"/>
        <w:ind w:firstLine="480" w:firstLineChars="200"/>
        <w:rPr>
          <w:sz w:val="24"/>
        </w:rPr>
      </w:pPr>
    </w:p>
    <w:p>
      <w:pPr>
        <w:pStyle w:val="35"/>
        <w:spacing w:line="500" w:lineRule="exact"/>
        <w:ind w:firstLine="480" w:firstLineChars="200"/>
        <w:rPr>
          <w:sz w:val="24"/>
        </w:rPr>
      </w:pPr>
      <w:r>
        <w:rPr>
          <w:rFonts w:hint="eastAsia"/>
          <w:sz w:val="24"/>
        </w:rPr>
        <w:t xml:space="preserve">甲方（公章）：                 </w:t>
      </w:r>
      <w:r>
        <w:rPr>
          <w:rFonts w:hint="eastAsia"/>
          <w:sz w:val="24"/>
        </w:rPr>
        <w:tab/>
      </w:r>
      <w:r>
        <w:rPr>
          <w:rFonts w:hint="eastAsia"/>
          <w:sz w:val="24"/>
        </w:rPr>
        <w:tab/>
      </w:r>
      <w:r>
        <w:rPr>
          <w:rFonts w:hint="eastAsia"/>
          <w:sz w:val="24"/>
        </w:rPr>
        <w:t xml:space="preserve">     乙方（公章）：  </w:t>
      </w:r>
    </w:p>
    <w:p>
      <w:pPr>
        <w:pStyle w:val="35"/>
        <w:spacing w:line="500" w:lineRule="exact"/>
        <w:ind w:firstLine="480" w:firstLineChars="200"/>
        <w:rPr>
          <w:sz w:val="24"/>
        </w:rPr>
      </w:pPr>
      <w:r>
        <w:rPr>
          <w:rFonts w:hint="eastAsia"/>
          <w:sz w:val="24"/>
        </w:rPr>
        <w:t>法定代表人（签章）：</w:t>
      </w:r>
      <w:r>
        <w:rPr>
          <w:rFonts w:hint="eastAsia"/>
          <w:sz w:val="24"/>
        </w:rPr>
        <w:tab/>
      </w:r>
      <w:r>
        <w:rPr>
          <w:rFonts w:hint="eastAsia"/>
          <w:sz w:val="24"/>
        </w:rPr>
        <w:tab/>
      </w:r>
      <w:r>
        <w:rPr>
          <w:rFonts w:hint="eastAsia"/>
          <w:sz w:val="24"/>
        </w:rPr>
        <w:tab/>
      </w:r>
      <w:r>
        <w:rPr>
          <w:rFonts w:hint="eastAsia"/>
          <w:sz w:val="24"/>
        </w:rPr>
        <w:tab/>
      </w:r>
      <w:r>
        <w:rPr>
          <w:rFonts w:hint="eastAsia"/>
          <w:sz w:val="24"/>
        </w:rPr>
        <w:tab/>
      </w:r>
      <w:r>
        <w:rPr>
          <w:rFonts w:hint="eastAsia"/>
          <w:sz w:val="24"/>
        </w:rPr>
        <w:tab/>
      </w:r>
      <w:r>
        <w:rPr>
          <w:rFonts w:hint="eastAsia"/>
          <w:sz w:val="24"/>
        </w:rPr>
        <w:tab/>
      </w:r>
      <w:r>
        <w:rPr>
          <w:rFonts w:hint="eastAsia"/>
          <w:sz w:val="24"/>
        </w:rPr>
        <w:t xml:space="preserve">  法定代表人（签章）：</w:t>
      </w:r>
    </w:p>
    <w:p>
      <w:pPr>
        <w:pStyle w:val="35"/>
        <w:spacing w:line="500" w:lineRule="exact"/>
        <w:ind w:firstLine="480" w:firstLineChars="200"/>
        <w:rPr>
          <w:sz w:val="24"/>
        </w:rPr>
      </w:pPr>
      <w:r>
        <w:rPr>
          <w:rFonts w:hint="eastAsia"/>
          <w:sz w:val="24"/>
        </w:rPr>
        <w:t>或授权代表人（签章）：</w:t>
      </w:r>
      <w:r>
        <w:rPr>
          <w:rFonts w:hint="eastAsia"/>
          <w:sz w:val="24"/>
        </w:rPr>
        <w:tab/>
      </w:r>
      <w:r>
        <w:rPr>
          <w:rFonts w:hint="eastAsia"/>
          <w:sz w:val="24"/>
        </w:rPr>
        <w:tab/>
      </w:r>
      <w:r>
        <w:rPr>
          <w:rFonts w:hint="eastAsia"/>
          <w:sz w:val="24"/>
        </w:rPr>
        <w:tab/>
      </w:r>
      <w:r>
        <w:rPr>
          <w:rFonts w:hint="eastAsia"/>
          <w:sz w:val="24"/>
        </w:rPr>
        <w:tab/>
      </w:r>
      <w:r>
        <w:rPr>
          <w:rFonts w:hint="eastAsia"/>
          <w:sz w:val="24"/>
        </w:rPr>
        <w:tab/>
      </w:r>
      <w:r>
        <w:rPr>
          <w:rFonts w:hint="eastAsia"/>
          <w:sz w:val="24"/>
        </w:rPr>
        <w:tab/>
      </w:r>
      <w:r>
        <w:rPr>
          <w:rFonts w:hint="eastAsia"/>
          <w:sz w:val="24"/>
        </w:rPr>
        <w:t xml:space="preserve">  或授权代表人（签章）：</w:t>
      </w:r>
    </w:p>
    <w:p>
      <w:pPr>
        <w:pStyle w:val="35"/>
        <w:spacing w:line="500" w:lineRule="exact"/>
        <w:ind w:firstLine="480" w:firstLineChars="200"/>
        <w:rPr>
          <w:sz w:val="24"/>
        </w:rPr>
      </w:pPr>
      <w:r>
        <w:rPr>
          <w:rFonts w:hint="eastAsia"/>
          <w:sz w:val="24"/>
        </w:rPr>
        <w:t>单位地址：                                  单位地址：</w:t>
      </w:r>
    </w:p>
    <w:p>
      <w:pPr>
        <w:pStyle w:val="35"/>
        <w:spacing w:line="360" w:lineRule="auto"/>
        <w:ind w:firstLine="480" w:firstLineChars="200"/>
        <w:rPr>
          <w:rFonts w:hAnsi="宋体" w:cs="宋体"/>
        </w:rPr>
      </w:pPr>
      <w:r>
        <w:rPr>
          <w:rFonts w:hint="eastAsia"/>
          <w:sz w:val="24"/>
        </w:rPr>
        <w:t>联系电话：                                  联系电话：</w:t>
      </w:r>
      <w:bookmarkEnd w:id="328"/>
      <w:bookmarkEnd w:id="329"/>
      <w:bookmarkEnd w:id="330"/>
      <w:bookmarkEnd w:id="331"/>
      <w:bookmarkEnd w:id="332"/>
      <w:bookmarkEnd w:id="333"/>
    </w:p>
    <w:sectPr>
      <w:headerReference r:id="rId6" w:type="default"/>
      <w:footerReference r:id="rId7" w:type="default"/>
      <w:pgSz w:w="11906" w:h="16838"/>
      <w:pgMar w:top="1440" w:right="1797" w:bottom="1440" w:left="1797" w:header="851" w:footer="992" w:gutter="0"/>
      <w:pgNumType w:fmt="decimal"/>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3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华文行楷">
    <w:altName w:val="微软雅黑"/>
    <w:panose1 w:val="02010800040101010101"/>
    <w:charset w:val="86"/>
    <w:family w:val="auto"/>
    <w:pitch w:val="default"/>
    <w:sig w:usb0="00000000" w:usb1="00000000" w:usb2="00000010" w:usb3="00000000" w:csb0="00040000" w:csb1="00000000"/>
  </w:font>
  <w:font w:name="微软雅黑">
    <w:panose1 w:val="020B0503020204020204"/>
    <w:charset w:val="86"/>
    <w:family w:val="auto"/>
    <w:pitch w:val="default"/>
    <w:sig w:usb0="80000287" w:usb1="280F3C52" w:usb2="00000016" w:usb3="00000000" w:csb0="0004001F" w:csb1="00000000"/>
  </w:font>
  <w:font w:name="华文细黑">
    <w:altName w:val="微软雅黑"/>
    <w:panose1 w:val="02010600040101010101"/>
    <w:charset w:val="86"/>
    <w:family w:val="auto"/>
    <w:pitch w:val="default"/>
    <w:sig w:usb0="00000000" w:usb1="00000000" w:usb2="00000010" w:usb3="00000000" w:csb0="0004009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华文中宋">
    <w:altName w:val="宋体"/>
    <w:panose1 w:val="02010600040101010101"/>
    <w:charset w:val="86"/>
    <w:family w:val="auto"/>
    <w:pitch w:val="default"/>
    <w:sig w:usb0="00000000" w:usb1="00000000" w:usb2="00000010" w:usb3="00000000" w:csb0="0004009F" w:csb1="00000000"/>
  </w:font>
  <w:font w:name="MingLiU_HKSCS">
    <w:panose1 w:val="02020500000000000000"/>
    <w:charset w:val="88"/>
    <w:family w:val="roman"/>
    <w:pitch w:val="default"/>
    <w:sig w:usb0="A00002FF" w:usb1="3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7"/>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r>
                            <w:rPr>
                              <w:rFonts w:hint="eastAsia"/>
                            </w:rP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pPr>
                      <w:pStyle w:val="27"/>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r>
                      <w:rPr>
                        <w:rFonts w:hint="eastAsia"/>
                      </w:rP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7"/>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46</w:t>
                          </w:r>
                          <w:r>
                            <w:rPr>
                              <w:rFonts w:hint="eastAsia"/>
                            </w:rPr>
                            <w:fldChar w:fldCharType="end"/>
                          </w:r>
                          <w:r>
                            <w:rPr>
                              <w:rFonts w:hint="eastAsia"/>
                            </w:rP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pPr>
                      <w:pStyle w:val="27"/>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46</w:t>
                    </w:r>
                    <w:r>
                      <w:rPr>
                        <w:rFonts w:hint="eastAsia"/>
                      </w:rPr>
                      <w:fldChar w:fldCharType="end"/>
                    </w:r>
                    <w:r>
                      <w:rPr>
                        <w:rFonts w:hint="eastAsia"/>
                      </w:rPr>
                      <w:t xml:space="preserve"> 页</w:t>
                    </w:r>
                  </w:p>
                </w:txbxContent>
              </v:textbox>
            </v:shape>
          </w:pict>
        </mc:Fallback>
      </mc:AlternateContent>
    </w:r>
  </w:p>
  <w:p>
    <w:pPr>
      <w:pStyle w:val="27"/>
      <w:ind w:right="360"/>
      <w:jc w:val="right"/>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91E0708"/>
    <w:multiLevelType w:val="singleLevel"/>
    <w:tmpl w:val="991E0708"/>
    <w:lvl w:ilvl="0" w:tentative="0">
      <w:start w:val="6"/>
      <w:numFmt w:val="chineseCounting"/>
      <w:suff w:val="space"/>
      <w:lvlText w:val="第%1章"/>
      <w:lvlJc w:val="left"/>
      <w:rPr>
        <w:rFonts w:hint="eastAsia"/>
      </w:rPr>
    </w:lvl>
  </w:abstractNum>
  <w:abstractNum w:abstractNumId="1">
    <w:nsid w:val="F69DBF93"/>
    <w:multiLevelType w:val="singleLevel"/>
    <w:tmpl w:val="F69DBF93"/>
    <w:lvl w:ilvl="0" w:tentative="0">
      <w:start w:val="12"/>
      <w:numFmt w:val="decimal"/>
      <w:lvlText w:val="%1."/>
      <w:lvlJc w:val="left"/>
      <w:pPr>
        <w:tabs>
          <w:tab w:val="left" w:pos="312"/>
        </w:tabs>
      </w:pPr>
    </w:lvl>
  </w:abstractNum>
  <w:abstractNum w:abstractNumId="2">
    <w:nsid w:val="2DE19292"/>
    <w:multiLevelType w:val="singleLevel"/>
    <w:tmpl w:val="2DE19292"/>
    <w:lvl w:ilvl="0" w:tentative="0">
      <w:start w:val="1"/>
      <w:numFmt w:val="decimal"/>
      <w:suff w:val="nothing"/>
      <w:lvlText w:val="%1、"/>
      <w:lvlJc w:val="left"/>
    </w:lvl>
  </w:abstractNum>
  <w:abstractNum w:abstractNumId="3">
    <w:nsid w:val="5514C90B"/>
    <w:multiLevelType w:val="singleLevel"/>
    <w:tmpl w:val="5514C90B"/>
    <w:lvl w:ilvl="0" w:tentative="0">
      <w:start w:val="5"/>
      <w:numFmt w:val="chineseCounting"/>
      <w:suff w:val="nothing"/>
      <w:lvlText w:val="%1、"/>
      <w:lvlJc w:val="left"/>
    </w:lvl>
  </w:abstractNum>
  <w:abstractNum w:abstractNumId="4">
    <w:nsid w:val="5D1918FD"/>
    <w:multiLevelType w:val="singleLevel"/>
    <w:tmpl w:val="5D1918FD"/>
    <w:lvl w:ilvl="0" w:tentative="0">
      <w:start w:val="1"/>
      <w:numFmt w:val="chineseCounting"/>
      <w:suff w:val="nothing"/>
      <w:lvlText w:val="（%1）"/>
      <w:lvlJc w:val="left"/>
      <w:rPr>
        <w:rFonts w:hint="eastAsia"/>
      </w:rPr>
    </w:lvl>
  </w:abstractNum>
  <w:abstractNum w:abstractNumId="5">
    <w:nsid w:val="645C2FE9"/>
    <w:multiLevelType w:val="singleLevel"/>
    <w:tmpl w:val="645C2FE9"/>
    <w:lvl w:ilvl="0" w:tentative="0">
      <w:start w:val="5"/>
      <w:numFmt w:val="decimal"/>
      <w:lvlText w:val="%1."/>
      <w:lvlJc w:val="left"/>
      <w:pPr>
        <w:tabs>
          <w:tab w:val="left" w:pos="312"/>
        </w:tabs>
      </w:pPr>
    </w:lvl>
  </w:abstractNum>
  <w:abstractNum w:abstractNumId="6">
    <w:nsid w:val="7A1801A3"/>
    <w:multiLevelType w:val="singleLevel"/>
    <w:tmpl w:val="7A1801A3"/>
    <w:lvl w:ilvl="0" w:tentative="0">
      <w:start w:val="1"/>
      <w:numFmt w:val="decimal"/>
      <w:suff w:val="space"/>
      <w:lvlText w:val="%1、"/>
      <w:lvlJc w:val="left"/>
    </w:lvl>
  </w:abstractNum>
  <w:num w:numId="1">
    <w:abstractNumId w:val="2"/>
  </w:num>
  <w:num w:numId="2">
    <w:abstractNumId w:val="4"/>
  </w:num>
  <w:num w:numId="3">
    <w:abstractNumId w:val="5"/>
  </w:num>
  <w:num w:numId="4">
    <w:abstractNumId w:val="6"/>
  </w:num>
  <w:num w:numId="5">
    <w:abstractNumId w:val="1"/>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VjMzVjMjRlZDg0ZTg4NjIwYzJkMGViNDkxZTA5MTcifQ=="/>
  </w:docVars>
  <w:rsids>
    <w:rsidRoot w:val="00172A27"/>
    <w:rsid w:val="00051C05"/>
    <w:rsid w:val="00172A27"/>
    <w:rsid w:val="0019432C"/>
    <w:rsid w:val="0019676B"/>
    <w:rsid w:val="001D1BEA"/>
    <w:rsid w:val="001E6CC6"/>
    <w:rsid w:val="00236901"/>
    <w:rsid w:val="00264142"/>
    <w:rsid w:val="00272886"/>
    <w:rsid w:val="00293FC4"/>
    <w:rsid w:val="002967D0"/>
    <w:rsid w:val="002B7E6E"/>
    <w:rsid w:val="002C134D"/>
    <w:rsid w:val="003261FC"/>
    <w:rsid w:val="0038553E"/>
    <w:rsid w:val="003A0862"/>
    <w:rsid w:val="004661E1"/>
    <w:rsid w:val="0049093D"/>
    <w:rsid w:val="004A133B"/>
    <w:rsid w:val="004C35A1"/>
    <w:rsid w:val="004D1895"/>
    <w:rsid w:val="00525EF2"/>
    <w:rsid w:val="00577E91"/>
    <w:rsid w:val="005B1F01"/>
    <w:rsid w:val="005B3451"/>
    <w:rsid w:val="005F7091"/>
    <w:rsid w:val="0068296B"/>
    <w:rsid w:val="00692359"/>
    <w:rsid w:val="00693F29"/>
    <w:rsid w:val="007503D3"/>
    <w:rsid w:val="007928C3"/>
    <w:rsid w:val="007C6E7F"/>
    <w:rsid w:val="00823D1D"/>
    <w:rsid w:val="00831D61"/>
    <w:rsid w:val="00887AA8"/>
    <w:rsid w:val="008F1195"/>
    <w:rsid w:val="008F72B0"/>
    <w:rsid w:val="00947E66"/>
    <w:rsid w:val="00970604"/>
    <w:rsid w:val="00997564"/>
    <w:rsid w:val="00A061A9"/>
    <w:rsid w:val="00A357D1"/>
    <w:rsid w:val="00A3637C"/>
    <w:rsid w:val="00AB2447"/>
    <w:rsid w:val="00AE193C"/>
    <w:rsid w:val="00AF7608"/>
    <w:rsid w:val="00B1320F"/>
    <w:rsid w:val="00B348C2"/>
    <w:rsid w:val="00B50A58"/>
    <w:rsid w:val="00B97D36"/>
    <w:rsid w:val="00BD14EA"/>
    <w:rsid w:val="00BD67AD"/>
    <w:rsid w:val="00C33D88"/>
    <w:rsid w:val="00C44DDD"/>
    <w:rsid w:val="00CA3705"/>
    <w:rsid w:val="00CE672B"/>
    <w:rsid w:val="00D81621"/>
    <w:rsid w:val="00D82898"/>
    <w:rsid w:val="00E01A21"/>
    <w:rsid w:val="00E124BC"/>
    <w:rsid w:val="00E66370"/>
    <w:rsid w:val="00E711F9"/>
    <w:rsid w:val="00E8434E"/>
    <w:rsid w:val="00E93226"/>
    <w:rsid w:val="00EA6489"/>
    <w:rsid w:val="00EB4EBD"/>
    <w:rsid w:val="00EC5BE9"/>
    <w:rsid w:val="00FA4FB1"/>
    <w:rsid w:val="00FB59E2"/>
    <w:rsid w:val="00FD1793"/>
    <w:rsid w:val="010B6F17"/>
    <w:rsid w:val="01180A8E"/>
    <w:rsid w:val="011B1609"/>
    <w:rsid w:val="01227B3A"/>
    <w:rsid w:val="012813F7"/>
    <w:rsid w:val="013862CF"/>
    <w:rsid w:val="0152439A"/>
    <w:rsid w:val="016D1BEA"/>
    <w:rsid w:val="01AC2CA4"/>
    <w:rsid w:val="01B34656"/>
    <w:rsid w:val="01BD53AC"/>
    <w:rsid w:val="01C77700"/>
    <w:rsid w:val="01FF0870"/>
    <w:rsid w:val="020E5AE0"/>
    <w:rsid w:val="021E79D9"/>
    <w:rsid w:val="02292505"/>
    <w:rsid w:val="023410F1"/>
    <w:rsid w:val="02430535"/>
    <w:rsid w:val="024460BA"/>
    <w:rsid w:val="024A54FA"/>
    <w:rsid w:val="02B5039E"/>
    <w:rsid w:val="02CC017C"/>
    <w:rsid w:val="02D26E7A"/>
    <w:rsid w:val="0326452C"/>
    <w:rsid w:val="03337096"/>
    <w:rsid w:val="035215FC"/>
    <w:rsid w:val="036030A6"/>
    <w:rsid w:val="036F54BF"/>
    <w:rsid w:val="03890B8D"/>
    <w:rsid w:val="03AE00E9"/>
    <w:rsid w:val="03B235E4"/>
    <w:rsid w:val="03CD7311"/>
    <w:rsid w:val="03E7514D"/>
    <w:rsid w:val="03F607A1"/>
    <w:rsid w:val="03F667CF"/>
    <w:rsid w:val="040B5D7D"/>
    <w:rsid w:val="041A1D4F"/>
    <w:rsid w:val="0422101C"/>
    <w:rsid w:val="04392C07"/>
    <w:rsid w:val="043E22A8"/>
    <w:rsid w:val="043E5C92"/>
    <w:rsid w:val="0444118A"/>
    <w:rsid w:val="046D75D1"/>
    <w:rsid w:val="04781677"/>
    <w:rsid w:val="04A46CA4"/>
    <w:rsid w:val="04C005DB"/>
    <w:rsid w:val="04C44A1F"/>
    <w:rsid w:val="04C93929"/>
    <w:rsid w:val="04CA1E15"/>
    <w:rsid w:val="04E5106D"/>
    <w:rsid w:val="04ED57CB"/>
    <w:rsid w:val="04FD42C5"/>
    <w:rsid w:val="04FE419C"/>
    <w:rsid w:val="05485590"/>
    <w:rsid w:val="058338FD"/>
    <w:rsid w:val="05914F1B"/>
    <w:rsid w:val="05BE7E8C"/>
    <w:rsid w:val="05E667E1"/>
    <w:rsid w:val="05ED2816"/>
    <w:rsid w:val="05FF74D1"/>
    <w:rsid w:val="061B409A"/>
    <w:rsid w:val="062E11BE"/>
    <w:rsid w:val="064209A9"/>
    <w:rsid w:val="064D1368"/>
    <w:rsid w:val="06610898"/>
    <w:rsid w:val="067533DA"/>
    <w:rsid w:val="067852BE"/>
    <w:rsid w:val="067A4269"/>
    <w:rsid w:val="067B74DC"/>
    <w:rsid w:val="067F3A8C"/>
    <w:rsid w:val="06864FD7"/>
    <w:rsid w:val="068F58E1"/>
    <w:rsid w:val="06A64488"/>
    <w:rsid w:val="06B476F7"/>
    <w:rsid w:val="06CF72E4"/>
    <w:rsid w:val="06F0119C"/>
    <w:rsid w:val="071C0D14"/>
    <w:rsid w:val="074F739B"/>
    <w:rsid w:val="076A2611"/>
    <w:rsid w:val="076D2AF4"/>
    <w:rsid w:val="07D00792"/>
    <w:rsid w:val="07E43599"/>
    <w:rsid w:val="07FB77C6"/>
    <w:rsid w:val="07FD2486"/>
    <w:rsid w:val="08246CBD"/>
    <w:rsid w:val="08425AB7"/>
    <w:rsid w:val="084E5471"/>
    <w:rsid w:val="08514407"/>
    <w:rsid w:val="085A35BE"/>
    <w:rsid w:val="086876B5"/>
    <w:rsid w:val="08922312"/>
    <w:rsid w:val="089C7EC7"/>
    <w:rsid w:val="089E6713"/>
    <w:rsid w:val="089F624A"/>
    <w:rsid w:val="08A51684"/>
    <w:rsid w:val="08C2438F"/>
    <w:rsid w:val="08CC7E81"/>
    <w:rsid w:val="090B7599"/>
    <w:rsid w:val="09225640"/>
    <w:rsid w:val="0923372C"/>
    <w:rsid w:val="09507484"/>
    <w:rsid w:val="097204B5"/>
    <w:rsid w:val="09750CAC"/>
    <w:rsid w:val="09950995"/>
    <w:rsid w:val="09B44378"/>
    <w:rsid w:val="09DB4C9E"/>
    <w:rsid w:val="0A0C60C4"/>
    <w:rsid w:val="0A1303D2"/>
    <w:rsid w:val="0A3C225C"/>
    <w:rsid w:val="0A482A03"/>
    <w:rsid w:val="0A4D3842"/>
    <w:rsid w:val="0A4F19AF"/>
    <w:rsid w:val="0A577167"/>
    <w:rsid w:val="0A60587A"/>
    <w:rsid w:val="0A63781E"/>
    <w:rsid w:val="0A6A1868"/>
    <w:rsid w:val="0A760FD7"/>
    <w:rsid w:val="0A783E3A"/>
    <w:rsid w:val="0AB61079"/>
    <w:rsid w:val="0AB8757A"/>
    <w:rsid w:val="0AC244C6"/>
    <w:rsid w:val="0ACC2AB1"/>
    <w:rsid w:val="0AE37CB9"/>
    <w:rsid w:val="0AEC3394"/>
    <w:rsid w:val="0AED37F3"/>
    <w:rsid w:val="0B003F9C"/>
    <w:rsid w:val="0B0F03C4"/>
    <w:rsid w:val="0B3C39C0"/>
    <w:rsid w:val="0B421B04"/>
    <w:rsid w:val="0B47518E"/>
    <w:rsid w:val="0B632986"/>
    <w:rsid w:val="0B6C609F"/>
    <w:rsid w:val="0BBE5779"/>
    <w:rsid w:val="0BC61324"/>
    <w:rsid w:val="0BEA4AE1"/>
    <w:rsid w:val="0BF36971"/>
    <w:rsid w:val="0BF554DE"/>
    <w:rsid w:val="0C2F4286"/>
    <w:rsid w:val="0C3769C0"/>
    <w:rsid w:val="0C520A4E"/>
    <w:rsid w:val="0C572B97"/>
    <w:rsid w:val="0C681CC3"/>
    <w:rsid w:val="0C6938A6"/>
    <w:rsid w:val="0C9A0C4B"/>
    <w:rsid w:val="0CB32CB4"/>
    <w:rsid w:val="0CB50EF3"/>
    <w:rsid w:val="0CB979E6"/>
    <w:rsid w:val="0CBF6A8D"/>
    <w:rsid w:val="0CC52687"/>
    <w:rsid w:val="0CD4249F"/>
    <w:rsid w:val="0CF00D55"/>
    <w:rsid w:val="0CF73F35"/>
    <w:rsid w:val="0CFB5F74"/>
    <w:rsid w:val="0D0C53E6"/>
    <w:rsid w:val="0D0E1EAD"/>
    <w:rsid w:val="0D351F8F"/>
    <w:rsid w:val="0D4C5C44"/>
    <w:rsid w:val="0D8B319B"/>
    <w:rsid w:val="0D903412"/>
    <w:rsid w:val="0D984C7A"/>
    <w:rsid w:val="0D9D45D7"/>
    <w:rsid w:val="0DB42237"/>
    <w:rsid w:val="0DB8710D"/>
    <w:rsid w:val="0DC60C50"/>
    <w:rsid w:val="0DD24E72"/>
    <w:rsid w:val="0DD9028A"/>
    <w:rsid w:val="0DDD09A5"/>
    <w:rsid w:val="0E221E30"/>
    <w:rsid w:val="0E236B70"/>
    <w:rsid w:val="0E36520F"/>
    <w:rsid w:val="0E380DE9"/>
    <w:rsid w:val="0E8D1D41"/>
    <w:rsid w:val="0E8D5A92"/>
    <w:rsid w:val="0EB422A6"/>
    <w:rsid w:val="0EC06322"/>
    <w:rsid w:val="0EDB208B"/>
    <w:rsid w:val="0EDD7113"/>
    <w:rsid w:val="0EE05995"/>
    <w:rsid w:val="0EF54572"/>
    <w:rsid w:val="0EF65D87"/>
    <w:rsid w:val="0EFA32A3"/>
    <w:rsid w:val="0F275DDD"/>
    <w:rsid w:val="0F303D4E"/>
    <w:rsid w:val="0F37601A"/>
    <w:rsid w:val="0F4B63B7"/>
    <w:rsid w:val="0F4D3F3A"/>
    <w:rsid w:val="0F5B118D"/>
    <w:rsid w:val="0F63459C"/>
    <w:rsid w:val="0F71179D"/>
    <w:rsid w:val="0F807259"/>
    <w:rsid w:val="0F985309"/>
    <w:rsid w:val="0FA163EF"/>
    <w:rsid w:val="0FB32E5F"/>
    <w:rsid w:val="0FB91362"/>
    <w:rsid w:val="100123C6"/>
    <w:rsid w:val="100738F9"/>
    <w:rsid w:val="10172881"/>
    <w:rsid w:val="101B7B76"/>
    <w:rsid w:val="102947CC"/>
    <w:rsid w:val="10473239"/>
    <w:rsid w:val="108672E7"/>
    <w:rsid w:val="10AD5834"/>
    <w:rsid w:val="10B25FFF"/>
    <w:rsid w:val="10BD1992"/>
    <w:rsid w:val="10C71429"/>
    <w:rsid w:val="10EB742F"/>
    <w:rsid w:val="10EC77CC"/>
    <w:rsid w:val="10F47D1E"/>
    <w:rsid w:val="10FC1486"/>
    <w:rsid w:val="10FE4F86"/>
    <w:rsid w:val="11711A7C"/>
    <w:rsid w:val="11B91F4A"/>
    <w:rsid w:val="11DB4D07"/>
    <w:rsid w:val="11F17AB2"/>
    <w:rsid w:val="121C1934"/>
    <w:rsid w:val="12367ABE"/>
    <w:rsid w:val="12881E10"/>
    <w:rsid w:val="12890123"/>
    <w:rsid w:val="12A74A3D"/>
    <w:rsid w:val="12AE387D"/>
    <w:rsid w:val="12AF6309"/>
    <w:rsid w:val="12C12887"/>
    <w:rsid w:val="12E658D8"/>
    <w:rsid w:val="12FF46CC"/>
    <w:rsid w:val="13066621"/>
    <w:rsid w:val="131A1FE4"/>
    <w:rsid w:val="134B4B80"/>
    <w:rsid w:val="137D5E42"/>
    <w:rsid w:val="13AF1CA1"/>
    <w:rsid w:val="13BE6847"/>
    <w:rsid w:val="13CB488B"/>
    <w:rsid w:val="13D35978"/>
    <w:rsid w:val="13DC2FCC"/>
    <w:rsid w:val="13E43C15"/>
    <w:rsid w:val="13F62ECE"/>
    <w:rsid w:val="13FC1DF6"/>
    <w:rsid w:val="13FD1D99"/>
    <w:rsid w:val="1407377B"/>
    <w:rsid w:val="140955A6"/>
    <w:rsid w:val="14247652"/>
    <w:rsid w:val="142B5288"/>
    <w:rsid w:val="142E0EBA"/>
    <w:rsid w:val="14477418"/>
    <w:rsid w:val="1455261E"/>
    <w:rsid w:val="14A96F9D"/>
    <w:rsid w:val="14AD31EA"/>
    <w:rsid w:val="14AF46F2"/>
    <w:rsid w:val="14D46516"/>
    <w:rsid w:val="14DC3970"/>
    <w:rsid w:val="14F45FC9"/>
    <w:rsid w:val="15043870"/>
    <w:rsid w:val="150505E7"/>
    <w:rsid w:val="1540353C"/>
    <w:rsid w:val="15523419"/>
    <w:rsid w:val="1555286E"/>
    <w:rsid w:val="15574E98"/>
    <w:rsid w:val="15831BBB"/>
    <w:rsid w:val="15980D1C"/>
    <w:rsid w:val="15AC7837"/>
    <w:rsid w:val="15AE6C1E"/>
    <w:rsid w:val="15B1559A"/>
    <w:rsid w:val="15C25FB8"/>
    <w:rsid w:val="15D25204"/>
    <w:rsid w:val="160A099D"/>
    <w:rsid w:val="16173E74"/>
    <w:rsid w:val="16190D0F"/>
    <w:rsid w:val="16645BD0"/>
    <w:rsid w:val="16711741"/>
    <w:rsid w:val="16736014"/>
    <w:rsid w:val="1687045C"/>
    <w:rsid w:val="16A05C77"/>
    <w:rsid w:val="16A649DF"/>
    <w:rsid w:val="16B340D9"/>
    <w:rsid w:val="16C3514A"/>
    <w:rsid w:val="16D6703C"/>
    <w:rsid w:val="17617812"/>
    <w:rsid w:val="17623F73"/>
    <w:rsid w:val="17667DE0"/>
    <w:rsid w:val="1772364A"/>
    <w:rsid w:val="17996410"/>
    <w:rsid w:val="17CE4240"/>
    <w:rsid w:val="17D74C67"/>
    <w:rsid w:val="17FD09A7"/>
    <w:rsid w:val="181170EF"/>
    <w:rsid w:val="18304A9C"/>
    <w:rsid w:val="18344D5C"/>
    <w:rsid w:val="18514CA0"/>
    <w:rsid w:val="185848A5"/>
    <w:rsid w:val="186D664C"/>
    <w:rsid w:val="186F722E"/>
    <w:rsid w:val="1884502D"/>
    <w:rsid w:val="18B064A4"/>
    <w:rsid w:val="18D371AF"/>
    <w:rsid w:val="18EF1012"/>
    <w:rsid w:val="18F61A18"/>
    <w:rsid w:val="18F80CB7"/>
    <w:rsid w:val="19056B67"/>
    <w:rsid w:val="190E1405"/>
    <w:rsid w:val="19163C50"/>
    <w:rsid w:val="19230615"/>
    <w:rsid w:val="194125F9"/>
    <w:rsid w:val="19491067"/>
    <w:rsid w:val="19565456"/>
    <w:rsid w:val="196B18B5"/>
    <w:rsid w:val="197D791F"/>
    <w:rsid w:val="1987264D"/>
    <w:rsid w:val="198F5FE2"/>
    <w:rsid w:val="19BA63E2"/>
    <w:rsid w:val="19BF2167"/>
    <w:rsid w:val="19C32E4F"/>
    <w:rsid w:val="19D93D2D"/>
    <w:rsid w:val="19DE06EB"/>
    <w:rsid w:val="19E23CC9"/>
    <w:rsid w:val="1A6F13C2"/>
    <w:rsid w:val="1A757F41"/>
    <w:rsid w:val="1A8F5D8A"/>
    <w:rsid w:val="1A9239DB"/>
    <w:rsid w:val="1A9E4A23"/>
    <w:rsid w:val="1AA9555B"/>
    <w:rsid w:val="1ABB0628"/>
    <w:rsid w:val="1ACA7706"/>
    <w:rsid w:val="1ACE434A"/>
    <w:rsid w:val="1AED36B5"/>
    <w:rsid w:val="1AFB6187"/>
    <w:rsid w:val="1AFF4FFF"/>
    <w:rsid w:val="1B057A55"/>
    <w:rsid w:val="1B0B50AF"/>
    <w:rsid w:val="1B322E8B"/>
    <w:rsid w:val="1B3A73B9"/>
    <w:rsid w:val="1B78202E"/>
    <w:rsid w:val="1B9C12B5"/>
    <w:rsid w:val="1BC035E7"/>
    <w:rsid w:val="1BD4664E"/>
    <w:rsid w:val="1BEB0E54"/>
    <w:rsid w:val="1BED4EE9"/>
    <w:rsid w:val="1BFA69B8"/>
    <w:rsid w:val="1C1F761D"/>
    <w:rsid w:val="1C2C2B20"/>
    <w:rsid w:val="1C306B5E"/>
    <w:rsid w:val="1C5B736B"/>
    <w:rsid w:val="1C7313E6"/>
    <w:rsid w:val="1C8073B0"/>
    <w:rsid w:val="1C950E2A"/>
    <w:rsid w:val="1C9D3DC8"/>
    <w:rsid w:val="1CAA4A8F"/>
    <w:rsid w:val="1CB92689"/>
    <w:rsid w:val="1CCC23A2"/>
    <w:rsid w:val="1CD50A2A"/>
    <w:rsid w:val="1CEA711F"/>
    <w:rsid w:val="1CF702A9"/>
    <w:rsid w:val="1CF80055"/>
    <w:rsid w:val="1CFD3F28"/>
    <w:rsid w:val="1D2960E1"/>
    <w:rsid w:val="1D3C269F"/>
    <w:rsid w:val="1D712B76"/>
    <w:rsid w:val="1D79578A"/>
    <w:rsid w:val="1D886EC8"/>
    <w:rsid w:val="1D992716"/>
    <w:rsid w:val="1DA43419"/>
    <w:rsid w:val="1DAC3A4A"/>
    <w:rsid w:val="1DCA30DB"/>
    <w:rsid w:val="1DD03041"/>
    <w:rsid w:val="1DDB2986"/>
    <w:rsid w:val="1DDD40D8"/>
    <w:rsid w:val="1DF14DBD"/>
    <w:rsid w:val="1DFB5D5A"/>
    <w:rsid w:val="1E326264"/>
    <w:rsid w:val="1E4429D3"/>
    <w:rsid w:val="1E652CF9"/>
    <w:rsid w:val="1E655F0A"/>
    <w:rsid w:val="1E791793"/>
    <w:rsid w:val="1EA04C2A"/>
    <w:rsid w:val="1EC15722"/>
    <w:rsid w:val="1EF46978"/>
    <w:rsid w:val="1EF771C5"/>
    <w:rsid w:val="1F094010"/>
    <w:rsid w:val="1F102920"/>
    <w:rsid w:val="1F1E3CE0"/>
    <w:rsid w:val="1F231C3F"/>
    <w:rsid w:val="1F2F71E0"/>
    <w:rsid w:val="1F345352"/>
    <w:rsid w:val="1F375F10"/>
    <w:rsid w:val="1FBF7EBD"/>
    <w:rsid w:val="1FD5615E"/>
    <w:rsid w:val="1FD7731F"/>
    <w:rsid w:val="1FFF78DB"/>
    <w:rsid w:val="20257F91"/>
    <w:rsid w:val="202D20EB"/>
    <w:rsid w:val="20403D11"/>
    <w:rsid w:val="205E17ED"/>
    <w:rsid w:val="20744E87"/>
    <w:rsid w:val="20746ED7"/>
    <w:rsid w:val="2093577A"/>
    <w:rsid w:val="20992E18"/>
    <w:rsid w:val="20A76A4A"/>
    <w:rsid w:val="20BD3C86"/>
    <w:rsid w:val="20EA0ECA"/>
    <w:rsid w:val="2106640C"/>
    <w:rsid w:val="21160661"/>
    <w:rsid w:val="21176BA4"/>
    <w:rsid w:val="21390A31"/>
    <w:rsid w:val="214C4CB4"/>
    <w:rsid w:val="215770EF"/>
    <w:rsid w:val="21877B16"/>
    <w:rsid w:val="218E53D3"/>
    <w:rsid w:val="21974EEC"/>
    <w:rsid w:val="21A04E91"/>
    <w:rsid w:val="222E01CF"/>
    <w:rsid w:val="2267777E"/>
    <w:rsid w:val="22690184"/>
    <w:rsid w:val="229B5019"/>
    <w:rsid w:val="22A06DCF"/>
    <w:rsid w:val="234C1306"/>
    <w:rsid w:val="2359204B"/>
    <w:rsid w:val="236D7739"/>
    <w:rsid w:val="237A1010"/>
    <w:rsid w:val="237C59D9"/>
    <w:rsid w:val="238B504F"/>
    <w:rsid w:val="238C7EA9"/>
    <w:rsid w:val="2390500B"/>
    <w:rsid w:val="239F54AD"/>
    <w:rsid w:val="23BF7597"/>
    <w:rsid w:val="23DE039E"/>
    <w:rsid w:val="23E05698"/>
    <w:rsid w:val="241164CE"/>
    <w:rsid w:val="24250A18"/>
    <w:rsid w:val="242E3497"/>
    <w:rsid w:val="244E7146"/>
    <w:rsid w:val="2453408E"/>
    <w:rsid w:val="2466777A"/>
    <w:rsid w:val="24754F97"/>
    <w:rsid w:val="249935AC"/>
    <w:rsid w:val="24AC6601"/>
    <w:rsid w:val="24B91466"/>
    <w:rsid w:val="24C20226"/>
    <w:rsid w:val="24C43731"/>
    <w:rsid w:val="24E0046C"/>
    <w:rsid w:val="24E76CD5"/>
    <w:rsid w:val="24E965D0"/>
    <w:rsid w:val="251304F0"/>
    <w:rsid w:val="253319CE"/>
    <w:rsid w:val="25425503"/>
    <w:rsid w:val="25640DE3"/>
    <w:rsid w:val="25647914"/>
    <w:rsid w:val="25704095"/>
    <w:rsid w:val="25895294"/>
    <w:rsid w:val="25947923"/>
    <w:rsid w:val="25CA0F17"/>
    <w:rsid w:val="25DB6A66"/>
    <w:rsid w:val="25F854FF"/>
    <w:rsid w:val="262D561C"/>
    <w:rsid w:val="26333093"/>
    <w:rsid w:val="26876D72"/>
    <w:rsid w:val="26CB2F5A"/>
    <w:rsid w:val="26DA6916"/>
    <w:rsid w:val="2715694D"/>
    <w:rsid w:val="272B513B"/>
    <w:rsid w:val="273B08AD"/>
    <w:rsid w:val="27444550"/>
    <w:rsid w:val="2748139F"/>
    <w:rsid w:val="276B77C2"/>
    <w:rsid w:val="27AC0123"/>
    <w:rsid w:val="27B44AD7"/>
    <w:rsid w:val="27B457B7"/>
    <w:rsid w:val="27E06A91"/>
    <w:rsid w:val="27E65FD9"/>
    <w:rsid w:val="28002795"/>
    <w:rsid w:val="281B6BFB"/>
    <w:rsid w:val="281F5675"/>
    <w:rsid w:val="282004E1"/>
    <w:rsid w:val="28294C13"/>
    <w:rsid w:val="282D4B8B"/>
    <w:rsid w:val="2855699A"/>
    <w:rsid w:val="286C3070"/>
    <w:rsid w:val="287B2730"/>
    <w:rsid w:val="28892235"/>
    <w:rsid w:val="288F7C0F"/>
    <w:rsid w:val="28A14B5A"/>
    <w:rsid w:val="28A83843"/>
    <w:rsid w:val="28C87887"/>
    <w:rsid w:val="28D84231"/>
    <w:rsid w:val="28F300FF"/>
    <w:rsid w:val="28F675BF"/>
    <w:rsid w:val="29122DBA"/>
    <w:rsid w:val="29293D3B"/>
    <w:rsid w:val="29486781"/>
    <w:rsid w:val="294A4D45"/>
    <w:rsid w:val="29526888"/>
    <w:rsid w:val="29557F52"/>
    <w:rsid w:val="297773DA"/>
    <w:rsid w:val="29791559"/>
    <w:rsid w:val="29964355"/>
    <w:rsid w:val="29B315E1"/>
    <w:rsid w:val="29B443A3"/>
    <w:rsid w:val="29C10614"/>
    <w:rsid w:val="29F421E0"/>
    <w:rsid w:val="2A032A0E"/>
    <w:rsid w:val="2A1F2FBF"/>
    <w:rsid w:val="2A346D0A"/>
    <w:rsid w:val="2A5272FC"/>
    <w:rsid w:val="2A555F04"/>
    <w:rsid w:val="2A6807BE"/>
    <w:rsid w:val="2A6A3C46"/>
    <w:rsid w:val="2A7B2EA4"/>
    <w:rsid w:val="2A9542CF"/>
    <w:rsid w:val="2AAE3866"/>
    <w:rsid w:val="2AB24506"/>
    <w:rsid w:val="2AB9017D"/>
    <w:rsid w:val="2ABA691D"/>
    <w:rsid w:val="2ABE02B7"/>
    <w:rsid w:val="2AE16A01"/>
    <w:rsid w:val="2AF81A03"/>
    <w:rsid w:val="2B004F9F"/>
    <w:rsid w:val="2B241BF7"/>
    <w:rsid w:val="2B4577AA"/>
    <w:rsid w:val="2B6902A8"/>
    <w:rsid w:val="2B730B9C"/>
    <w:rsid w:val="2B897027"/>
    <w:rsid w:val="2B947BE8"/>
    <w:rsid w:val="2B9B52EB"/>
    <w:rsid w:val="2BAA2FBF"/>
    <w:rsid w:val="2BAD4D85"/>
    <w:rsid w:val="2BC27F38"/>
    <w:rsid w:val="2BD10EF7"/>
    <w:rsid w:val="2BE132DB"/>
    <w:rsid w:val="2BF72611"/>
    <w:rsid w:val="2C0C3C77"/>
    <w:rsid w:val="2C230126"/>
    <w:rsid w:val="2C255CBF"/>
    <w:rsid w:val="2C4520E8"/>
    <w:rsid w:val="2C4A4D7C"/>
    <w:rsid w:val="2C7D3126"/>
    <w:rsid w:val="2C8637E0"/>
    <w:rsid w:val="2C8F2F50"/>
    <w:rsid w:val="2C9E1821"/>
    <w:rsid w:val="2CA26653"/>
    <w:rsid w:val="2CA51839"/>
    <w:rsid w:val="2CCF18DB"/>
    <w:rsid w:val="2D202D72"/>
    <w:rsid w:val="2D230716"/>
    <w:rsid w:val="2D31349E"/>
    <w:rsid w:val="2D411C4F"/>
    <w:rsid w:val="2D4B0FFC"/>
    <w:rsid w:val="2D5D2891"/>
    <w:rsid w:val="2D941D26"/>
    <w:rsid w:val="2D9458D2"/>
    <w:rsid w:val="2D9E155A"/>
    <w:rsid w:val="2DB64656"/>
    <w:rsid w:val="2DDD37F2"/>
    <w:rsid w:val="2DE06A1E"/>
    <w:rsid w:val="2E0650C5"/>
    <w:rsid w:val="2E1317E7"/>
    <w:rsid w:val="2E66524C"/>
    <w:rsid w:val="2E7524CF"/>
    <w:rsid w:val="2E7B1D72"/>
    <w:rsid w:val="2E7F2F6A"/>
    <w:rsid w:val="2E9D6881"/>
    <w:rsid w:val="2EB454C8"/>
    <w:rsid w:val="2ED76EC2"/>
    <w:rsid w:val="2EE303D8"/>
    <w:rsid w:val="2EEA110E"/>
    <w:rsid w:val="2F1E1A85"/>
    <w:rsid w:val="2F62717A"/>
    <w:rsid w:val="2F6759E7"/>
    <w:rsid w:val="2F827674"/>
    <w:rsid w:val="2FBA44BB"/>
    <w:rsid w:val="2FD07662"/>
    <w:rsid w:val="2FDC4CF3"/>
    <w:rsid w:val="2FFD3395"/>
    <w:rsid w:val="300246FB"/>
    <w:rsid w:val="30236C8B"/>
    <w:rsid w:val="302E5DC3"/>
    <w:rsid w:val="307E5143"/>
    <w:rsid w:val="307F3DD8"/>
    <w:rsid w:val="30843B47"/>
    <w:rsid w:val="30BE60BD"/>
    <w:rsid w:val="30C252F5"/>
    <w:rsid w:val="30F87D9C"/>
    <w:rsid w:val="30FF1BC8"/>
    <w:rsid w:val="311A10A5"/>
    <w:rsid w:val="31225290"/>
    <w:rsid w:val="314A67C0"/>
    <w:rsid w:val="317062CC"/>
    <w:rsid w:val="3174660C"/>
    <w:rsid w:val="31763595"/>
    <w:rsid w:val="3184464A"/>
    <w:rsid w:val="318543A3"/>
    <w:rsid w:val="31B559FC"/>
    <w:rsid w:val="31C134E2"/>
    <w:rsid w:val="31C47AE3"/>
    <w:rsid w:val="31E640EC"/>
    <w:rsid w:val="323116E7"/>
    <w:rsid w:val="32353C55"/>
    <w:rsid w:val="32396AAE"/>
    <w:rsid w:val="323F15D7"/>
    <w:rsid w:val="325045B5"/>
    <w:rsid w:val="327E4CB2"/>
    <w:rsid w:val="329D32D4"/>
    <w:rsid w:val="32D22894"/>
    <w:rsid w:val="32D319B0"/>
    <w:rsid w:val="32D46150"/>
    <w:rsid w:val="32D713B1"/>
    <w:rsid w:val="32DB10D8"/>
    <w:rsid w:val="330F7D93"/>
    <w:rsid w:val="331E270A"/>
    <w:rsid w:val="333B4668"/>
    <w:rsid w:val="33593396"/>
    <w:rsid w:val="33742634"/>
    <w:rsid w:val="3388231E"/>
    <w:rsid w:val="33946E05"/>
    <w:rsid w:val="33C27649"/>
    <w:rsid w:val="33CF582D"/>
    <w:rsid w:val="33F97AC4"/>
    <w:rsid w:val="340123E3"/>
    <w:rsid w:val="340C5F40"/>
    <w:rsid w:val="340E5206"/>
    <w:rsid w:val="3412436B"/>
    <w:rsid w:val="341E2E00"/>
    <w:rsid w:val="342721CB"/>
    <w:rsid w:val="34324B64"/>
    <w:rsid w:val="343C1F0C"/>
    <w:rsid w:val="34521B2B"/>
    <w:rsid w:val="34580CD2"/>
    <w:rsid w:val="347414A7"/>
    <w:rsid w:val="34815682"/>
    <w:rsid w:val="348555C4"/>
    <w:rsid w:val="34874BE1"/>
    <w:rsid w:val="34B623A2"/>
    <w:rsid w:val="34CF5852"/>
    <w:rsid w:val="34E05AA5"/>
    <w:rsid w:val="34E32A00"/>
    <w:rsid w:val="34F1647D"/>
    <w:rsid w:val="35043AC3"/>
    <w:rsid w:val="35093D5C"/>
    <w:rsid w:val="35112B4A"/>
    <w:rsid w:val="352B2FC5"/>
    <w:rsid w:val="352E4A87"/>
    <w:rsid w:val="35302C5C"/>
    <w:rsid w:val="35331FD8"/>
    <w:rsid w:val="3538783D"/>
    <w:rsid w:val="3547731F"/>
    <w:rsid w:val="355C5BFC"/>
    <w:rsid w:val="357A34FB"/>
    <w:rsid w:val="358C48C9"/>
    <w:rsid w:val="358C7DC0"/>
    <w:rsid w:val="358F6FBC"/>
    <w:rsid w:val="359C3047"/>
    <w:rsid w:val="35A641A2"/>
    <w:rsid w:val="35A724D9"/>
    <w:rsid w:val="35B37D5A"/>
    <w:rsid w:val="35F13FB7"/>
    <w:rsid w:val="3601459A"/>
    <w:rsid w:val="36114AAD"/>
    <w:rsid w:val="364A5093"/>
    <w:rsid w:val="36533707"/>
    <w:rsid w:val="367854DE"/>
    <w:rsid w:val="367960CA"/>
    <w:rsid w:val="36915E7C"/>
    <w:rsid w:val="36AA3289"/>
    <w:rsid w:val="36AA4783"/>
    <w:rsid w:val="36DB670B"/>
    <w:rsid w:val="36DE7E27"/>
    <w:rsid w:val="371F1F00"/>
    <w:rsid w:val="374B1842"/>
    <w:rsid w:val="37664469"/>
    <w:rsid w:val="378648BD"/>
    <w:rsid w:val="37AF1E91"/>
    <w:rsid w:val="37C1407A"/>
    <w:rsid w:val="37C73DD1"/>
    <w:rsid w:val="37CA0B94"/>
    <w:rsid w:val="37DE0C55"/>
    <w:rsid w:val="37DF43ED"/>
    <w:rsid w:val="37E25AAD"/>
    <w:rsid w:val="38052F77"/>
    <w:rsid w:val="38183355"/>
    <w:rsid w:val="381D337E"/>
    <w:rsid w:val="3824301F"/>
    <w:rsid w:val="384546E7"/>
    <w:rsid w:val="38571479"/>
    <w:rsid w:val="38602535"/>
    <w:rsid w:val="38681695"/>
    <w:rsid w:val="387F328A"/>
    <w:rsid w:val="38865C61"/>
    <w:rsid w:val="388F2112"/>
    <w:rsid w:val="38921044"/>
    <w:rsid w:val="38B3767A"/>
    <w:rsid w:val="38B40F4C"/>
    <w:rsid w:val="38CB48C3"/>
    <w:rsid w:val="38F94688"/>
    <w:rsid w:val="3917539B"/>
    <w:rsid w:val="39191561"/>
    <w:rsid w:val="393832C8"/>
    <w:rsid w:val="39435065"/>
    <w:rsid w:val="394D0EC6"/>
    <w:rsid w:val="39514B3E"/>
    <w:rsid w:val="39514EF1"/>
    <w:rsid w:val="395A077B"/>
    <w:rsid w:val="3962482A"/>
    <w:rsid w:val="398F3956"/>
    <w:rsid w:val="39936F67"/>
    <w:rsid w:val="39980C23"/>
    <w:rsid w:val="399D005A"/>
    <w:rsid w:val="39A70FE9"/>
    <w:rsid w:val="39B30B45"/>
    <w:rsid w:val="39D04297"/>
    <w:rsid w:val="39DA0F78"/>
    <w:rsid w:val="39DF27C6"/>
    <w:rsid w:val="3A1A0E55"/>
    <w:rsid w:val="3A2A3DED"/>
    <w:rsid w:val="3A3A07FF"/>
    <w:rsid w:val="3A4973AE"/>
    <w:rsid w:val="3A664F0B"/>
    <w:rsid w:val="3A823475"/>
    <w:rsid w:val="3AA903AE"/>
    <w:rsid w:val="3AB63910"/>
    <w:rsid w:val="3ACB084D"/>
    <w:rsid w:val="3ACD5AAF"/>
    <w:rsid w:val="3AEA76A7"/>
    <w:rsid w:val="3AEB2D22"/>
    <w:rsid w:val="3B05181F"/>
    <w:rsid w:val="3B11320D"/>
    <w:rsid w:val="3B2D4D75"/>
    <w:rsid w:val="3B4D1CBC"/>
    <w:rsid w:val="3B6D019F"/>
    <w:rsid w:val="3B8B17BD"/>
    <w:rsid w:val="3BB42566"/>
    <w:rsid w:val="3BC1072A"/>
    <w:rsid w:val="3BC33B2F"/>
    <w:rsid w:val="3BCF1C98"/>
    <w:rsid w:val="3BD3352E"/>
    <w:rsid w:val="3BDC6F34"/>
    <w:rsid w:val="3BE82BCA"/>
    <w:rsid w:val="3BEC4F27"/>
    <w:rsid w:val="3BFF0F29"/>
    <w:rsid w:val="3C0C5834"/>
    <w:rsid w:val="3C4F3BF0"/>
    <w:rsid w:val="3C5578A2"/>
    <w:rsid w:val="3C5B439C"/>
    <w:rsid w:val="3C6A482F"/>
    <w:rsid w:val="3C7771F5"/>
    <w:rsid w:val="3C7C5407"/>
    <w:rsid w:val="3C9F4C77"/>
    <w:rsid w:val="3CAC6E40"/>
    <w:rsid w:val="3CBC5A4C"/>
    <w:rsid w:val="3CC445B4"/>
    <w:rsid w:val="3CDE5151"/>
    <w:rsid w:val="3CDF572A"/>
    <w:rsid w:val="3CEE20D2"/>
    <w:rsid w:val="3D071F2F"/>
    <w:rsid w:val="3D3B2B1E"/>
    <w:rsid w:val="3D442FE1"/>
    <w:rsid w:val="3D4B5382"/>
    <w:rsid w:val="3D5744D5"/>
    <w:rsid w:val="3D63634B"/>
    <w:rsid w:val="3D800CCB"/>
    <w:rsid w:val="3D88683E"/>
    <w:rsid w:val="3D8A35B2"/>
    <w:rsid w:val="3D912F40"/>
    <w:rsid w:val="3D9C2199"/>
    <w:rsid w:val="3DB15B82"/>
    <w:rsid w:val="3DB96FC8"/>
    <w:rsid w:val="3DD7081E"/>
    <w:rsid w:val="3DDB44E9"/>
    <w:rsid w:val="3DE0381B"/>
    <w:rsid w:val="3DEE52A9"/>
    <w:rsid w:val="3E0A46EB"/>
    <w:rsid w:val="3E255E70"/>
    <w:rsid w:val="3E666121"/>
    <w:rsid w:val="3E772B7D"/>
    <w:rsid w:val="3E7B4F79"/>
    <w:rsid w:val="3E9775C9"/>
    <w:rsid w:val="3EDA3680"/>
    <w:rsid w:val="3EEE19EF"/>
    <w:rsid w:val="3F10519A"/>
    <w:rsid w:val="3F130815"/>
    <w:rsid w:val="3F1A7142"/>
    <w:rsid w:val="3F2C4315"/>
    <w:rsid w:val="3F4A2D38"/>
    <w:rsid w:val="3F647282"/>
    <w:rsid w:val="3F9631BC"/>
    <w:rsid w:val="3FA34990"/>
    <w:rsid w:val="3FAF1F3F"/>
    <w:rsid w:val="3FE67A94"/>
    <w:rsid w:val="3FEE1ACA"/>
    <w:rsid w:val="3FFA4C99"/>
    <w:rsid w:val="40251239"/>
    <w:rsid w:val="403951DE"/>
    <w:rsid w:val="403A67F8"/>
    <w:rsid w:val="405C2FBA"/>
    <w:rsid w:val="4090388F"/>
    <w:rsid w:val="40954E6A"/>
    <w:rsid w:val="40BE2D8E"/>
    <w:rsid w:val="40C91060"/>
    <w:rsid w:val="40CC5981"/>
    <w:rsid w:val="40D47EFF"/>
    <w:rsid w:val="40E50306"/>
    <w:rsid w:val="40EB436B"/>
    <w:rsid w:val="40FE256B"/>
    <w:rsid w:val="41002817"/>
    <w:rsid w:val="413B63E9"/>
    <w:rsid w:val="41CA060A"/>
    <w:rsid w:val="41E004D9"/>
    <w:rsid w:val="41FA6A08"/>
    <w:rsid w:val="42015EC4"/>
    <w:rsid w:val="420832FC"/>
    <w:rsid w:val="42091D7F"/>
    <w:rsid w:val="421758AD"/>
    <w:rsid w:val="421C08A9"/>
    <w:rsid w:val="42210A24"/>
    <w:rsid w:val="4269602B"/>
    <w:rsid w:val="427E22F4"/>
    <w:rsid w:val="42A70740"/>
    <w:rsid w:val="42A86E42"/>
    <w:rsid w:val="42B651C3"/>
    <w:rsid w:val="42BF6C11"/>
    <w:rsid w:val="42C433A6"/>
    <w:rsid w:val="42CF063F"/>
    <w:rsid w:val="42DC3604"/>
    <w:rsid w:val="4334045E"/>
    <w:rsid w:val="43A03F4A"/>
    <w:rsid w:val="43B96468"/>
    <w:rsid w:val="43D51E14"/>
    <w:rsid w:val="43FF4B92"/>
    <w:rsid w:val="44043EB2"/>
    <w:rsid w:val="44051CC5"/>
    <w:rsid w:val="4413082D"/>
    <w:rsid w:val="441F2C54"/>
    <w:rsid w:val="44261F32"/>
    <w:rsid w:val="442B480E"/>
    <w:rsid w:val="445414E4"/>
    <w:rsid w:val="447541C2"/>
    <w:rsid w:val="44D30A7F"/>
    <w:rsid w:val="44E979C7"/>
    <w:rsid w:val="44EB1C0E"/>
    <w:rsid w:val="44EF2326"/>
    <w:rsid w:val="44F6189C"/>
    <w:rsid w:val="4507403F"/>
    <w:rsid w:val="45087EA0"/>
    <w:rsid w:val="45246095"/>
    <w:rsid w:val="4535420B"/>
    <w:rsid w:val="453620A0"/>
    <w:rsid w:val="45387C99"/>
    <w:rsid w:val="45401677"/>
    <w:rsid w:val="454F0006"/>
    <w:rsid w:val="454F34C6"/>
    <w:rsid w:val="454F506C"/>
    <w:rsid w:val="45686977"/>
    <w:rsid w:val="456916BB"/>
    <w:rsid w:val="45704AC4"/>
    <w:rsid w:val="457A545B"/>
    <w:rsid w:val="458645C6"/>
    <w:rsid w:val="458B2C6E"/>
    <w:rsid w:val="458B7BBE"/>
    <w:rsid w:val="458F4AF1"/>
    <w:rsid w:val="45A71019"/>
    <w:rsid w:val="45A956DF"/>
    <w:rsid w:val="45B1743C"/>
    <w:rsid w:val="45BD3635"/>
    <w:rsid w:val="45CE5D42"/>
    <w:rsid w:val="45E308DF"/>
    <w:rsid w:val="45E94EC8"/>
    <w:rsid w:val="463529C1"/>
    <w:rsid w:val="4650186D"/>
    <w:rsid w:val="46546560"/>
    <w:rsid w:val="46586218"/>
    <w:rsid w:val="46602DE2"/>
    <w:rsid w:val="46852DA7"/>
    <w:rsid w:val="468B65D4"/>
    <w:rsid w:val="469A78E2"/>
    <w:rsid w:val="46A24D71"/>
    <w:rsid w:val="46BA073B"/>
    <w:rsid w:val="46BD2052"/>
    <w:rsid w:val="46C01520"/>
    <w:rsid w:val="46DA1E21"/>
    <w:rsid w:val="47051AB9"/>
    <w:rsid w:val="471321F8"/>
    <w:rsid w:val="47353C4E"/>
    <w:rsid w:val="473D759C"/>
    <w:rsid w:val="476E390B"/>
    <w:rsid w:val="47707849"/>
    <w:rsid w:val="47933A29"/>
    <w:rsid w:val="479A436E"/>
    <w:rsid w:val="47A03F60"/>
    <w:rsid w:val="47AE109C"/>
    <w:rsid w:val="47B74E19"/>
    <w:rsid w:val="47C116B4"/>
    <w:rsid w:val="47CA101F"/>
    <w:rsid w:val="47EF79ED"/>
    <w:rsid w:val="48137BD9"/>
    <w:rsid w:val="481E202B"/>
    <w:rsid w:val="482D0971"/>
    <w:rsid w:val="483D2BAE"/>
    <w:rsid w:val="487C6367"/>
    <w:rsid w:val="48B616F6"/>
    <w:rsid w:val="48F14384"/>
    <w:rsid w:val="490C34A1"/>
    <w:rsid w:val="491F0867"/>
    <w:rsid w:val="49501137"/>
    <w:rsid w:val="49556449"/>
    <w:rsid w:val="495907F0"/>
    <w:rsid w:val="496D0F49"/>
    <w:rsid w:val="49771FE8"/>
    <w:rsid w:val="49AB23A8"/>
    <w:rsid w:val="49BF49B3"/>
    <w:rsid w:val="49BF6B89"/>
    <w:rsid w:val="49E1380E"/>
    <w:rsid w:val="49FA4E07"/>
    <w:rsid w:val="49FA5B71"/>
    <w:rsid w:val="4A163E20"/>
    <w:rsid w:val="4A330D9A"/>
    <w:rsid w:val="4A7F315D"/>
    <w:rsid w:val="4A8D7F37"/>
    <w:rsid w:val="4A9670F2"/>
    <w:rsid w:val="4A993AE1"/>
    <w:rsid w:val="4A9C5AEE"/>
    <w:rsid w:val="4AAB53F7"/>
    <w:rsid w:val="4AB378E4"/>
    <w:rsid w:val="4ACC3C43"/>
    <w:rsid w:val="4AE82C2C"/>
    <w:rsid w:val="4B1714D2"/>
    <w:rsid w:val="4B2702F1"/>
    <w:rsid w:val="4B2C219C"/>
    <w:rsid w:val="4B40343E"/>
    <w:rsid w:val="4B472DC2"/>
    <w:rsid w:val="4B495A48"/>
    <w:rsid w:val="4B5B0EFE"/>
    <w:rsid w:val="4B7C64BD"/>
    <w:rsid w:val="4BBB137F"/>
    <w:rsid w:val="4BDB77CD"/>
    <w:rsid w:val="4BDE5033"/>
    <w:rsid w:val="4BE1217B"/>
    <w:rsid w:val="4C353422"/>
    <w:rsid w:val="4C511AB1"/>
    <w:rsid w:val="4C5850C9"/>
    <w:rsid w:val="4C8D2CD1"/>
    <w:rsid w:val="4CBA1C35"/>
    <w:rsid w:val="4CC43565"/>
    <w:rsid w:val="4CD6335F"/>
    <w:rsid w:val="4CDE65FD"/>
    <w:rsid w:val="4CF20E43"/>
    <w:rsid w:val="4CF50E67"/>
    <w:rsid w:val="4D195892"/>
    <w:rsid w:val="4D2F5D19"/>
    <w:rsid w:val="4D334B3E"/>
    <w:rsid w:val="4D56174F"/>
    <w:rsid w:val="4D882990"/>
    <w:rsid w:val="4D907758"/>
    <w:rsid w:val="4DE50468"/>
    <w:rsid w:val="4DEB6377"/>
    <w:rsid w:val="4DF43743"/>
    <w:rsid w:val="4E007842"/>
    <w:rsid w:val="4E02570B"/>
    <w:rsid w:val="4E5664DB"/>
    <w:rsid w:val="4E971034"/>
    <w:rsid w:val="4EA96BE4"/>
    <w:rsid w:val="4ED36328"/>
    <w:rsid w:val="4EDE6BA2"/>
    <w:rsid w:val="4F165C0E"/>
    <w:rsid w:val="4F253F6B"/>
    <w:rsid w:val="4F466BFF"/>
    <w:rsid w:val="4F46798F"/>
    <w:rsid w:val="4F5E29C6"/>
    <w:rsid w:val="4F7251DF"/>
    <w:rsid w:val="4F89781D"/>
    <w:rsid w:val="4FA07618"/>
    <w:rsid w:val="4FA265A0"/>
    <w:rsid w:val="4FA87858"/>
    <w:rsid w:val="4FA94864"/>
    <w:rsid w:val="4FC95702"/>
    <w:rsid w:val="4FD01E59"/>
    <w:rsid w:val="4FDA6330"/>
    <w:rsid w:val="4FFD01BE"/>
    <w:rsid w:val="4FFF780B"/>
    <w:rsid w:val="50015B2F"/>
    <w:rsid w:val="50027F54"/>
    <w:rsid w:val="501B0FF0"/>
    <w:rsid w:val="501F3272"/>
    <w:rsid w:val="50486309"/>
    <w:rsid w:val="504B777F"/>
    <w:rsid w:val="504D57CC"/>
    <w:rsid w:val="50565B98"/>
    <w:rsid w:val="50587E70"/>
    <w:rsid w:val="506A549A"/>
    <w:rsid w:val="507C63E4"/>
    <w:rsid w:val="508A22BE"/>
    <w:rsid w:val="50AC3113"/>
    <w:rsid w:val="50BE12B7"/>
    <w:rsid w:val="50C04A97"/>
    <w:rsid w:val="50C10EFD"/>
    <w:rsid w:val="50DB1158"/>
    <w:rsid w:val="50DE7294"/>
    <w:rsid w:val="50EF5DDB"/>
    <w:rsid w:val="510C6BB6"/>
    <w:rsid w:val="511F28AF"/>
    <w:rsid w:val="51204F9A"/>
    <w:rsid w:val="513D3BB5"/>
    <w:rsid w:val="51611A91"/>
    <w:rsid w:val="517F1018"/>
    <w:rsid w:val="518123A2"/>
    <w:rsid w:val="51AA62C2"/>
    <w:rsid w:val="51C95131"/>
    <w:rsid w:val="51C961E4"/>
    <w:rsid w:val="51E00EF4"/>
    <w:rsid w:val="51E46F55"/>
    <w:rsid w:val="52153366"/>
    <w:rsid w:val="52302B45"/>
    <w:rsid w:val="523245B5"/>
    <w:rsid w:val="52451734"/>
    <w:rsid w:val="52471133"/>
    <w:rsid w:val="52505FAE"/>
    <w:rsid w:val="526C26D2"/>
    <w:rsid w:val="5280120B"/>
    <w:rsid w:val="529835F1"/>
    <w:rsid w:val="52AE6246"/>
    <w:rsid w:val="52E53A0C"/>
    <w:rsid w:val="5314680E"/>
    <w:rsid w:val="531574C9"/>
    <w:rsid w:val="53176CAF"/>
    <w:rsid w:val="531A19AC"/>
    <w:rsid w:val="532F0F33"/>
    <w:rsid w:val="534143DA"/>
    <w:rsid w:val="535E1F0E"/>
    <w:rsid w:val="536A66B4"/>
    <w:rsid w:val="53855A83"/>
    <w:rsid w:val="5386220C"/>
    <w:rsid w:val="53B319D0"/>
    <w:rsid w:val="53C00F95"/>
    <w:rsid w:val="53C90F08"/>
    <w:rsid w:val="53EB0E6E"/>
    <w:rsid w:val="53F801CD"/>
    <w:rsid w:val="54060158"/>
    <w:rsid w:val="54083590"/>
    <w:rsid w:val="541625A2"/>
    <w:rsid w:val="54172E6B"/>
    <w:rsid w:val="54263482"/>
    <w:rsid w:val="542C69C4"/>
    <w:rsid w:val="54367234"/>
    <w:rsid w:val="54492606"/>
    <w:rsid w:val="544C7B7A"/>
    <w:rsid w:val="5458288D"/>
    <w:rsid w:val="545A390C"/>
    <w:rsid w:val="545C58E0"/>
    <w:rsid w:val="5461449C"/>
    <w:rsid w:val="54672898"/>
    <w:rsid w:val="54722BEC"/>
    <w:rsid w:val="548310C1"/>
    <w:rsid w:val="54A81802"/>
    <w:rsid w:val="54F35775"/>
    <w:rsid w:val="550127D3"/>
    <w:rsid w:val="55103781"/>
    <w:rsid w:val="551414DD"/>
    <w:rsid w:val="55335529"/>
    <w:rsid w:val="553430B5"/>
    <w:rsid w:val="55373E91"/>
    <w:rsid w:val="55645D26"/>
    <w:rsid w:val="55770AEE"/>
    <w:rsid w:val="557C2A41"/>
    <w:rsid w:val="558714A4"/>
    <w:rsid w:val="55BA3140"/>
    <w:rsid w:val="55BC1A29"/>
    <w:rsid w:val="55C50041"/>
    <w:rsid w:val="55D7533E"/>
    <w:rsid w:val="55D96EB3"/>
    <w:rsid w:val="55FC3781"/>
    <w:rsid w:val="56031F9A"/>
    <w:rsid w:val="560B555F"/>
    <w:rsid w:val="56504D2C"/>
    <w:rsid w:val="5667033B"/>
    <w:rsid w:val="56772939"/>
    <w:rsid w:val="56877B05"/>
    <w:rsid w:val="5690586F"/>
    <w:rsid w:val="569F2A97"/>
    <w:rsid w:val="56A967B0"/>
    <w:rsid w:val="56C31864"/>
    <w:rsid w:val="56C55817"/>
    <w:rsid w:val="56FF5D6B"/>
    <w:rsid w:val="57022E36"/>
    <w:rsid w:val="5703605C"/>
    <w:rsid w:val="570A6AD4"/>
    <w:rsid w:val="57400823"/>
    <w:rsid w:val="57C16CD3"/>
    <w:rsid w:val="57C426D2"/>
    <w:rsid w:val="57C50634"/>
    <w:rsid w:val="57D7115C"/>
    <w:rsid w:val="57E57495"/>
    <w:rsid w:val="57F47722"/>
    <w:rsid w:val="58036937"/>
    <w:rsid w:val="580C16BC"/>
    <w:rsid w:val="581D1E9C"/>
    <w:rsid w:val="58233A83"/>
    <w:rsid w:val="5828704E"/>
    <w:rsid w:val="583C521F"/>
    <w:rsid w:val="583D1FF5"/>
    <w:rsid w:val="58685B6B"/>
    <w:rsid w:val="586D77DA"/>
    <w:rsid w:val="588C61C7"/>
    <w:rsid w:val="58907DDB"/>
    <w:rsid w:val="58965AA6"/>
    <w:rsid w:val="58D83FE5"/>
    <w:rsid w:val="58DF7508"/>
    <w:rsid w:val="590C6DC1"/>
    <w:rsid w:val="59123248"/>
    <w:rsid w:val="59185F53"/>
    <w:rsid w:val="592D28FE"/>
    <w:rsid w:val="59361D3E"/>
    <w:rsid w:val="59386837"/>
    <w:rsid w:val="593C30AF"/>
    <w:rsid w:val="59502131"/>
    <w:rsid w:val="595155A1"/>
    <w:rsid w:val="595A48AE"/>
    <w:rsid w:val="59666E68"/>
    <w:rsid w:val="59740500"/>
    <w:rsid w:val="598C1F7E"/>
    <w:rsid w:val="59A97821"/>
    <w:rsid w:val="59AB2560"/>
    <w:rsid w:val="59BB4871"/>
    <w:rsid w:val="59BC0DF0"/>
    <w:rsid w:val="59D22F28"/>
    <w:rsid w:val="59D52B52"/>
    <w:rsid w:val="5A061556"/>
    <w:rsid w:val="5A123274"/>
    <w:rsid w:val="5A1279F1"/>
    <w:rsid w:val="5A220EF2"/>
    <w:rsid w:val="5A2A3D73"/>
    <w:rsid w:val="5A2C2067"/>
    <w:rsid w:val="5A2F4947"/>
    <w:rsid w:val="5A4B368F"/>
    <w:rsid w:val="5A535777"/>
    <w:rsid w:val="5A5C546B"/>
    <w:rsid w:val="5A666A46"/>
    <w:rsid w:val="5A691720"/>
    <w:rsid w:val="5A6A1C3E"/>
    <w:rsid w:val="5A6F6D47"/>
    <w:rsid w:val="5A826B9C"/>
    <w:rsid w:val="5A8B2F7A"/>
    <w:rsid w:val="5ABC5F4E"/>
    <w:rsid w:val="5AD520AA"/>
    <w:rsid w:val="5ADC7808"/>
    <w:rsid w:val="5B014ECC"/>
    <w:rsid w:val="5B1B120D"/>
    <w:rsid w:val="5B270969"/>
    <w:rsid w:val="5B2D25F7"/>
    <w:rsid w:val="5B2E2D56"/>
    <w:rsid w:val="5B315168"/>
    <w:rsid w:val="5B4470B3"/>
    <w:rsid w:val="5B461E5C"/>
    <w:rsid w:val="5B5B4388"/>
    <w:rsid w:val="5B747C70"/>
    <w:rsid w:val="5BC918A5"/>
    <w:rsid w:val="5BDE1936"/>
    <w:rsid w:val="5BE53D47"/>
    <w:rsid w:val="5BE8237F"/>
    <w:rsid w:val="5BF9000B"/>
    <w:rsid w:val="5C0E75BA"/>
    <w:rsid w:val="5C1605DF"/>
    <w:rsid w:val="5C177A2F"/>
    <w:rsid w:val="5C1E271F"/>
    <w:rsid w:val="5C346D9B"/>
    <w:rsid w:val="5C3E60B9"/>
    <w:rsid w:val="5C434B63"/>
    <w:rsid w:val="5C4922F0"/>
    <w:rsid w:val="5C4C2067"/>
    <w:rsid w:val="5C4F4657"/>
    <w:rsid w:val="5C571416"/>
    <w:rsid w:val="5C693649"/>
    <w:rsid w:val="5C7D75B3"/>
    <w:rsid w:val="5C8D6AE5"/>
    <w:rsid w:val="5CA476A8"/>
    <w:rsid w:val="5CB907CF"/>
    <w:rsid w:val="5CD011CB"/>
    <w:rsid w:val="5CD641B4"/>
    <w:rsid w:val="5CD843E6"/>
    <w:rsid w:val="5CF00753"/>
    <w:rsid w:val="5D2D41C8"/>
    <w:rsid w:val="5D33784E"/>
    <w:rsid w:val="5D3408C0"/>
    <w:rsid w:val="5D35057F"/>
    <w:rsid w:val="5D5655B7"/>
    <w:rsid w:val="5D5805F6"/>
    <w:rsid w:val="5D61515E"/>
    <w:rsid w:val="5D6C1279"/>
    <w:rsid w:val="5D7059ED"/>
    <w:rsid w:val="5D781EE8"/>
    <w:rsid w:val="5D832E5B"/>
    <w:rsid w:val="5DA0062D"/>
    <w:rsid w:val="5DC93781"/>
    <w:rsid w:val="5DE54607"/>
    <w:rsid w:val="5E1A6DA6"/>
    <w:rsid w:val="5E1D4047"/>
    <w:rsid w:val="5E222043"/>
    <w:rsid w:val="5E3E561C"/>
    <w:rsid w:val="5E5B31A2"/>
    <w:rsid w:val="5E6A5A10"/>
    <w:rsid w:val="5E777437"/>
    <w:rsid w:val="5E807041"/>
    <w:rsid w:val="5E8465F7"/>
    <w:rsid w:val="5E9A18E4"/>
    <w:rsid w:val="5EA37552"/>
    <w:rsid w:val="5EA81A9B"/>
    <w:rsid w:val="5EB07A37"/>
    <w:rsid w:val="5EBD4A02"/>
    <w:rsid w:val="5EC82FA5"/>
    <w:rsid w:val="5ED65D4A"/>
    <w:rsid w:val="5ED820F2"/>
    <w:rsid w:val="5F0345CC"/>
    <w:rsid w:val="5F230D14"/>
    <w:rsid w:val="5F273940"/>
    <w:rsid w:val="5F2916BE"/>
    <w:rsid w:val="5F30704B"/>
    <w:rsid w:val="5F4D3B16"/>
    <w:rsid w:val="5F604359"/>
    <w:rsid w:val="5F941C35"/>
    <w:rsid w:val="5FC5080C"/>
    <w:rsid w:val="5FC94CDE"/>
    <w:rsid w:val="5FD14CCF"/>
    <w:rsid w:val="5FEC41CA"/>
    <w:rsid w:val="5FF96CA0"/>
    <w:rsid w:val="60073B4E"/>
    <w:rsid w:val="602748EC"/>
    <w:rsid w:val="60397199"/>
    <w:rsid w:val="60537930"/>
    <w:rsid w:val="6067739E"/>
    <w:rsid w:val="60834337"/>
    <w:rsid w:val="60C9659B"/>
    <w:rsid w:val="60DE7850"/>
    <w:rsid w:val="60E0481E"/>
    <w:rsid w:val="615634A3"/>
    <w:rsid w:val="615A25DC"/>
    <w:rsid w:val="61654AA1"/>
    <w:rsid w:val="616A0674"/>
    <w:rsid w:val="616B5B40"/>
    <w:rsid w:val="617F293B"/>
    <w:rsid w:val="61831356"/>
    <w:rsid w:val="61931498"/>
    <w:rsid w:val="61AA2560"/>
    <w:rsid w:val="61BA3FB7"/>
    <w:rsid w:val="61D07E78"/>
    <w:rsid w:val="61DC6274"/>
    <w:rsid w:val="62083349"/>
    <w:rsid w:val="62182841"/>
    <w:rsid w:val="621E2916"/>
    <w:rsid w:val="62213177"/>
    <w:rsid w:val="622545A9"/>
    <w:rsid w:val="62503271"/>
    <w:rsid w:val="626503C2"/>
    <w:rsid w:val="627D3486"/>
    <w:rsid w:val="62AB5F43"/>
    <w:rsid w:val="62BE51A1"/>
    <w:rsid w:val="62F16A36"/>
    <w:rsid w:val="62F262CF"/>
    <w:rsid w:val="62F56124"/>
    <w:rsid w:val="62F86594"/>
    <w:rsid w:val="630B5283"/>
    <w:rsid w:val="631F13B0"/>
    <w:rsid w:val="633D541B"/>
    <w:rsid w:val="633F3C17"/>
    <w:rsid w:val="63601B1B"/>
    <w:rsid w:val="63652C03"/>
    <w:rsid w:val="63857FB5"/>
    <w:rsid w:val="63966CA1"/>
    <w:rsid w:val="639D3D03"/>
    <w:rsid w:val="63A66727"/>
    <w:rsid w:val="63CB1E25"/>
    <w:rsid w:val="63D86478"/>
    <w:rsid w:val="63D96F96"/>
    <w:rsid w:val="63E62A0E"/>
    <w:rsid w:val="64122E0B"/>
    <w:rsid w:val="642248D5"/>
    <w:rsid w:val="642E68BE"/>
    <w:rsid w:val="646C3855"/>
    <w:rsid w:val="647E40C1"/>
    <w:rsid w:val="64A500D0"/>
    <w:rsid w:val="64C846DC"/>
    <w:rsid w:val="64D84ED0"/>
    <w:rsid w:val="64E13E8E"/>
    <w:rsid w:val="64E24784"/>
    <w:rsid w:val="64E95A2C"/>
    <w:rsid w:val="64ED595B"/>
    <w:rsid w:val="64F24FEC"/>
    <w:rsid w:val="65084E1F"/>
    <w:rsid w:val="6516559F"/>
    <w:rsid w:val="653531E2"/>
    <w:rsid w:val="65521111"/>
    <w:rsid w:val="65666D27"/>
    <w:rsid w:val="656E628B"/>
    <w:rsid w:val="65704F6E"/>
    <w:rsid w:val="657B402C"/>
    <w:rsid w:val="657F526D"/>
    <w:rsid w:val="65816032"/>
    <w:rsid w:val="65885DDB"/>
    <w:rsid w:val="659A5518"/>
    <w:rsid w:val="65AC102A"/>
    <w:rsid w:val="65B51ADB"/>
    <w:rsid w:val="65EB09E3"/>
    <w:rsid w:val="65F60C6D"/>
    <w:rsid w:val="65FA2DEB"/>
    <w:rsid w:val="65FA7AD3"/>
    <w:rsid w:val="65FD018D"/>
    <w:rsid w:val="66064613"/>
    <w:rsid w:val="66072A03"/>
    <w:rsid w:val="66137FE7"/>
    <w:rsid w:val="66237516"/>
    <w:rsid w:val="662C3DD0"/>
    <w:rsid w:val="66884EE8"/>
    <w:rsid w:val="6697603A"/>
    <w:rsid w:val="669F4527"/>
    <w:rsid w:val="66A35D89"/>
    <w:rsid w:val="66DA6811"/>
    <w:rsid w:val="66E75B1C"/>
    <w:rsid w:val="66EA502E"/>
    <w:rsid w:val="66F43777"/>
    <w:rsid w:val="67193D38"/>
    <w:rsid w:val="67292082"/>
    <w:rsid w:val="674C4999"/>
    <w:rsid w:val="675046C1"/>
    <w:rsid w:val="67532720"/>
    <w:rsid w:val="6762500B"/>
    <w:rsid w:val="67696832"/>
    <w:rsid w:val="67756018"/>
    <w:rsid w:val="67846763"/>
    <w:rsid w:val="67895FB6"/>
    <w:rsid w:val="67904030"/>
    <w:rsid w:val="6791369E"/>
    <w:rsid w:val="679403C3"/>
    <w:rsid w:val="67AF590D"/>
    <w:rsid w:val="67BA097C"/>
    <w:rsid w:val="67BC7EC7"/>
    <w:rsid w:val="67DB5483"/>
    <w:rsid w:val="67E84091"/>
    <w:rsid w:val="68111002"/>
    <w:rsid w:val="681111AE"/>
    <w:rsid w:val="681D0959"/>
    <w:rsid w:val="68286875"/>
    <w:rsid w:val="682A5905"/>
    <w:rsid w:val="682F6540"/>
    <w:rsid w:val="685369C4"/>
    <w:rsid w:val="686A5863"/>
    <w:rsid w:val="687C76FB"/>
    <w:rsid w:val="68903200"/>
    <w:rsid w:val="68975950"/>
    <w:rsid w:val="68E33450"/>
    <w:rsid w:val="68F0094B"/>
    <w:rsid w:val="68F54107"/>
    <w:rsid w:val="68FB7DA3"/>
    <w:rsid w:val="69035A88"/>
    <w:rsid w:val="69063000"/>
    <w:rsid w:val="691113C4"/>
    <w:rsid w:val="691B3DD3"/>
    <w:rsid w:val="692F2323"/>
    <w:rsid w:val="694701B7"/>
    <w:rsid w:val="695A2099"/>
    <w:rsid w:val="69690F91"/>
    <w:rsid w:val="6981275D"/>
    <w:rsid w:val="69B76638"/>
    <w:rsid w:val="69C8207C"/>
    <w:rsid w:val="69D54093"/>
    <w:rsid w:val="69E40B4B"/>
    <w:rsid w:val="69F87229"/>
    <w:rsid w:val="6A17484B"/>
    <w:rsid w:val="6A197001"/>
    <w:rsid w:val="6A26371D"/>
    <w:rsid w:val="6A3757D2"/>
    <w:rsid w:val="6A3D57E5"/>
    <w:rsid w:val="6A3E0EFE"/>
    <w:rsid w:val="6A434319"/>
    <w:rsid w:val="6A454B62"/>
    <w:rsid w:val="6A5E0BE8"/>
    <w:rsid w:val="6A7B66D6"/>
    <w:rsid w:val="6ACD6CCF"/>
    <w:rsid w:val="6AD522D0"/>
    <w:rsid w:val="6B1C2DDB"/>
    <w:rsid w:val="6B1E193D"/>
    <w:rsid w:val="6B37107E"/>
    <w:rsid w:val="6B400775"/>
    <w:rsid w:val="6B447A1E"/>
    <w:rsid w:val="6B695155"/>
    <w:rsid w:val="6B6F0730"/>
    <w:rsid w:val="6B8C12CF"/>
    <w:rsid w:val="6B9A2882"/>
    <w:rsid w:val="6B9B3FE1"/>
    <w:rsid w:val="6BD4653A"/>
    <w:rsid w:val="6BD665F1"/>
    <w:rsid w:val="6BDE729D"/>
    <w:rsid w:val="6BE46B34"/>
    <w:rsid w:val="6BED3D4B"/>
    <w:rsid w:val="6BED5558"/>
    <w:rsid w:val="6C20690D"/>
    <w:rsid w:val="6C293035"/>
    <w:rsid w:val="6C3049F2"/>
    <w:rsid w:val="6C3338AC"/>
    <w:rsid w:val="6C507572"/>
    <w:rsid w:val="6C617D75"/>
    <w:rsid w:val="6C732C19"/>
    <w:rsid w:val="6C7B6918"/>
    <w:rsid w:val="6C9539B8"/>
    <w:rsid w:val="6CA715EC"/>
    <w:rsid w:val="6CCD6AD8"/>
    <w:rsid w:val="6CD171EC"/>
    <w:rsid w:val="6CFE1B3B"/>
    <w:rsid w:val="6D161D6C"/>
    <w:rsid w:val="6D210C89"/>
    <w:rsid w:val="6D2331E4"/>
    <w:rsid w:val="6D280D10"/>
    <w:rsid w:val="6D301294"/>
    <w:rsid w:val="6D5362F6"/>
    <w:rsid w:val="6D53764C"/>
    <w:rsid w:val="6D747820"/>
    <w:rsid w:val="6D8D6606"/>
    <w:rsid w:val="6D946E30"/>
    <w:rsid w:val="6DB15EF2"/>
    <w:rsid w:val="6DBF582D"/>
    <w:rsid w:val="6DE4695A"/>
    <w:rsid w:val="6DF25F63"/>
    <w:rsid w:val="6DFE0061"/>
    <w:rsid w:val="6E056DCB"/>
    <w:rsid w:val="6E1560C9"/>
    <w:rsid w:val="6E3F44C7"/>
    <w:rsid w:val="6E5B67B7"/>
    <w:rsid w:val="6E86019E"/>
    <w:rsid w:val="6E8A1089"/>
    <w:rsid w:val="6E9135AB"/>
    <w:rsid w:val="6E9C5755"/>
    <w:rsid w:val="6EA51E74"/>
    <w:rsid w:val="6ECF4229"/>
    <w:rsid w:val="6ED11BF0"/>
    <w:rsid w:val="6EEA7B0B"/>
    <w:rsid w:val="6EF01DD2"/>
    <w:rsid w:val="6F2E37E9"/>
    <w:rsid w:val="6F4B3D28"/>
    <w:rsid w:val="6F4E7177"/>
    <w:rsid w:val="6F500ED6"/>
    <w:rsid w:val="6F503B5A"/>
    <w:rsid w:val="6F522B17"/>
    <w:rsid w:val="6F6F5FD0"/>
    <w:rsid w:val="6F8125D9"/>
    <w:rsid w:val="6FA823A9"/>
    <w:rsid w:val="6FAA220E"/>
    <w:rsid w:val="6FAA5516"/>
    <w:rsid w:val="6FB327C2"/>
    <w:rsid w:val="6FB44689"/>
    <w:rsid w:val="6FC508F0"/>
    <w:rsid w:val="6FC80D74"/>
    <w:rsid w:val="70044AFC"/>
    <w:rsid w:val="700F70C6"/>
    <w:rsid w:val="7039329C"/>
    <w:rsid w:val="703C6618"/>
    <w:rsid w:val="708512D5"/>
    <w:rsid w:val="708F0F0D"/>
    <w:rsid w:val="709B234C"/>
    <w:rsid w:val="70A83C81"/>
    <w:rsid w:val="70AD7AA3"/>
    <w:rsid w:val="70B22FBA"/>
    <w:rsid w:val="70BF03FE"/>
    <w:rsid w:val="70CA5256"/>
    <w:rsid w:val="70ED31E8"/>
    <w:rsid w:val="70FD3948"/>
    <w:rsid w:val="71087693"/>
    <w:rsid w:val="711E7697"/>
    <w:rsid w:val="715031BC"/>
    <w:rsid w:val="715864EC"/>
    <w:rsid w:val="71774E52"/>
    <w:rsid w:val="719F412D"/>
    <w:rsid w:val="71A20DDA"/>
    <w:rsid w:val="71BE08CE"/>
    <w:rsid w:val="71D12127"/>
    <w:rsid w:val="71D67F73"/>
    <w:rsid w:val="72272DF7"/>
    <w:rsid w:val="72286D41"/>
    <w:rsid w:val="7238667E"/>
    <w:rsid w:val="726F6875"/>
    <w:rsid w:val="727F14B7"/>
    <w:rsid w:val="72BE26D7"/>
    <w:rsid w:val="72CC2293"/>
    <w:rsid w:val="72D54C56"/>
    <w:rsid w:val="72E32AC3"/>
    <w:rsid w:val="731C0071"/>
    <w:rsid w:val="733D4F3F"/>
    <w:rsid w:val="7350021F"/>
    <w:rsid w:val="73897459"/>
    <w:rsid w:val="73C1312B"/>
    <w:rsid w:val="73C946D4"/>
    <w:rsid w:val="73E755EF"/>
    <w:rsid w:val="73F422A6"/>
    <w:rsid w:val="73FE0D4D"/>
    <w:rsid w:val="73FF65BF"/>
    <w:rsid w:val="74094D52"/>
    <w:rsid w:val="740E4706"/>
    <w:rsid w:val="74103A08"/>
    <w:rsid w:val="741E27E9"/>
    <w:rsid w:val="74284B26"/>
    <w:rsid w:val="742C3CA9"/>
    <w:rsid w:val="743108AB"/>
    <w:rsid w:val="743621D4"/>
    <w:rsid w:val="743C4516"/>
    <w:rsid w:val="74454892"/>
    <w:rsid w:val="744B7508"/>
    <w:rsid w:val="745C573B"/>
    <w:rsid w:val="74621A5A"/>
    <w:rsid w:val="746954BC"/>
    <w:rsid w:val="746D3987"/>
    <w:rsid w:val="74737AC8"/>
    <w:rsid w:val="74832E28"/>
    <w:rsid w:val="7498044D"/>
    <w:rsid w:val="749A1354"/>
    <w:rsid w:val="74A35FB1"/>
    <w:rsid w:val="74BA79F2"/>
    <w:rsid w:val="74C809B4"/>
    <w:rsid w:val="74F5650C"/>
    <w:rsid w:val="74FE7E59"/>
    <w:rsid w:val="75344D31"/>
    <w:rsid w:val="753E669B"/>
    <w:rsid w:val="75470DC6"/>
    <w:rsid w:val="75526C8F"/>
    <w:rsid w:val="755574DB"/>
    <w:rsid w:val="756044E5"/>
    <w:rsid w:val="75636F71"/>
    <w:rsid w:val="75692A62"/>
    <w:rsid w:val="756B4E3F"/>
    <w:rsid w:val="75791F71"/>
    <w:rsid w:val="759377EB"/>
    <w:rsid w:val="75AB5A0E"/>
    <w:rsid w:val="75B25DEA"/>
    <w:rsid w:val="75F8229B"/>
    <w:rsid w:val="760500CE"/>
    <w:rsid w:val="76280144"/>
    <w:rsid w:val="763E5350"/>
    <w:rsid w:val="7641434D"/>
    <w:rsid w:val="764B7483"/>
    <w:rsid w:val="76715715"/>
    <w:rsid w:val="768E6B05"/>
    <w:rsid w:val="769569ED"/>
    <w:rsid w:val="769E2C38"/>
    <w:rsid w:val="76B27CDC"/>
    <w:rsid w:val="76BB02A6"/>
    <w:rsid w:val="76C27AE5"/>
    <w:rsid w:val="76C27B61"/>
    <w:rsid w:val="76C317DC"/>
    <w:rsid w:val="76D806F2"/>
    <w:rsid w:val="76E6340A"/>
    <w:rsid w:val="76F34963"/>
    <w:rsid w:val="770859F9"/>
    <w:rsid w:val="772C33B9"/>
    <w:rsid w:val="773B0EC9"/>
    <w:rsid w:val="773B391B"/>
    <w:rsid w:val="77405D33"/>
    <w:rsid w:val="775D1967"/>
    <w:rsid w:val="775F0E43"/>
    <w:rsid w:val="777D06F8"/>
    <w:rsid w:val="778117A9"/>
    <w:rsid w:val="77967F4B"/>
    <w:rsid w:val="77A02910"/>
    <w:rsid w:val="77A57FDE"/>
    <w:rsid w:val="77B80D7D"/>
    <w:rsid w:val="77C44696"/>
    <w:rsid w:val="77CC4440"/>
    <w:rsid w:val="77D11476"/>
    <w:rsid w:val="77F303A0"/>
    <w:rsid w:val="780A2617"/>
    <w:rsid w:val="78432B1F"/>
    <w:rsid w:val="785D3DA2"/>
    <w:rsid w:val="7881024C"/>
    <w:rsid w:val="788D2EF9"/>
    <w:rsid w:val="789A4F47"/>
    <w:rsid w:val="78BE3B45"/>
    <w:rsid w:val="78F638E6"/>
    <w:rsid w:val="78FD0EFA"/>
    <w:rsid w:val="790C6EF5"/>
    <w:rsid w:val="795C2137"/>
    <w:rsid w:val="79650379"/>
    <w:rsid w:val="797768FB"/>
    <w:rsid w:val="7996790C"/>
    <w:rsid w:val="79B63EF4"/>
    <w:rsid w:val="79C67D65"/>
    <w:rsid w:val="79D856E7"/>
    <w:rsid w:val="79DC546D"/>
    <w:rsid w:val="79F141AB"/>
    <w:rsid w:val="79FB2E35"/>
    <w:rsid w:val="7A067907"/>
    <w:rsid w:val="7A186434"/>
    <w:rsid w:val="7A1D49A0"/>
    <w:rsid w:val="7A2606F4"/>
    <w:rsid w:val="7A296250"/>
    <w:rsid w:val="7A2D1D74"/>
    <w:rsid w:val="7A2E2130"/>
    <w:rsid w:val="7A2E7BB6"/>
    <w:rsid w:val="7A3156C9"/>
    <w:rsid w:val="7A4E6FD0"/>
    <w:rsid w:val="7A6C208A"/>
    <w:rsid w:val="7A7C4678"/>
    <w:rsid w:val="7A862D46"/>
    <w:rsid w:val="7A993DB9"/>
    <w:rsid w:val="7AA3086F"/>
    <w:rsid w:val="7AB2425F"/>
    <w:rsid w:val="7AE27408"/>
    <w:rsid w:val="7AE9738C"/>
    <w:rsid w:val="7B021B79"/>
    <w:rsid w:val="7B131164"/>
    <w:rsid w:val="7B2420CA"/>
    <w:rsid w:val="7B340653"/>
    <w:rsid w:val="7B600127"/>
    <w:rsid w:val="7B636E06"/>
    <w:rsid w:val="7BB50009"/>
    <w:rsid w:val="7BE618D9"/>
    <w:rsid w:val="7BEF231E"/>
    <w:rsid w:val="7BF04A8B"/>
    <w:rsid w:val="7BFC2ABA"/>
    <w:rsid w:val="7C090106"/>
    <w:rsid w:val="7C23760C"/>
    <w:rsid w:val="7C280910"/>
    <w:rsid w:val="7C2A1607"/>
    <w:rsid w:val="7C3E051A"/>
    <w:rsid w:val="7C4513AD"/>
    <w:rsid w:val="7C4D313B"/>
    <w:rsid w:val="7C4E46CE"/>
    <w:rsid w:val="7C557769"/>
    <w:rsid w:val="7C6128BB"/>
    <w:rsid w:val="7C7025AC"/>
    <w:rsid w:val="7C731A8E"/>
    <w:rsid w:val="7C7A3ED8"/>
    <w:rsid w:val="7CA03DE4"/>
    <w:rsid w:val="7CC44462"/>
    <w:rsid w:val="7CEC4E33"/>
    <w:rsid w:val="7CFD2025"/>
    <w:rsid w:val="7D0A5AD6"/>
    <w:rsid w:val="7D164B93"/>
    <w:rsid w:val="7D2F2D47"/>
    <w:rsid w:val="7D505560"/>
    <w:rsid w:val="7D66776D"/>
    <w:rsid w:val="7D72600D"/>
    <w:rsid w:val="7D813B88"/>
    <w:rsid w:val="7D992678"/>
    <w:rsid w:val="7DB37EFE"/>
    <w:rsid w:val="7DC65431"/>
    <w:rsid w:val="7DD5297B"/>
    <w:rsid w:val="7E0F51A4"/>
    <w:rsid w:val="7E2A781B"/>
    <w:rsid w:val="7E510E2A"/>
    <w:rsid w:val="7E56380C"/>
    <w:rsid w:val="7E5D08D4"/>
    <w:rsid w:val="7E650FE8"/>
    <w:rsid w:val="7E7D7B3B"/>
    <w:rsid w:val="7E7F367F"/>
    <w:rsid w:val="7E944005"/>
    <w:rsid w:val="7EA7171E"/>
    <w:rsid w:val="7EB714D2"/>
    <w:rsid w:val="7EC00686"/>
    <w:rsid w:val="7EC45344"/>
    <w:rsid w:val="7ECF1465"/>
    <w:rsid w:val="7EDE1456"/>
    <w:rsid w:val="7F173010"/>
    <w:rsid w:val="7F1B3343"/>
    <w:rsid w:val="7F1F30F8"/>
    <w:rsid w:val="7F460374"/>
    <w:rsid w:val="7F472293"/>
    <w:rsid w:val="7F591C70"/>
    <w:rsid w:val="7F61066F"/>
    <w:rsid w:val="7F8F1AAD"/>
    <w:rsid w:val="7F905955"/>
    <w:rsid w:val="7FA64ADC"/>
    <w:rsid w:val="7FAC59B7"/>
    <w:rsid w:val="7FB33A90"/>
    <w:rsid w:val="7FDB6B4C"/>
    <w:rsid w:val="7FE019E7"/>
    <w:rsid w:val="7FEC0E6B"/>
    <w:rsid w:val="7FF37A7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0" w:semiHidden="0" w:name="toc 4"/>
    <w:lsdException w:qFormat="1" w:uiPriority="0" w:semiHidden="0" w:name="toc 5"/>
    <w:lsdException w:qFormat="1" w:uiPriority="0" w:semiHidden="0" w:name="toc 6"/>
    <w:lsdException w:qFormat="1" w:uiPriority="0" w:semiHidden="0" w:name="toc 7"/>
    <w:lsdException w:qFormat="1" w:uiPriority="0" w:semiHidden="0" w:name="toc 8"/>
    <w:lsdException w:qFormat="1"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9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3">
    <w:name w:val="heading 1"/>
    <w:basedOn w:val="1"/>
    <w:next w:val="1"/>
    <w:link w:val="58"/>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4">
    <w:name w:val="heading 2"/>
    <w:basedOn w:val="1"/>
    <w:next w:val="1"/>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5">
    <w:name w:val="heading 3"/>
    <w:basedOn w:val="1"/>
    <w:next w:val="1"/>
    <w:link w:val="64"/>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6">
    <w:name w:val="heading 4"/>
    <w:basedOn w:val="1"/>
    <w:next w:val="1"/>
    <w:link w:val="56"/>
    <w:qFormat/>
    <w:uiPriority w:val="0"/>
    <w:pPr>
      <w:keepNext/>
      <w:keepLines/>
      <w:spacing w:before="280" w:after="290" w:line="376" w:lineRule="auto"/>
      <w:outlineLvl w:val="3"/>
    </w:pPr>
    <w:rPr>
      <w:rFonts w:ascii="Cambria" w:hAnsi="Cambria" w:cs="Cambria"/>
      <w:b/>
      <w:bCs/>
      <w:sz w:val="28"/>
      <w:szCs w:val="28"/>
    </w:rPr>
  </w:style>
  <w:style w:type="paragraph" w:styleId="7">
    <w:name w:val="heading 5"/>
    <w:basedOn w:val="1"/>
    <w:next w:val="1"/>
    <w:link w:val="54"/>
    <w:qFormat/>
    <w:uiPriority w:val="0"/>
    <w:pPr>
      <w:keepNext/>
      <w:keepLines/>
      <w:spacing w:before="280" w:after="290" w:line="376" w:lineRule="auto"/>
      <w:outlineLvl w:val="4"/>
    </w:pPr>
    <w:rPr>
      <w:rFonts w:ascii="Times New Roman" w:hAnsi="Times New Roman"/>
      <w:b/>
      <w:bCs/>
      <w:sz w:val="28"/>
      <w:szCs w:val="28"/>
    </w:rPr>
  </w:style>
  <w:style w:type="paragraph" w:styleId="8">
    <w:name w:val="heading 6"/>
    <w:basedOn w:val="1"/>
    <w:next w:val="1"/>
    <w:link w:val="50"/>
    <w:qFormat/>
    <w:uiPriority w:val="0"/>
    <w:pPr>
      <w:keepNext/>
      <w:keepLines/>
      <w:spacing w:before="240" w:after="64" w:line="320" w:lineRule="auto"/>
      <w:outlineLvl w:val="5"/>
    </w:pPr>
    <w:rPr>
      <w:rFonts w:ascii="Arial" w:hAnsi="Arial" w:eastAsia="黑体"/>
      <w:b/>
      <w:bCs/>
      <w:sz w:val="24"/>
    </w:rPr>
  </w:style>
  <w:style w:type="paragraph" w:styleId="9">
    <w:name w:val="heading 7"/>
    <w:basedOn w:val="1"/>
    <w:next w:val="1"/>
    <w:link w:val="60"/>
    <w:qFormat/>
    <w:uiPriority w:val="0"/>
    <w:pPr>
      <w:keepNext/>
      <w:keepLines/>
      <w:spacing w:before="240" w:after="64" w:line="320" w:lineRule="auto"/>
      <w:outlineLvl w:val="6"/>
    </w:pPr>
    <w:rPr>
      <w:rFonts w:ascii="Times New Roman" w:hAnsi="Times New Roman"/>
      <w:b/>
      <w:bCs/>
      <w:sz w:val="24"/>
    </w:rPr>
  </w:style>
  <w:style w:type="character" w:default="1" w:styleId="40">
    <w:name w:val="Default Paragraph Font"/>
    <w:semiHidden/>
    <w:unhideWhenUsed/>
    <w:qFormat/>
    <w:uiPriority w:val="1"/>
  </w:style>
  <w:style w:type="table" w:default="1" w:styleId="38">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Calibri" w:hAnsi="Calibri" w:cs="Calibri"/>
      <w:sz w:val="20"/>
      <w:szCs w:val="20"/>
    </w:rPr>
    <w:tblPr>
      <w:tblCellMar>
        <w:top w:w="0" w:type="dxa"/>
        <w:left w:w="108" w:type="dxa"/>
        <w:bottom w:w="0" w:type="dxa"/>
        <w:right w:w="108" w:type="dxa"/>
      </w:tblCellMar>
    </w:tblPr>
  </w:style>
  <w:style w:type="paragraph" w:customStyle="1" w:styleId="2">
    <w:name w:val="列表段落1"/>
    <w:basedOn w:val="1"/>
    <w:qFormat/>
    <w:uiPriority w:val="0"/>
    <w:pPr>
      <w:ind w:firstLine="420" w:firstLineChars="200"/>
    </w:pPr>
    <w:rPr>
      <w:szCs w:val="22"/>
    </w:rPr>
  </w:style>
  <w:style w:type="paragraph" w:styleId="10">
    <w:name w:val="toc 7"/>
    <w:basedOn w:val="1"/>
    <w:next w:val="1"/>
    <w:unhideWhenUsed/>
    <w:qFormat/>
    <w:uiPriority w:val="0"/>
    <w:pPr>
      <w:ind w:left="2520" w:leftChars="1200"/>
    </w:pPr>
    <w:rPr>
      <w:szCs w:val="22"/>
    </w:rPr>
  </w:style>
  <w:style w:type="paragraph" w:styleId="11">
    <w:name w:val="Normal Indent"/>
    <w:basedOn w:val="1"/>
    <w:qFormat/>
    <w:uiPriority w:val="0"/>
    <w:pPr>
      <w:autoSpaceDE w:val="0"/>
      <w:autoSpaceDN w:val="0"/>
      <w:adjustRightInd w:val="0"/>
      <w:ind w:firstLine="420"/>
      <w:jc w:val="left"/>
    </w:pPr>
    <w:rPr>
      <w:rFonts w:ascii="宋体"/>
      <w:kern w:val="0"/>
      <w:sz w:val="24"/>
      <w:szCs w:val="20"/>
    </w:rPr>
  </w:style>
  <w:style w:type="paragraph" w:styleId="12">
    <w:name w:val="Document Map"/>
    <w:basedOn w:val="1"/>
    <w:link w:val="69"/>
    <w:qFormat/>
    <w:uiPriority w:val="0"/>
    <w:rPr>
      <w:rFonts w:ascii="宋体"/>
      <w:sz w:val="18"/>
      <w:szCs w:val="18"/>
    </w:rPr>
  </w:style>
  <w:style w:type="paragraph" w:styleId="13">
    <w:name w:val="toa heading"/>
    <w:basedOn w:val="1"/>
    <w:next w:val="1"/>
    <w:qFormat/>
    <w:uiPriority w:val="0"/>
    <w:pPr>
      <w:spacing w:before="120"/>
    </w:pPr>
    <w:rPr>
      <w:rFonts w:ascii="Arial" w:hAnsi="Arial"/>
      <w:sz w:val="24"/>
      <w:szCs w:val="20"/>
    </w:rPr>
  </w:style>
  <w:style w:type="paragraph" w:styleId="14">
    <w:name w:val="annotation text"/>
    <w:basedOn w:val="1"/>
    <w:link w:val="65"/>
    <w:qFormat/>
    <w:uiPriority w:val="0"/>
    <w:pPr>
      <w:jc w:val="left"/>
    </w:pPr>
  </w:style>
  <w:style w:type="paragraph" w:styleId="15">
    <w:name w:val="Body Text 3"/>
    <w:basedOn w:val="1"/>
    <w:link w:val="51"/>
    <w:qFormat/>
    <w:uiPriority w:val="0"/>
    <w:pPr>
      <w:snapToGrid w:val="0"/>
      <w:spacing w:line="300" w:lineRule="auto"/>
      <w:jc w:val="center"/>
    </w:pPr>
    <w:rPr>
      <w:rFonts w:ascii="华文行楷" w:hAnsi="华文细黑" w:eastAsia="华文行楷"/>
      <w:b/>
      <w:sz w:val="84"/>
    </w:rPr>
  </w:style>
  <w:style w:type="paragraph" w:styleId="16">
    <w:name w:val="Body Text"/>
    <w:basedOn w:val="1"/>
    <w:link w:val="68"/>
    <w:qFormat/>
    <w:uiPriority w:val="0"/>
    <w:pPr>
      <w:tabs>
        <w:tab w:val="left" w:pos="567"/>
      </w:tabs>
      <w:spacing w:before="120" w:line="22" w:lineRule="atLeast"/>
    </w:pPr>
    <w:rPr>
      <w:rFonts w:ascii="宋体" w:hAnsi="宋体"/>
      <w:sz w:val="24"/>
    </w:rPr>
  </w:style>
  <w:style w:type="paragraph" w:styleId="17">
    <w:name w:val="Body Text Indent"/>
    <w:basedOn w:val="1"/>
    <w:link w:val="55"/>
    <w:qFormat/>
    <w:uiPriority w:val="0"/>
    <w:pPr>
      <w:spacing w:after="120"/>
      <w:ind w:left="420" w:leftChars="200"/>
    </w:pPr>
    <w:rPr>
      <w:rFonts w:ascii="Times New Roman" w:hAnsi="Times New Roman"/>
    </w:rPr>
  </w:style>
  <w:style w:type="paragraph" w:styleId="18">
    <w:name w:val="List 2"/>
    <w:basedOn w:val="1"/>
    <w:qFormat/>
    <w:uiPriority w:val="0"/>
    <w:pPr>
      <w:ind w:left="100" w:leftChars="200" w:hanging="200" w:hangingChars="200"/>
    </w:pPr>
    <w:rPr>
      <w:rFonts w:ascii="Times New Roman" w:hAnsi="Times New Roman"/>
    </w:rPr>
  </w:style>
  <w:style w:type="paragraph" w:styleId="19">
    <w:name w:val="Block Text"/>
    <w:basedOn w:val="1"/>
    <w:qFormat/>
    <w:uiPriority w:val="0"/>
    <w:pPr>
      <w:adjustRightInd w:val="0"/>
      <w:ind w:left="420" w:right="33"/>
      <w:jc w:val="left"/>
      <w:textAlignment w:val="baseline"/>
    </w:pPr>
    <w:rPr>
      <w:rFonts w:ascii="Times New Roman" w:hAnsi="Times New Roman"/>
      <w:kern w:val="0"/>
      <w:sz w:val="24"/>
      <w:szCs w:val="20"/>
    </w:rPr>
  </w:style>
  <w:style w:type="paragraph" w:styleId="20">
    <w:name w:val="toc 5"/>
    <w:basedOn w:val="1"/>
    <w:next w:val="1"/>
    <w:unhideWhenUsed/>
    <w:qFormat/>
    <w:uiPriority w:val="0"/>
    <w:pPr>
      <w:ind w:left="1680" w:leftChars="800"/>
    </w:pPr>
    <w:rPr>
      <w:szCs w:val="22"/>
    </w:rPr>
  </w:style>
  <w:style w:type="paragraph" w:styleId="21">
    <w:name w:val="toc 3"/>
    <w:basedOn w:val="1"/>
    <w:next w:val="1"/>
    <w:qFormat/>
    <w:uiPriority w:val="39"/>
    <w:pPr>
      <w:tabs>
        <w:tab w:val="left" w:pos="1260"/>
        <w:tab w:val="right" w:leader="dot" w:pos="8630"/>
      </w:tabs>
      <w:ind w:left="840" w:leftChars="400"/>
    </w:pPr>
  </w:style>
  <w:style w:type="paragraph" w:styleId="22">
    <w:name w:val="Plain Text"/>
    <w:basedOn w:val="1"/>
    <w:link w:val="70"/>
    <w:qFormat/>
    <w:uiPriority w:val="0"/>
    <w:rPr>
      <w:rFonts w:ascii="宋体" w:hAnsi="Courier New"/>
      <w:szCs w:val="20"/>
    </w:rPr>
  </w:style>
  <w:style w:type="paragraph" w:styleId="23">
    <w:name w:val="toc 8"/>
    <w:basedOn w:val="1"/>
    <w:next w:val="1"/>
    <w:unhideWhenUsed/>
    <w:qFormat/>
    <w:uiPriority w:val="0"/>
    <w:pPr>
      <w:ind w:left="2940" w:leftChars="1400"/>
    </w:pPr>
    <w:rPr>
      <w:szCs w:val="22"/>
    </w:rPr>
  </w:style>
  <w:style w:type="paragraph" w:styleId="24">
    <w:name w:val="Date"/>
    <w:basedOn w:val="1"/>
    <w:next w:val="1"/>
    <w:link w:val="73"/>
    <w:qFormat/>
    <w:uiPriority w:val="0"/>
    <w:pPr>
      <w:ind w:left="100" w:leftChars="2500"/>
    </w:pPr>
    <w:rPr>
      <w:rFonts w:ascii="宋体" w:hAnsi="宋体"/>
      <w:b/>
      <w:bCs/>
      <w:color w:val="FF0000"/>
      <w:kern w:val="0"/>
      <w:sz w:val="24"/>
    </w:rPr>
  </w:style>
  <w:style w:type="paragraph" w:styleId="25">
    <w:name w:val="Body Text Indent 2"/>
    <w:basedOn w:val="1"/>
    <w:link w:val="49"/>
    <w:qFormat/>
    <w:uiPriority w:val="0"/>
    <w:pPr>
      <w:ind w:firstLine="630" w:firstLineChars="225"/>
    </w:pPr>
    <w:rPr>
      <w:rFonts w:ascii="Times New Roman" w:hAnsi="Times New Roman"/>
      <w:sz w:val="28"/>
    </w:rPr>
  </w:style>
  <w:style w:type="paragraph" w:styleId="26">
    <w:name w:val="Balloon Text"/>
    <w:basedOn w:val="1"/>
    <w:link w:val="67"/>
    <w:qFormat/>
    <w:uiPriority w:val="0"/>
    <w:rPr>
      <w:sz w:val="18"/>
      <w:szCs w:val="18"/>
    </w:rPr>
  </w:style>
  <w:style w:type="paragraph" w:styleId="27">
    <w:name w:val="footer"/>
    <w:basedOn w:val="1"/>
    <w:qFormat/>
    <w:uiPriority w:val="0"/>
    <w:pPr>
      <w:tabs>
        <w:tab w:val="center" w:pos="4153"/>
        <w:tab w:val="right" w:pos="8306"/>
      </w:tabs>
      <w:autoSpaceDE w:val="0"/>
      <w:autoSpaceDN w:val="0"/>
      <w:adjustRightInd w:val="0"/>
      <w:snapToGrid w:val="0"/>
      <w:jc w:val="left"/>
    </w:pPr>
    <w:rPr>
      <w:rFonts w:ascii="宋体"/>
      <w:kern w:val="0"/>
      <w:sz w:val="18"/>
      <w:szCs w:val="20"/>
    </w:rPr>
  </w:style>
  <w:style w:type="paragraph" w:styleId="28">
    <w:name w:val="header"/>
    <w:basedOn w:val="1"/>
    <w:link w:val="63"/>
    <w:qFormat/>
    <w:uiPriority w:val="0"/>
    <w:pPr>
      <w:pBdr>
        <w:bottom w:val="single" w:color="auto" w:sz="6" w:space="1"/>
      </w:pBdr>
      <w:tabs>
        <w:tab w:val="center" w:pos="4153"/>
        <w:tab w:val="right" w:pos="8306"/>
      </w:tabs>
      <w:snapToGrid w:val="0"/>
      <w:jc w:val="center"/>
    </w:pPr>
    <w:rPr>
      <w:sz w:val="18"/>
      <w:szCs w:val="18"/>
    </w:rPr>
  </w:style>
  <w:style w:type="paragraph" w:styleId="29">
    <w:name w:val="toc 1"/>
    <w:basedOn w:val="1"/>
    <w:next w:val="1"/>
    <w:qFormat/>
    <w:uiPriority w:val="39"/>
  </w:style>
  <w:style w:type="paragraph" w:styleId="30">
    <w:name w:val="toc 4"/>
    <w:basedOn w:val="1"/>
    <w:next w:val="1"/>
    <w:unhideWhenUsed/>
    <w:qFormat/>
    <w:uiPriority w:val="0"/>
    <w:pPr>
      <w:ind w:left="1260" w:leftChars="600"/>
    </w:pPr>
    <w:rPr>
      <w:szCs w:val="22"/>
    </w:rPr>
  </w:style>
  <w:style w:type="paragraph" w:styleId="31">
    <w:name w:val="toc 6"/>
    <w:basedOn w:val="1"/>
    <w:next w:val="1"/>
    <w:unhideWhenUsed/>
    <w:qFormat/>
    <w:uiPriority w:val="0"/>
    <w:pPr>
      <w:ind w:left="2100" w:leftChars="1000"/>
    </w:pPr>
    <w:rPr>
      <w:szCs w:val="22"/>
    </w:rPr>
  </w:style>
  <w:style w:type="paragraph" w:styleId="32">
    <w:name w:val="Body Text Indent 3"/>
    <w:basedOn w:val="1"/>
    <w:link w:val="53"/>
    <w:qFormat/>
    <w:uiPriority w:val="0"/>
    <w:pPr>
      <w:ind w:left="720"/>
    </w:pPr>
    <w:rPr>
      <w:rFonts w:ascii="仿宋_GB2312" w:hAnsi="Times New Roman" w:eastAsia="仿宋_GB2312"/>
      <w:sz w:val="28"/>
      <w:bdr w:val="single" w:color="auto" w:sz="4" w:space="0"/>
      <w:shd w:val="pct10" w:color="auto" w:fill="FFFFFF"/>
    </w:rPr>
  </w:style>
  <w:style w:type="paragraph" w:styleId="33">
    <w:name w:val="toc 2"/>
    <w:basedOn w:val="1"/>
    <w:next w:val="1"/>
    <w:qFormat/>
    <w:uiPriority w:val="39"/>
    <w:pPr>
      <w:ind w:left="420" w:leftChars="200"/>
    </w:pPr>
  </w:style>
  <w:style w:type="paragraph" w:styleId="34">
    <w:name w:val="toc 9"/>
    <w:basedOn w:val="1"/>
    <w:next w:val="1"/>
    <w:unhideWhenUsed/>
    <w:qFormat/>
    <w:uiPriority w:val="0"/>
    <w:pPr>
      <w:ind w:left="3360" w:leftChars="1600"/>
    </w:pPr>
    <w:rPr>
      <w:szCs w:val="22"/>
    </w:rPr>
  </w:style>
  <w:style w:type="paragraph" w:styleId="35">
    <w:name w:val="Body Text 2"/>
    <w:basedOn w:val="1"/>
    <w:next w:val="1"/>
    <w:link w:val="57"/>
    <w:qFormat/>
    <w:uiPriority w:val="0"/>
    <w:pPr>
      <w:spacing w:after="120" w:line="480" w:lineRule="auto"/>
    </w:pPr>
  </w:style>
  <w:style w:type="paragraph" w:styleId="36">
    <w:name w:val="Normal (Web)"/>
    <w:basedOn w:val="1"/>
    <w:next w:val="28"/>
    <w:unhideWhenUsed/>
    <w:qFormat/>
    <w:uiPriority w:val="0"/>
    <w:rPr>
      <w:sz w:val="24"/>
    </w:rPr>
  </w:style>
  <w:style w:type="paragraph" w:styleId="37">
    <w:name w:val="annotation subject"/>
    <w:basedOn w:val="14"/>
    <w:next w:val="14"/>
    <w:link w:val="71"/>
    <w:qFormat/>
    <w:uiPriority w:val="0"/>
    <w:rPr>
      <w:b/>
      <w:bCs/>
    </w:rPr>
  </w:style>
  <w:style w:type="table" w:styleId="39">
    <w:name w:val="Table Grid"/>
    <w:basedOn w:val="38"/>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1">
    <w:name w:val="Strong"/>
    <w:basedOn w:val="40"/>
    <w:qFormat/>
    <w:uiPriority w:val="0"/>
    <w:rPr>
      <w:b/>
      <w:bCs/>
    </w:rPr>
  </w:style>
  <w:style w:type="character" w:styleId="42">
    <w:name w:val="page number"/>
    <w:basedOn w:val="40"/>
    <w:qFormat/>
    <w:uiPriority w:val="0"/>
  </w:style>
  <w:style w:type="character" w:styleId="43">
    <w:name w:val="FollowedHyperlink"/>
    <w:basedOn w:val="40"/>
    <w:qFormat/>
    <w:uiPriority w:val="0"/>
    <w:rPr>
      <w:color w:val="333333"/>
      <w:u w:val="none"/>
    </w:rPr>
  </w:style>
  <w:style w:type="character" w:styleId="44">
    <w:name w:val="Hyperlink"/>
    <w:qFormat/>
    <w:uiPriority w:val="99"/>
    <w:rPr>
      <w:color w:val="333333"/>
      <w:u w:val="none"/>
    </w:rPr>
  </w:style>
  <w:style w:type="character" w:styleId="45">
    <w:name w:val="annotation reference"/>
    <w:basedOn w:val="40"/>
    <w:qFormat/>
    <w:uiPriority w:val="0"/>
    <w:rPr>
      <w:sz w:val="21"/>
      <w:szCs w:val="21"/>
    </w:rPr>
  </w:style>
  <w:style w:type="paragraph" w:customStyle="1" w:styleId="46">
    <w:name w:val="列出段落1"/>
    <w:basedOn w:val="47"/>
    <w:next w:val="1"/>
    <w:qFormat/>
    <w:uiPriority w:val="99"/>
    <w:pPr>
      <w:ind w:firstLine="420" w:firstLineChars="200"/>
    </w:pPr>
    <w:rPr>
      <w:rFonts w:cs="Calibri"/>
      <w:szCs w:val="21"/>
    </w:rPr>
  </w:style>
  <w:style w:type="paragraph" w:customStyle="1" w:styleId="47">
    <w:name w:val="正文 New New New New New New New New"/>
    <w:next w:val="46"/>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8">
    <w:name w:val="List Paragraph"/>
    <w:basedOn w:val="1"/>
    <w:next w:val="1"/>
    <w:qFormat/>
    <w:uiPriority w:val="34"/>
    <w:pPr>
      <w:ind w:firstLine="420" w:firstLineChars="200"/>
    </w:pPr>
  </w:style>
  <w:style w:type="character" w:customStyle="1" w:styleId="49">
    <w:name w:val="正文文本缩进 2 字符"/>
    <w:basedOn w:val="40"/>
    <w:link w:val="25"/>
    <w:qFormat/>
    <w:uiPriority w:val="0"/>
    <w:rPr>
      <w:kern w:val="2"/>
      <w:sz w:val="28"/>
      <w:szCs w:val="24"/>
    </w:rPr>
  </w:style>
  <w:style w:type="character" w:customStyle="1" w:styleId="50">
    <w:name w:val="标题 6 字符"/>
    <w:basedOn w:val="40"/>
    <w:link w:val="8"/>
    <w:qFormat/>
    <w:uiPriority w:val="0"/>
    <w:rPr>
      <w:rFonts w:ascii="Arial" w:hAnsi="Arial" w:eastAsia="黑体"/>
      <w:b/>
      <w:bCs/>
      <w:kern w:val="2"/>
      <w:sz w:val="24"/>
      <w:szCs w:val="24"/>
    </w:rPr>
  </w:style>
  <w:style w:type="character" w:customStyle="1" w:styleId="51">
    <w:name w:val="正文文本 3 字符"/>
    <w:basedOn w:val="40"/>
    <w:link w:val="15"/>
    <w:qFormat/>
    <w:uiPriority w:val="0"/>
    <w:rPr>
      <w:rFonts w:ascii="华文行楷" w:hAnsi="华文细黑" w:eastAsia="华文行楷"/>
      <w:b/>
      <w:kern w:val="2"/>
      <w:sz w:val="84"/>
      <w:szCs w:val="24"/>
    </w:rPr>
  </w:style>
  <w:style w:type="character" w:customStyle="1" w:styleId="52">
    <w:name w:val="纯文本 字符"/>
    <w:qFormat/>
    <w:uiPriority w:val="0"/>
    <w:rPr>
      <w:rFonts w:ascii="宋体" w:hAnsi="Courier New"/>
      <w:kern w:val="2"/>
      <w:sz w:val="21"/>
    </w:rPr>
  </w:style>
  <w:style w:type="character" w:customStyle="1" w:styleId="53">
    <w:name w:val="正文文本缩进 3 字符"/>
    <w:basedOn w:val="40"/>
    <w:link w:val="32"/>
    <w:qFormat/>
    <w:uiPriority w:val="0"/>
    <w:rPr>
      <w:rFonts w:ascii="仿宋_GB2312" w:eastAsia="仿宋_GB2312"/>
      <w:kern w:val="2"/>
      <w:sz w:val="28"/>
      <w:szCs w:val="24"/>
      <w:bdr w:val="single" w:color="auto" w:sz="4" w:space="0"/>
    </w:rPr>
  </w:style>
  <w:style w:type="character" w:customStyle="1" w:styleId="54">
    <w:name w:val="标题 5 字符"/>
    <w:basedOn w:val="40"/>
    <w:link w:val="7"/>
    <w:qFormat/>
    <w:uiPriority w:val="0"/>
    <w:rPr>
      <w:b/>
      <w:bCs/>
      <w:kern w:val="2"/>
      <w:sz w:val="28"/>
      <w:szCs w:val="28"/>
    </w:rPr>
  </w:style>
  <w:style w:type="character" w:customStyle="1" w:styleId="55">
    <w:name w:val="正文文本缩进 字符"/>
    <w:basedOn w:val="40"/>
    <w:link w:val="17"/>
    <w:qFormat/>
    <w:uiPriority w:val="0"/>
    <w:rPr>
      <w:kern w:val="2"/>
      <w:sz w:val="21"/>
      <w:szCs w:val="24"/>
    </w:rPr>
  </w:style>
  <w:style w:type="character" w:customStyle="1" w:styleId="56">
    <w:name w:val="标题 4 字符"/>
    <w:basedOn w:val="40"/>
    <w:link w:val="6"/>
    <w:qFormat/>
    <w:uiPriority w:val="99"/>
    <w:rPr>
      <w:rFonts w:ascii="Cambria" w:hAnsi="Cambria" w:cs="Cambria"/>
      <w:b/>
      <w:bCs/>
      <w:kern w:val="2"/>
      <w:sz w:val="28"/>
      <w:szCs w:val="28"/>
    </w:rPr>
  </w:style>
  <w:style w:type="character" w:customStyle="1" w:styleId="57">
    <w:name w:val="正文文本 2 字符"/>
    <w:basedOn w:val="40"/>
    <w:link w:val="35"/>
    <w:qFormat/>
    <w:uiPriority w:val="0"/>
    <w:rPr>
      <w:rFonts w:ascii="Calibri" w:hAnsi="Calibri"/>
      <w:kern w:val="2"/>
      <w:sz w:val="21"/>
      <w:szCs w:val="24"/>
    </w:rPr>
  </w:style>
  <w:style w:type="character" w:customStyle="1" w:styleId="58">
    <w:name w:val="标题 1 字符"/>
    <w:link w:val="3"/>
    <w:qFormat/>
    <w:uiPriority w:val="0"/>
    <w:rPr>
      <w:rFonts w:ascii="宋体" w:hAnsi="Calibri"/>
      <w:b/>
      <w:kern w:val="44"/>
      <w:sz w:val="32"/>
    </w:rPr>
  </w:style>
  <w:style w:type="character" w:customStyle="1" w:styleId="59">
    <w:name w:val="htd01"/>
    <w:basedOn w:val="40"/>
    <w:qFormat/>
    <w:uiPriority w:val="0"/>
  </w:style>
  <w:style w:type="character" w:customStyle="1" w:styleId="60">
    <w:name w:val="标题 7 字符"/>
    <w:basedOn w:val="40"/>
    <w:link w:val="9"/>
    <w:qFormat/>
    <w:uiPriority w:val="0"/>
    <w:rPr>
      <w:b/>
      <w:bCs/>
      <w:kern w:val="2"/>
      <w:sz w:val="24"/>
      <w:szCs w:val="24"/>
    </w:rPr>
  </w:style>
  <w:style w:type="character" w:customStyle="1" w:styleId="61">
    <w:name w:val="正文缩进 Char1"/>
    <w:link w:val="62"/>
    <w:qFormat/>
    <w:uiPriority w:val="0"/>
    <w:rPr>
      <w:rFonts w:ascii="宋体"/>
      <w:sz w:val="24"/>
    </w:rPr>
  </w:style>
  <w:style w:type="paragraph" w:customStyle="1" w:styleId="62">
    <w:name w:val="正文缩进1"/>
    <w:basedOn w:val="1"/>
    <w:link w:val="61"/>
    <w:qFormat/>
    <w:uiPriority w:val="0"/>
    <w:pPr>
      <w:autoSpaceDE w:val="0"/>
      <w:autoSpaceDN w:val="0"/>
      <w:adjustRightInd w:val="0"/>
      <w:ind w:firstLine="420"/>
      <w:jc w:val="left"/>
    </w:pPr>
    <w:rPr>
      <w:rFonts w:ascii="宋体" w:hAnsi="Times New Roman"/>
      <w:kern w:val="0"/>
      <w:sz w:val="24"/>
      <w:szCs w:val="20"/>
    </w:rPr>
  </w:style>
  <w:style w:type="character" w:customStyle="1" w:styleId="63">
    <w:name w:val="页眉 字符"/>
    <w:basedOn w:val="40"/>
    <w:link w:val="28"/>
    <w:qFormat/>
    <w:uiPriority w:val="0"/>
    <w:rPr>
      <w:rFonts w:ascii="Calibri" w:hAnsi="Calibri"/>
      <w:kern w:val="2"/>
      <w:sz w:val="18"/>
      <w:szCs w:val="18"/>
    </w:rPr>
  </w:style>
  <w:style w:type="character" w:customStyle="1" w:styleId="64">
    <w:name w:val="标题 3 字符"/>
    <w:basedOn w:val="40"/>
    <w:link w:val="5"/>
    <w:qFormat/>
    <w:uiPriority w:val="0"/>
    <w:rPr>
      <w:b/>
      <w:kern w:val="2"/>
      <w:sz w:val="32"/>
      <w:szCs w:val="32"/>
    </w:rPr>
  </w:style>
  <w:style w:type="character" w:customStyle="1" w:styleId="65">
    <w:name w:val="批注文字 字符"/>
    <w:basedOn w:val="40"/>
    <w:link w:val="14"/>
    <w:qFormat/>
    <w:uiPriority w:val="0"/>
    <w:rPr>
      <w:rFonts w:ascii="Calibri" w:hAnsi="Calibri"/>
      <w:kern w:val="2"/>
      <w:sz w:val="21"/>
      <w:szCs w:val="24"/>
    </w:rPr>
  </w:style>
  <w:style w:type="character" w:customStyle="1" w:styleId="66">
    <w:name w:val="fontstyle01"/>
    <w:qFormat/>
    <w:uiPriority w:val="0"/>
    <w:rPr>
      <w:rFonts w:hint="eastAsia" w:ascii="宋体" w:hAnsi="宋体" w:eastAsia="宋体"/>
      <w:color w:val="000000"/>
      <w:sz w:val="22"/>
      <w:szCs w:val="22"/>
    </w:rPr>
  </w:style>
  <w:style w:type="character" w:customStyle="1" w:styleId="67">
    <w:name w:val="批注框文本 字符"/>
    <w:basedOn w:val="40"/>
    <w:link w:val="26"/>
    <w:qFormat/>
    <w:uiPriority w:val="0"/>
    <w:rPr>
      <w:rFonts w:ascii="Calibri" w:hAnsi="Calibri"/>
      <w:kern w:val="2"/>
      <w:sz w:val="18"/>
      <w:szCs w:val="18"/>
    </w:rPr>
  </w:style>
  <w:style w:type="character" w:customStyle="1" w:styleId="68">
    <w:name w:val="正文文本 字符"/>
    <w:link w:val="16"/>
    <w:qFormat/>
    <w:uiPriority w:val="0"/>
    <w:rPr>
      <w:rFonts w:ascii="宋体" w:hAnsi="宋体"/>
      <w:kern w:val="2"/>
      <w:sz w:val="24"/>
      <w:szCs w:val="24"/>
    </w:rPr>
  </w:style>
  <w:style w:type="character" w:customStyle="1" w:styleId="69">
    <w:name w:val="文档结构图 字符"/>
    <w:basedOn w:val="40"/>
    <w:link w:val="12"/>
    <w:qFormat/>
    <w:uiPriority w:val="0"/>
    <w:rPr>
      <w:rFonts w:ascii="宋体" w:hAnsi="Calibri"/>
      <w:kern w:val="2"/>
      <w:sz w:val="18"/>
      <w:szCs w:val="18"/>
    </w:rPr>
  </w:style>
  <w:style w:type="character" w:customStyle="1" w:styleId="70">
    <w:name w:val="纯文本 字符1"/>
    <w:link w:val="22"/>
    <w:qFormat/>
    <w:uiPriority w:val="0"/>
    <w:rPr>
      <w:rFonts w:ascii="宋体" w:hAnsi="Courier New"/>
      <w:kern w:val="2"/>
      <w:sz w:val="21"/>
    </w:rPr>
  </w:style>
  <w:style w:type="character" w:customStyle="1" w:styleId="71">
    <w:name w:val="批注主题 字符"/>
    <w:basedOn w:val="65"/>
    <w:link w:val="37"/>
    <w:qFormat/>
    <w:uiPriority w:val="0"/>
    <w:rPr>
      <w:rFonts w:ascii="Calibri" w:hAnsi="Calibri"/>
      <w:b/>
      <w:bCs/>
      <w:kern w:val="2"/>
      <w:sz w:val="21"/>
      <w:szCs w:val="24"/>
    </w:rPr>
  </w:style>
  <w:style w:type="character" w:customStyle="1" w:styleId="72">
    <w:name w:val="Comment Text Char"/>
    <w:basedOn w:val="40"/>
    <w:qFormat/>
    <w:locked/>
    <w:uiPriority w:val="0"/>
    <w:rPr>
      <w:rFonts w:cs="Times New Roman"/>
      <w:kern w:val="2"/>
      <w:sz w:val="21"/>
    </w:rPr>
  </w:style>
  <w:style w:type="character" w:customStyle="1" w:styleId="73">
    <w:name w:val="日期 字符"/>
    <w:basedOn w:val="40"/>
    <w:link w:val="24"/>
    <w:qFormat/>
    <w:uiPriority w:val="0"/>
    <w:rPr>
      <w:rFonts w:ascii="宋体" w:hAnsi="宋体"/>
      <w:b/>
      <w:bCs/>
      <w:color w:val="FF0000"/>
      <w:sz w:val="24"/>
      <w:szCs w:val="24"/>
    </w:rPr>
  </w:style>
  <w:style w:type="paragraph" w:customStyle="1" w:styleId="74">
    <w:name w:val="_Style 32"/>
    <w:basedOn w:val="1"/>
    <w:next w:val="46"/>
    <w:qFormat/>
    <w:uiPriority w:val="34"/>
    <w:pPr>
      <w:widowControl/>
      <w:ind w:firstLine="420" w:firstLineChars="200"/>
      <w:jc w:val="left"/>
    </w:pPr>
    <w:rPr>
      <w:rFonts w:ascii="Times New Roman" w:hAnsi="Times New Roman"/>
      <w:kern w:val="0"/>
      <w:sz w:val="24"/>
    </w:rPr>
  </w:style>
  <w:style w:type="paragraph" w:customStyle="1" w:styleId="75">
    <w:name w:val="样式 标题 3 + (中文) 黑体 小四 非加粗 段前: 7.8 磅 段后: 0 磅 行距: 固定值 20 磅"/>
    <w:basedOn w:val="5"/>
    <w:qFormat/>
    <w:uiPriority w:val="0"/>
    <w:pPr>
      <w:autoSpaceDE/>
      <w:autoSpaceDN/>
      <w:adjustRightInd/>
      <w:spacing w:before="0" w:after="0" w:line="400" w:lineRule="exact"/>
      <w:jc w:val="both"/>
    </w:pPr>
    <w:rPr>
      <w:rFonts w:ascii="Times New Roman" w:hAnsi="Times New Roman" w:eastAsia="黑体" w:cs="宋体"/>
      <w:b w:val="0"/>
      <w:kern w:val="2"/>
      <w:u w:val="none"/>
    </w:rPr>
  </w:style>
  <w:style w:type="paragraph" w:customStyle="1" w:styleId="76">
    <w:name w:val="样式 标题 2 + Times New Roman 四号 非加粗 段前: 5 磅 段后: 0 磅 行距: 固定值 20..."/>
    <w:basedOn w:val="4"/>
    <w:qFormat/>
    <w:uiPriority w:val="0"/>
    <w:pPr>
      <w:autoSpaceDE/>
      <w:autoSpaceDN/>
      <w:adjustRightInd/>
      <w:spacing w:before="100" w:line="400" w:lineRule="exact"/>
      <w:jc w:val="both"/>
    </w:pPr>
    <w:rPr>
      <w:rFonts w:ascii="Times New Roman" w:hAnsi="Times New Roman" w:cs="宋体"/>
      <w:b w:val="0"/>
      <w:kern w:val="2"/>
      <w:sz w:val="28"/>
    </w:rPr>
  </w:style>
  <w:style w:type="paragraph" w:customStyle="1" w:styleId="77">
    <w:name w:val="Char Char Char Char Char Char Char Char Char Char Char Char Char Char Char Char"/>
    <w:basedOn w:val="1"/>
    <w:qFormat/>
    <w:uiPriority w:val="0"/>
    <w:pPr>
      <w:tabs>
        <w:tab w:val="left" w:pos="360"/>
      </w:tabs>
    </w:pPr>
    <w:rPr>
      <w:rFonts w:ascii="Times New Roman" w:hAnsi="Times New Roman"/>
      <w:sz w:val="24"/>
    </w:rPr>
  </w:style>
  <w:style w:type="paragraph" w:customStyle="1" w:styleId="78">
    <w:name w:val="表格文字"/>
    <w:basedOn w:val="1"/>
    <w:qFormat/>
    <w:uiPriority w:val="0"/>
    <w:pPr>
      <w:adjustRightInd w:val="0"/>
      <w:spacing w:line="420" w:lineRule="atLeast"/>
      <w:jc w:val="left"/>
      <w:textAlignment w:val="baseline"/>
    </w:pPr>
    <w:rPr>
      <w:rFonts w:ascii="Times New Roman" w:hAnsi="Times New Roman"/>
      <w:kern w:val="0"/>
      <w:szCs w:val="20"/>
    </w:rPr>
  </w:style>
  <w:style w:type="paragraph" w:customStyle="1" w:styleId="79">
    <w:name w:val="列出段落2"/>
    <w:basedOn w:val="1"/>
    <w:qFormat/>
    <w:uiPriority w:val="0"/>
    <w:pPr>
      <w:ind w:firstLine="420" w:firstLineChars="200"/>
    </w:pPr>
    <w:rPr>
      <w:szCs w:val="21"/>
    </w:rPr>
  </w:style>
  <w:style w:type="paragraph" w:customStyle="1" w:styleId="80">
    <w:name w:val="Blockquote"/>
    <w:basedOn w:val="1"/>
    <w:qFormat/>
    <w:uiPriority w:val="0"/>
    <w:pPr>
      <w:autoSpaceDE w:val="0"/>
      <w:autoSpaceDN w:val="0"/>
      <w:adjustRightInd w:val="0"/>
      <w:spacing w:before="100" w:after="100"/>
      <w:ind w:left="360" w:right="360"/>
      <w:jc w:val="left"/>
    </w:pPr>
    <w:rPr>
      <w:rFonts w:ascii="Times New Roman" w:hAnsi="Times New Roman"/>
      <w:kern w:val="0"/>
      <w:sz w:val="24"/>
      <w:szCs w:val="20"/>
    </w:rPr>
  </w:style>
  <w:style w:type="paragraph" w:customStyle="1" w:styleId="81">
    <w:name w:val="Char1 Char Char Char"/>
    <w:basedOn w:val="1"/>
    <w:qFormat/>
    <w:uiPriority w:val="0"/>
    <w:rPr>
      <w:rFonts w:ascii="Times New Roman" w:hAnsi="Times New Roman"/>
    </w:rPr>
  </w:style>
  <w:style w:type="paragraph" w:customStyle="1" w:styleId="82">
    <w:name w:val="样式3"/>
    <w:basedOn w:val="1"/>
    <w:qFormat/>
    <w:uiPriority w:val="0"/>
    <w:pPr>
      <w:widowControl/>
      <w:spacing w:line="480" w:lineRule="exact"/>
      <w:jc w:val="center"/>
    </w:pPr>
    <w:rPr>
      <w:rFonts w:ascii="Arial" w:hAnsi="Arial" w:eastAsia="黑体"/>
      <w:spacing w:val="6"/>
      <w:kern w:val="0"/>
      <w:sz w:val="32"/>
      <w:szCs w:val="20"/>
    </w:rPr>
  </w:style>
  <w:style w:type="paragraph" w:customStyle="1" w:styleId="83">
    <w:name w:val="Char1"/>
    <w:basedOn w:val="1"/>
    <w:qFormat/>
    <w:uiPriority w:val="0"/>
    <w:rPr>
      <w:rFonts w:ascii="Times New Roman" w:hAnsi="Times New Roman"/>
    </w:rPr>
  </w:style>
  <w:style w:type="paragraph" w:customStyle="1" w:styleId="84">
    <w:name w:val="样式1"/>
    <w:basedOn w:val="1"/>
    <w:next w:val="6"/>
    <w:qFormat/>
    <w:uiPriority w:val="0"/>
    <w:pPr>
      <w:spacing w:line="360" w:lineRule="auto"/>
      <w:ind w:firstLine="420" w:firstLineChars="200"/>
    </w:pPr>
    <w:rPr>
      <w:rFonts w:ascii="宋体" w:hAnsi="宋体"/>
      <w:szCs w:val="21"/>
    </w:rPr>
  </w:style>
  <w:style w:type="paragraph" w:customStyle="1" w:styleId="85">
    <w:name w:val="Char Char1"/>
    <w:basedOn w:val="1"/>
    <w:qFormat/>
    <w:uiPriority w:val="0"/>
    <w:pPr>
      <w:widowControl/>
      <w:spacing w:after="160" w:line="240" w:lineRule="exact"/>
      <w:jc w:val="left"/>
    </w:pPr>
    <w:rPr>
      <w:rFonts w:ascii="Times New Roman" w:hAnsi="Times New Roman"/>
      <w:szCs w:val="20"/>
    </w:rPr>
  </w:style>
  <w:style w:type="paragraph" w:customStyle="1" w:styleId="86">
    <w:name w:val="List Paragraph1"/>
    <w:basedOn w:val="1"/>
    <w:qFormat/>
    <w:uiPriority w:val="0"/>
    <w:pPr>
      <w:ind w:firstLine="420" w:firstLineChars="200"/>
    </w:pPr>
  </w:style>
  <w:style w:type="paragraph" w:customStyle="1" w:styleId="87">
    <w:name w:val="Char Char 字元 字元 字元 Char Char Char Char"/>
    <w:basedOn w:val="1"/>
    <w:qFormat/>
    <w:uiPriority w:val="0"/>
    <w:pPr>
      <w:adjustRightInd w:val="0"/>
      <w:spacing w:line="360" w:lineRule="auto"/>
    </w:pPr>
    <w:rPr>
      <w:rFonts w:ascii="Times New Roman" w:hAnsi="Times New Roman"/>
      <w:kern w:val="0"/>
      <w:sz w:val="24"/>
      <w:szCs w:val="20"/>
    </w:rPr>
  </w:style>
  <w:style w:type="paragraph" w:customStyle="1" w:styleId="88">
    <w:name w:val="Char Char Char Char"/>
    <w:basedOn w:val="12"/>
    <w:qFormat/>
    <w:uiPriority w:val="0"/>
    <w:pPr>
      <w:shd w:val="clear" w:color="auto" w:fill="000080"/>
    </w:pPr>
    <w:rPr>
      <w:rFonts w:ascii="Tahoma" w:hAnsi="Tahoma"/>
      <w:sz w:val="24"/>
      <w:szCs w:val="24"/>
    </w:rPr>
  </w:style>
  <w:style w:type="paragraph" w:customStyle="1" w:styleId="89">
    <w:name w:val="样式 标题 3 + 段前: 7.8 磅"/>
    <w:basedOn w:val="5"/>
    <w:qFormat/>
    <w:uiPriority w:val="0"/>
    <w:pPr>
      <w:keepNext w:val="0"/>
      <w:keepLines w:val="0"/>
      <w:autoSpaceDE/>
      <w:autoSpaceDN/>
      <w:adjustRightInd/>
      <w:spacing w:before="156" w:after="0" w:line="360" w:lineRule="auto"/>
      <w:ind w:left="2220" w:hanging="420"/>
      <w:jc w:val="both"/>
    </w:pPr>
    <w:rPr>
      <w:rFonts w:ascii="Times New Roman" w:hAnsi="Times New Roman" w:cs="宋体"/>
      <w:b w:val="0"/>
      <w:kern w:val="2"/>
      <w:u w:val="none"/>
    </w:rPr>
  </w:style>
  <w:style w:type="paragraph" w:customStyle="1" w:styleId="90">
    <w:name w:val="_Style 35"/>
    <w:basedOn w:val="1"/>
    <w:next w:val="48"/>
    <w:qFormat/>
    <w:uiPriority w:val="34"/>
    <w:pPr>
      <w:widowControl/>
      <w:ind w:firstLine="420" w:firstLineChars="200"/>
      <w:jc w:val="left"/>
    </w:pPr>
    <w:rPr>
      <w:rFonts w:ascii="Times New Roman" w:hAnsi="Times New Roman"/>
      <w:kern w:val="0"/>
      <w:sz w:val="24"/>
    </w:rPr>
  </w:style>
  <w:style w:type="paragraph" w:customStyle="1" w:styleId="91">
    <w:name w:val="BodyText1I2"/>
    <w:basedOn w:val="92"/>
    <w:qFormat/>
    <w:uiPriority w:val="0"/>
    <w:pPr>
      <w:ind w:firstLine="420"/>
    </w:pPr>
  </w:style>
  <w:style w:type="paragraph" w:customStyle="1" w:styleId="92">
    <w:name w:val="BodyTextIndent"/>
    <w:basedOn w:val="1"/>
    <w:qFormat/>
    <w:uiPriority w:val="0"/>
    <w:pPr>
      <w:snapToGrid w:val="0"/>
      <w:spacing w:line="520" w:lineRule="atLeast"/>
      <w:ind w:firstLine="200" w:firstLineChars="200"/>
      <w:textAlignment w:val="baseline"/>
    </w:pPr>
    <w:rPr>
      <w:rFonts w:ascii="仿宋_GB2312" w:eastAsia="仿宋_GB2312"/>
      <w:sz w:val="30"/>
      <w:szCs w:val="20"/>
    </w:rPr>
  </w:style>
  <w:style w:type="paragraph" w:customStyle="1" w:styleId="93">
    <w:name w:val="Table Paragraph"/>
    <w:basedOn w:val="1"/>
    <w:qFormat/>
    <w:uiPriority w:val="1"/>
    <w:rPr>
      <w:rFonts w:ascii="宋体" w:hAnsi="宋体" w:cs="宋体"/>
      <w:lang w:val="zh-CN" w:bidi="zh-CN"/>
    </w:rPr>
  </w:style>
  <w:style w:type="paragraph" w:customStyle="1" w:styleId="94">
    <w:name w:val="正文文本 21"/>
    <w:basedOn w:val="1"/>
    <w:qFormat/>
    <w:uiPriority w:val="0"/>
    <w:pPr>
      <w:spacing w:line="480" w:lineRule="auto"/>
    </w:pPr>
  </w:style>
  <w:style w:type="character" w:customStyle="1" w:styleId="95">
    <w:name w:val="NormalCharacter"/>
    <w:qFormat/>
    <w:uiPriority w:val="99"/>
  </w:style>
  <w:style w:type="paragraph" w:customStyle="1" w:styleId="96">
    <w:name w:val="正文文本 23"/>
    <w:basedOn w:val="1"/>
    <w:qFormat/>
    <w:uiPriority w:val="0"/>
    <w:pPr>
      <w:adjustRightInd w:val="0"/>
      <w:snapToGrid w:val="0"/>
      <w:spacing w:line="480" w:lineRule="atLeast"/>
    </w:pPr>
    <w:rPr>
      <w:sz w:val="28"/>
    </w:rPr>
  </w:style>
  <w:style w:type="paragraph" w:customStyle="1" w:styleId="97">
    <w:name w:val="正文格式"/>
    <w:basedOn w:val="1"/>
    <w:qFormat/>
    <w:uiPriority w:val="0"/>
    <w:pPr>
      <w:widowControl/>
      <w:adjustRightInd w:val="0"/>
      <w:snapToGrid w:val="0"/>
      <w:spacing w:line="400" w:lineRule="atLeast"/>
      <w:ind w:firstLine="482"/>
      <w:textAlignment w:val="baseline"/>
    </w:pPr>
    <w:rPr>
      <w:kern w:val="0"/>
      <w:sz w:val="24"/>
    </w:rPr>
  </w:style>
  <w:style w:type="character" w:customStyle="1" w:styleId="98">
    <w:name w:val="标题 2 Char1"/>
    <w:qFormat/>
    <w:locked/>
    <w:uiPriority w:val="0"/>
    <w:rPr>
      <w:rFonts w:ascii="宋体" w:hAnsi="宋体" w:eastAsia="宋体" w:cs="宋体"/>
      <w:b/>
      <w:sz w:val="28"/>
      <w:szCs w:val="36"/>
    </w:rPr>
  </w:style>
  <w:style w:type="paragraph" w:customStyle="1" w:styleId="99">
    <w:name w:val="样式 样式 样式 样式 小四 左 首行缩进:  2 字符 + 首行缩进:  2 字符 Char + 右  0 字符1 + 首行缩...3"/>
    <w:basedOn w:val="1"/>
    <w:qFormat/>
    <w:uiPriority w:val="0"/>
    <w:pPr>
      <w:spacing w:line="360" w:lineRule="auto"/>
      <w:ind w:firstLine="480" w:firstLineChars="200"/>
      <w:textAlignment w:val="baseline"/>
    </w:pPr>
    <w:rPr>
      <w:rFonts w:cs="宋体"/>
      <w:sz w:val="24"/>
      <w:szCs w:val="20"/>
    </w:rPr>
  </w:style>
  <w:style w:type="paragraph" w:customStyle="1" w:styleId="100">
    <w:name w:val="_Style 96"/>
    <w:basedOn w:val="1"/>
    <w:next w:val="1"/>
    <w:qFormat/>
    <w:uiPriority w:val="0"/>
    <w:pPr>
      <w:pBdr>
        <w:bottom w:val="single" w:color="auto" w:sz="6" w:space="1"/>
      </w:pBdr>
      <w:jc w:val="center"/>
    </w:pPr>
    <w:rPr>
      <w:rFonts w:ascii="Arial"/>
      <w:vanish/>
      <w:sz w:val="16"/>
    </w:rPr>
  </w:style>
  <w:style w:type="paragraph" w:customStyle="1" w:styleId="101">
    <w:name w:val="_Style 97"/>
    <w:basedOn w:val="1"/>
    <w:next w:val="1"/>
    <w:qFormat/>
    <w:uiPriority w:val="0"/>
    <w:pPr>
      <w:pBdr>
        <w:top w:val="single" w:color="auto" w:sz="6" w:space="1"/>
      </w:pBdr>
      <w:jc w:val="center"/>
    </w:pPr>
    <w:rPr>
      <w:rFonts w:ascii="Arial"/>
      <w:vanish/>
      <w:sz w:val="16"/>
    </w:rPr>
  </w:style>
  <w:style w:type="character" w:customStyle="1" w:styleId="102">
    <w:name w:val="overfont"/>
    <w:basedOn w:val="40"/>
    <w:qFormat/>
    <w:uiPriority w:val="0"/>
  </w:style>
  <w:style w:type="paragraph" w:customStyle="1" w:styleId="103">
    <w:name w:val="_Style 99"/>
    <w:basedOn w:val="1"/>
    <w:next w:val="1"/>
    <w:qFormat/>
    <w:uiPriority w:val="0"/>
    <w:pPr>
      <w:pBdr>
        <w:bottom w:val="single" w:color="auto" w:sz="6" w:space="1"/>
      </w:pBdr>
      <w:jc w:val="center"/>
    </w:pPr>
    <w:rPr>
      <w:rFonts w:ascii="Arial"/>
      <w:vanish/>
      <w:sz w:val="16"/>
    </w:rPr>
  </w:style>
  <w:style w:type="paragraph" w:customStyle="1" w:styleId="104">
    <w:name w:val="_Style 100"/>
    <w:basedOn w:val="1"/>
    <w:next w:val="1"/>
    <w:qFormat/>
    <w:uiPriority w:val="0"/>
    <w:pPr>
      <w:pBdr>
        <w:top w:val="single" w:color="auto" w:sz="6" w:space="1"/>
      </w:pBdr>
      <w:jc w:val="center"/>
    </w:pPr>
    <w:rPr>
      <w:rFonts w:ascii="Arial"/>
      <w:vanish/>
      <w:sz w:val="16"/>
    </w:rPr>
  </w:style>
</w:styles>
</file>

<file path=word/_rels/document.xml.rels><?xml version="1.0" encoding="UTF-8" standalone="yes"?>
<Relationships xmlns="http://schemas.openxmlformats.org/package/2006/relationships"><Relationship Id="rId9" Type="http://schemas.openxmlformats.org/officeDocument/2006/relationships/image" Target="media/image1.jpeg"/><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Kingsoft</Company>
  <Pages>49</Pages>
  <Words>22791</Words>
  <Characters>24281</Characters>
  <Lines>221</Lines>
  <Paragraphs>62</Paragraphs>
  <TotalTime>38</TotalTime>
  <ScaleCrop>false</ScaleCrop>
  <LinksUpToDate>false</LinksUpToDate>
  <CharactersWithSpaces>25542</CharactersWithSpaces>
  <Application>WPS Office_11.1.0.11435_F1E327BC-269C-435d-A152-05C5408002CA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2021-02-09T01:20:00Z</dcterms:created>
  <dc:creator>Administrator</dc:creator>
  <cp:lastModifiedBy>Administrator</cp:lastModifiedBy>
  <cp:lastPrinted>2022-08-04T03:13:14Z</cp:lastPrinted>
  <dcterms:modified xsi:type="dcterms:W3CDTF">2022-08-04T03:18:07Z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2052-11.1.0.11435</vt:lpwstr>
  </property>
  <property fmtid="{D5CDD505-2E9C-101B-9397-08002B2CF9AE}" pid="3" name="ICV">
    <vt:lpwstr>2992AB49064C49589D0A0FCBE2F17968</vt:lpwstr>
  </property>
</Properties>
</file>