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outlineLvl w:val="9"/>
        <w:rPr>
          <w:rFonts w:hint="default" w:ascii="宋体" w:hAnsi="宋体" w:eastAsia="宋体" w:cs="宋体"/>
          <w:b/>
          <w:bCs/>
          <w:color w:val="auto"/>
          <w:sz w:val="84"/>
          <w:szCs w:val="84"/>
          <w:highlight w:val="none"/>
          <w:lang w:val="en-US" w:eastAsia="zh-CN"/>
        </w:rPr>
      </w:pPr>
      <w:bookmarkStart w:id="0" w:name="_Toc26257"/>
      <w:r>
        <w:rPr>
          <w:rFonts w:hint="eastAsia" w:ascii="宋体" w:hAnsi="宋体" w:eastAsia="宋体" w:cs="宋体"/>
          <w:b/>
          <w:bCs/>
          <w:color w:val="auto"/>
          <w:sz w:val="84"/>
          <w:szCs w:val="84"/>
          <w:highlight w:val="none"/>
          <w:lang w:val="en-US" w:eastAsia="zh-CN"/>
        </w:rPr>
        <w:t xml:space="preserve">  </w:t>
      </w:r>
    </w:p>
    <w:p>
      <w:pPr>
        <w:spacing w:line="240" w:lineRule="auto"/>
        <w:jc w:val="center"/>
        <w:outlineLvl w:val="9"/>
        <w:rPr>
          <w:rFonts w:hint="eastAsia" w:ascii="宋体" w:hAnsi="宋体" w:eastAsia="宋体" w:cs="宋体"/>
          <w:b/>
          <w:bCs/>
          <w:color w:val="auto"/>
          <w:sz w:val="84"/>
          <w:szCs w:val="84"/>
          <w:highlight w:val="none"/>
          <w:lang w:val="en-US" w:eastAsia="zh-CN"/>
        </w:rPr>
      </w:pPr>
      <w:r>
        <w:rPr>
          <w:rFonts w:hint="eastAsia" w:ascii="宋体" w:hAnsi="宋体" w:eastAsia="宋体" w:cs="宋体"/>
          <w:b/>
          <w:bCs/>
          <w:color w:val="auto"/>
          <w:sz w:val="84"/>
          <w:szCs w:val="84"/>
          <w:highlight w:val="none"/>
          <w:lang w:val="en-US" w:eastAsia="zh-CN"/>
        </w:rPr>
        <w:t>竞 争 性 磋 商</w:t>
      </w:r>
      <w:bookmarkEnd w:id="0"/>
    </w:p>
    <w:p>
      <w:pPr>
        <w:spacing w:line="240" w:lineRule="auto"/>
        <w:ind w:firstLine="2530" w:firstLineChars="300"/>
        <w:jc w:val="both"/>
        <w:outlineLvl w:val="9"/>
        <w:rPr>
          <w:rFonts w:hint="default" w:ascii="宋体" w:hAnsi="宋体" w:eastAsia="宋体" w:cs="宋体"/>
          <w:b/>
          <w:bCs/>
          <w:color w:val="auto"/>
          <w:sz w:val="84"/>
          <w:szCs w:val="84"/>
          <w:highlight w:val="none"/>
          <w:lang w:val="en-US" w:eastAsia="zh-CN"/>
        </w:rPr>
      </w:pPr>
      <w:bookmarkStart w:id="1" w:name="_Toc25923"/>
      <w:r>
        <w:rPr>
          <w:rFonts w:hint="eastAsia" w:ascii="宋体" w:hAnsi="宋体" w:eastAsia="宋体" w:cs="宋体"/>
          <w:b/>
          <w:bCs/>
          <w:color w:val="auto"/>
          <w:sz w:val="84"/>
          <w:szCs w:val="84"/>
          <w:highlight w:val="none"/>
          <w:lang w:val="en-US" w:eastAsia="zh-CN"/>
        </w:rPr>
        <w:t>采 购 文 件</w:t>
      </w:r>
      <w:bookmarkEnd w:id="1"/>
    </w:p>
    <w:p>
      <w:pPr>
        <w:ind w:left="1080" w:hanging="540"/>
        <w:jc w:val="center"/>
        <w:outlineLvl w:val="9"/>
        <w:rPr>
          <w:rFonts w:hint="eastAsia" w:ascii="宋体" w:hAnsi="宋体" w:eastAsia="宋体" w:cs="宋体"/>
          <w:b/>
          <w:color w:val="auto"/>
          <w:sz w:val="36"/>
          <w:highlight w:val="none"/>
          <w:lang w:eastAsia="zh-CN"/>
        </w:rPr>
      </w:pPr>
    </w:p>
    <w:p>
      <w:pPr>
        <w:ind w:left="1080" w:hanging="540"/>
        <w:jc w:val="center"/>
        <w:outlineLvl w:val="9"/>
        <w:rPr>
          <w:rFonts w:ascii="宋体" w:hAnsi="宋体" w:eastAsia="宋体" w:cs="宋体"/>
          <w:b/>
          <w:color w:val="auto"/>
          <w:sz w:val="52"/>
          <w:highlight w:val="none"/>
        </w:rPr>
      </w:pPr>
      <w:bookmarkStart w:id="2" w:name="_Toc4330"/>
      <w:r>
        <w:rPr>
          <w:rFonts w:hint="eastAsia" w:ascii="宋体" w:hAnsi="宋体" w:eastAsia="宋体" w:cs="宋体"/>
          <w:b/>
          <w:color w:val="auto"/>
          <w:sz w:val="36"/>
          <w:highlight w:val="none"/>
          <w:lang w:eastAsia="zh-CN"/>
        </w:rPr>
        <w:t>（</w:t>
      </w:r>
      <w:r>
        <w:rPr>
          <w:rFonts w:ascii="宋体" w:hAnsi="宋体" w:eastAsia="宋体" w:cs="宋体"/>
          <w:b/>
          <w:color w:val="auto"/>
          <w:sz w:val="36"/>
          <w:highlight w:val="none"/>
        </w:rPr>
        <w:t>服务类</w:t>
      </w:r>
      <w:r>
        <w:rPr>
          <w:rFonts w:hint="eastAsia" w:ascii="宋体" w:hAnsi="宋体" w:eastAsia="宋体" w:cs="宋体"/>
          <w:b/>
          <w:color w:val="auto"/>
          <w:sz w:val="36"/>
          <w:highlight w:val="none"/>
          <w:lang w:eastAsia="zh-CN"/>
        </w:rPr>
        <w:t>）</w:t>
      </w:r>
      <w:bookmarkEnd w:id="2"/>
    </w:p>
    <w:p>
      <w:pPr>
        <w:spacing w:line="360" w:lineRule="auto"/>
        <w:ind w:firstLine="602" w:firstLineChars="200"/>
        <w:jc w:val="left"/>
        <w:outlineLvl w:val="9"/>
        <w:rPr>
          <w:rFonts w:ascii="宋体" w:hAnsi="宋体" w:eastAsia="宋体" w:cs="宋体"/>
          <w:b/>
          <w:color w:val="auto"/>
          <w:sz w:val="30"/>
          <w:highlight w:val="none"/>
        </w:rPr>
      </w:pPr>
    </w:p>
    <w:p>
      <w:pPr>
        <w:spacing w:line="360" w:lineRule="auto"/>
        <w:ind w:firstLine="904" w:firstLineChars="300"/>
        <w:jc w:val="left"/>
        <w:outlineLvl w:val="9"/>
        <w:rPr>
          <w:rFonts w:hint="eastAsia" w:ascii="宋体" w:hAnsi="宋体" w:eastAsia="宋体" w:cs="宋体"/>
          <w:b/>
          <w:color w:val="auto"/>
          <w:sz w:val="30"/>
          <w:highlight w:val="none"/>
          <w:lang w:val="en-US" w:eastAsia="zh-CN"/>
        </w:rPr>
      </w:pPr>
      <w:bookmarkStart w:id="3" w:name="_Toc3757"/>
      <w:r>
        <w:rPr>
          <w:rFonts w:ascii="宋体" w:hAnsi="宋体" w:eastAsia="宋体" w:cs="宋体"/>
          <w:b/>
          <w:color w:val="auto"/>
          <w:sz w:val="30"/>
          <w:highlight w:val="none"/>
        </w:rPr>
        <w:t>项目编号：</w:t>
      </w:r>
      <w:bookmarkEnd w:id="3"/>
      <w:r>
        <w:rPr>
          <w:rFonts w:hint="eastAsia" w:ascii="宋体" w:hAnsi="宋体" w:eastAsia="宋体" w:cs="宋体"/>
          <w:b/>
          <w:color w:val="auto"/>
          <w:sz w:val="30"/>
          <w:highlight w:val="none"/>
          <w:lang w:eastAsia="zh-CN"/>
        </w:rPr>
        <w:t>SDGP370300000202202000480</w:t>
      </w:r>
    </w:p>
    <w:p>
      <w:pPr>
        <w:spacing w:line="360" w:lineRule="auto"/>
        <w:ind w:left="2100" w:leftChars="426" w:hanging="1205" w:hangingChars="400"/>
        <w:jc w:val="left"/>
        <w:outlineLvl w:val="9"/>
        <w:rPr>
          <w:rFonts w:hint="eastAsia" w:ascii="宋体" w:hAnsi="宋体" w:eastAsia="宋体" w:cs="宋体"/>
          <w:b/>
          <w:color w:val="auto"/>
          <w:sz w:val="30"/>
          <w:highlight w:val="none"/>
          <w:lang w:val="en-GB" w:eastAsia="zh-CN"/>
        </w:rPr>
      </w:pPr>
      <w:bookmarkStart w:id="4" w:name="_Toc27501"/>
      <w:r>
        <w:rPr>
          <w:rFonts w:ascii="宋体" w:hAnsi="宋体" w:eastAsia="宋体" w:cs="宋体"/>
          <w:b/>
          <w:color w:val="auto"/>
          <w:sz w:val="30"/>
          <w:highlight w:val="none"/>
        </w:rPr>
        <w:t>项目名称:</w:t>
      </w:r>
      <w:r>
        <w:rPr>
          <w:rFonts w:hint="eastAsia" w:ascii="宋体" w:hAnsi="宋体" w:eastAsia="宋体" w:cs="宋体"/>
          <w:b/>
          <w:color w:val="auto"/>
          <w:sz w:val="30"/>
          <w:highlight w:val="none"/>
          <w:lang w:val="en-GB" w:eastAsia="zh-CN"/>
        </w:rPr>
        <w:t>淄博市中医医院东院区、院本部、张店和平路院区、</w:t>
      </w:r>
    </w:p>
    <w:p>
      <w:pPr>
        <w:spacing w:line="360" w:lineRule="auto"/>
        <w:ind w:left="2085" w:leftChars="993" w:firstLine="232" w:firstLineChars="77"/>
        <w:jc w:val="left"/>
        <w:outlineLvl w:val="9"/>
        <w:rPr>
          <w:rFonts w:hint="eastAsia" w:ascii="宋体" w:hAnsi="宋体" w:eastAsia="宋体" w:cs="宋体"/>
          <w:b/>
          <w:color w:val="auto"/>
          <w:sz w:val="30"/>
          <w:highlight w:val="none"/>
          <w:lang w:val="en-US" w:eastAsia="zh-CN"/>
        </w:rPr>
      </w:pPr>
      <w:r>
        <w:rPr>
          <w:rFonts w:hint="eastAsia" w:ascii="宋体" w:hAnsi="宋体" w:eastAsia="宋体" w:cs="宋体"/>
          <w:b/>
          <w:color w:val="auto"/>
          <w:sz w:val="30"/>
          <w:highlight w:val="none"/>
          <w:lang w:val="en-GB" w:eastAsia="zh-CN"/>
        </w:rPr>
        <w:t>皮防院</w:t>
      </w:r>
      <w:r>
        <w:rPr>
          <w:rFonts w:hint="eastAsia" w:ascii="宋体" w:hAnsi="宋体" w:eastAsia="宋体" w:cs="宋体"/>
          <w:b/>
          <w:color w:val="auto"/>
          <w:sz w:val="30"/>
          <w:highlight w:val="none"/>
          <w:lang w:val="en-US" w:eastAsia="zh-CN"/>
        </w:rPr>
        <w:t>四个院区所有基础设施的维修、维护、保养</w:t>
      </w:r>
    </w:p>
    <w:p>
      <w:pPr>
        <w:spacing w:line="360" w:lineRule="auto"/>
        <w:ind w:left="2085" w:leftChars="993" w:firstLine="232" w:firstLineChars="77"/>
        <w:jc w:val="left"/>
        <w:outlineLvl w:val="9"/>
        <w:rPr>
          <w:rFonts w:hint="eastAsia" w:ascii="宋体" w:hAnsi="宋体" w:eastAsia="宋体" w:cs="宋体"/>
          <w:b/>
          <w:color w:val="auto"/>
          <w:sz w:val="30"/>
          <w:highlight w:val="none"/>
          <w:lang w:eastAsia="zh-CN"/>
        </w:rPr>
      </w:pPr>
      <w:r>
        <w:rPr>
          <w:rFonts w:hint="eastAsia" w:ascii="宋体" w:hAnsi="宋体" w:eastAsia="宋体" w:cs="宋体"/>
          <w:b/>
          <w:color w:val="auto"/>
          <w:sz w:val="30"/>
          <w:highlight w:val="none"/>
          <w:lang w:eastAsia="zh-CN"/>
        </w:rPr>
        <w:t>服务采购项目</w:t>
      </w:r>
      <w:bookmarkEnd w:id="4"/>
    </w:p>
    <w:p>
      <w:pPr>
        <w:pStyle w:val="9"/>
        <w:outlineLvl w:val="9"/>
        <w:rPr>
          <w:rFonts w:hint="eastAsia" w:ascii="宋体" w:hAnsi="宋体" w:eastAsia="宋体" w:cs="宋体"/>
          <w:b/>
          <w:color w:val="auto"/>
          <w:sz w:val="30"/>
          <w:highlight w:val="none"/>
          <w:lang w:eastAsia="zh-CN"/>
        </w:rPr>
      </w:pPr>
    </w:p>
    <w:p>
      <w:pPr>
        <w:pStyle w:val="9"/>
        <w:outlineLvl w:val="9"/>
        <w:rPr>
          <w:rFonts w:hint="eastAsia" w:ascii="宋体" w:hAnsi="宋体" w:eastAsia="宋体" w:cs="宋体"/>
          <w:b/>
          <w:color w:val="auto"/>
          <w:sz w:val="30"/>
          <w:highlight w:val="none"/>
          <w:lang w:eastAsia="zh-CN"/>
        </w:rPr>
      </w:pPr>
    </w:p>
    <w:p>
      <w:pPr>
        <w:ind w:left="1080" w:hanging="540"/>
        <w:jc w:val="center"/>
        <w:outlineLvl w:val="9"/>
        <w:rPr>
          <w:rFonts w:hint="eastAsia" w:ascii="宋体" w:hAnsi="宋体" w:cs="宋体" w:eastAsiaTheme="minorEastAsia"/>
          <w:b/>
          <w:color w:val="auto"/>
          <w:sz w:val="52"/>
          <w:highlight w:val="none"/>
          <w:lang w:val="en-US" w:eastAsia="zh-CN"/>
        </w:rPr>
      </w:pPr>
      <w:r>
        <w:rPr>
          <w:highlight w:val="none"/>
        </w:rPr>
        <w:drawing>
          <wp:inline distT="0" distB="0" distL="114300" distR="114300">
            <wp:extent cx="2404745" cy="1794510"/>
            <wp:effectExtent l="0" t="0" r="14605" b="15240"/>
            <wp:docPr id="7" name="图片 7"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片1"/>
                    <pic:cNvPicPr>
                      <a:picLocks noChangeAspect="1"/>
                    </pic:cNvPicPr>
                  </pic:nvPicPr>
                  <pic:blipFill>
                    <a:blip r:embed="rId9"/>
                    <a:stretch>
                      <a:fillRect/>
                    </a:stretch>
                  </pic:blipFill>
                  <pic:spPr>
                    <a:xfrm>
                      <a:off x="0" y="0"/>
                      <a:ext cx="2404745" cy="1794510"/>
                    </a:xfrm>
                    <a:prstGeom prst="rect">
                      <a:avLst/>
                    </a:prstGeom>
                  </pic:spPr>
                </pic:pic>
              </a:graphicData>
            </a:graphic>
          </wp:inline>
        </w:drawing>
      </w:r>
      <w:r>
        <w:rPr>
          <w:rFonts w:hint="eastAsia"/>
          <w:highlight w:val="none"/>
          <w:lang w:val="en-US" w:eastAsia="zh-CN"/>
        </w:rPr>
        <w:t xml:space="preserve"> </w:t>
      </w:r>
    </w:p>
    <w:p>
      <w:pPr>
        <w:jc w:val="both"/>
        <w:outlineLvl w:val="9"/>
        <w:rPr>
          <w:rFonts w:ascii="宋体" w:hAnsi="宋体" w:eastAsia="宋体" w:cs="宋体"/>
          <w:b/>
          <w:color w:val="auto"/>
          <w:sz w:val="52"/>
          <w:highlight w:val="none"/>
        </w:rPr>
      </w:pPr>
    </w:p>
    <w:p>
      <w:pPr>
        <w:pStyle w:val="9"/>
        <w:outlineLvl w:val="9"/>
      </w:pPr>
    </w:p>
    <w:p>
      <w:pPr>
        <w:keepNext w:val="0"/>
        <w:keepLines w:val="0"/>
        <w:pageBreakBefore w:val="0"/>
        <w:widowControl w:val="0"/>
        <w:kinsoku/>
        <w:wordWrap/>
        <w:overflowPunct/>
        <w:topLinePunct w:val="0"/>
        <w:autoSpaceDE/>
        <w:autoSpaceDN/>
        <w:bidi w:val="0"/>
        <w:adjustRightInd/>
        <w:snapToGrid/>
        <w:spacing w:line="360" w:lineRule="auto"/>
        <w:ind w:firstLine="1928" w:firstLineChars="600"/>
        <w:textAlignment w:val="auto"/>
        <w:outlineLvl w:val="9"/>
        <w:rPr>
          <w:rFonts w:hint="eastAsia" w:ascii="宋体" w:hAnsi="宋体" w:eastAsia="宋体" w:cs="宋体"/>
          <w:b/>
          <w:color w:val="auto"/>
          <w:sz w:val="32"/>
          <w:highlight w:val="none"/>
          <w:lang w:eastAsia="zh-CN"/>
        </w:rPr>
      </w:pPr>
      <w:bookmarkStart w:id="5" w:name="_Toc2695"/>
      <w:r>
        <w:rPr>
          <w:rFonts w:ascii="宋体" w:hAnsi="宋体" w:eastAsia="宋体" w:cs="宋体"/>
          <w:b/>
          <w:color w:val="auto"/>
          <w:sz w:val="32"/>
          <w:highlight w:val="none"/>
        </w:rPr>
        <w:t>采</w:t>
      </w:r>
      <w:r>
        <w:rPr>
          <w:rFonts w:hint="eastAsia" w:ascii="宋体" w:hAnsi="宋体" w:eastAsia="宋体" w:cs="宋体"/>
          <w:b/>
          <w:color w:val="auto"/>
          <w:sz w:val="32"/>
          <w:highlight w:val="none"/>
          <w:lang w:val="en-US" w:eastAsia="zh-CN"/>
        </w:rPr>
        <w:t xml:space="preserve"> </w:t>
      </w:r>
      <w:r>
        <w:rPr>
          <w:rFonts w:ascii="宋体" w:hAnsi="宋体" w:eastAsia="宋体" w:cs="宋体"/>
          <w:b/>
          <w:color w:val="auto"/>
          <w:sz w:val="32"/>
          <w:highlight w:val="none"/>
        </w:rPr>
        <w:t>购</w:t>
      </w:r>
      <w:r>
        <w:rPr>
          <w:rFonts w:hint="eastAsia" w:ascii="宋体" w:hAnsi="宋体" w:eastAsia="宋体" w:cs="宋体"/>
          <w:b/>
          <w:color w:val="auto"/>
          <w:sz w:val="32"/>
          <w:highlight w:val="none"/>
          <w:lang w:val="en-US" w:eastAsia="zh-CN"/>
        </w:rPr>
        <w:t xml:space="preserve"> </w:t>
      </w:r>
      <w:r>
        <w:rPr>
          <w:rFonts w:ascii="宋体" w:hAnsi="宋体" w:eastAsia="宋体" w:cs="宋体"/>
          <w:b/>
          <w:color w:val="auto"/>
          <w:sz w:val="32"/>
          <w:highlight w:val="none"/>
        </w:rPr>
        <w:t>人:</w:t>
      </w:r>
      <w:r>
        <w:rPr>
          <w:rFonts w:hint="eastAsia" w:ascii="宋体" w:hAnsi="宋体" w:eastAsia="宋体" w:cs="宋体"/>
          <w:b/>
          <w:color w:val="auto"/>
          <w:sz w:val="32"/>
          <w:highlight w:val="none"/>
          <w:lang w:eastAsia="zh-CN"/>
        </w:rPr>
        <w:t>淄博市中医医院</w:t>
      </w:r>
      <w:bookmarkEnd w:id="5"/>
    </w:p>
    <w:p>
      <w:pPr>
        <w:keepNext w:val="0"/>
        <w:keepLines w:val="0"/>
        <w:pageBreakBefore w:val="0"/>
        <w:widowControl w:val="0"/>
        <w:kinsoku/>
        <w:wordWrap/>
        <w:overflowPunct/>
        <w:topLinePunct w:val="0"/>
        <w:autoSpaceDE/>
        <w:autoSpaceDN/>
        <w:bidi w:val="0"/>
        <w:adjustRightInd/>
        <w:snapToGrid/>
        <w:spacing w:line="360" w:lineRule="auto"/>
        <w:ind w:left="0" w:leftChars="0" w:firstLine="1928" w:firstLineChars="600"/>
        <w:textAlignment w:val="auto"/>
        <w:outlineLvl w:val="9"/>
        <w:rPr>
          <w:rFonts w:ascii="宋体" w:hAnsi="宋体" w:eastAsia="宋体" w:cs="宋体"/>
          <w:b/>
          <w:color w:val="auto"/>
          <w:highlight w:val="none"/>
        </w:rPr>
      </w:pPr>
      <w:bookmarkStart w:id="6" w:name="_Toc9946"/>
      <w:r>
        <w:rPr>
          <w:rFonts w:ascii="宋体" w:hAnsi="宋体" w:eastAsia="宋体" w:cs="宋体"/>
          <w:b/>
          <w:color w:val="auto"/>
          <w:sz w:val="32"/>
          <w:highlight w:val="none"/>
        </w:rPr>
        <w:t>采购代理机构：</w:t>
      </w:r>
      <w:r>
        <w:rPr>
          <w:rFonts w:hint="eastAsia" w:ascii="宋体" w:hAnsi="宋体" w:eastAsia="宋体" w:cs="宋体"/>
          <w:b/>
          <w:color w:val="auto"/>
          <w:sz w:val="32"/>
          <w:highlight w:val="none"/>
          <w:lang w:eastAsia="zh-CN"/>
        </w:rPr>
        <w:t>山东东成建设咨询有限公司</w:t>
      </w:r>
      <w:bookmarkEnd w:id="6"/>
      <w:r>
        <w:rPr>
          <w:rFonts w:ascii="宋体" w:hAnsi="宋体" w:eastAsia="宋体" w:cs="宋体"/>
          <w:b/>
          <w:color w:val="auto"/>
          <w:sz w:val="32"/>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1928" w:firstLineChars="600"/>
        <w:textAlignment w:val="auto"/>
        <w:outlineLvl w:val="9"/>
        <w:rPr>
          <w:rFonts w:hint="eastAsia" w:ascii="宋体" w:hAnsi="宋体" w:eastAsia="宋体" w:cstheme="minorBidi"/>
          <w:color w:val="auto"/>
          <w:kern w:val="2"/>
          <w:sz w:val="21"/>
          <w:szCs w:val="22"/>
          <w:highlight w:val="none"/>
          <w:lang w:val="en-US" w:eastAsia="zh-CN" w:bidi="ar-SA"/>
        </w:rPr>
        <w:sectPr>
          <w:headerReference r:id="rId3" w:type="default"/>
          <w:footerReference r:id="rId4" w:type="default"/>
          <w:pgSz w:w="11920" w:h="16840"/>
          <w:pgMar w:top="1106" w:right="1128" w:bottom="1128" w:left="1071" w:header="720" w:footer="720" w:gutter="0"/>
          <w:pgNumType w:fmt="decimal" w:start="1"/>
          <w:cols w:space="720" w:num="1"/>
        </w:sectPr>
      </w:pPr>
      <w:bookmarkStart w:id="7" w:name="_Toc22512"/>
      <w:r>
        <w:rPr>
          <w:rFonts w:ascii="宋体" w:hAnsi="宋体" w:eastAsia="宋体" w:cs="宋体"/>
          <w:b/>
          <w:color w:val="auto"/>
          <w:sz w:val="32"/>
          <w:highlight w:val="none"/>
        </w:rPr>
        <w:t>发 出 日 期</w:t>
      </w:r>
      <w:r>
        <w:rPr>
          <w:rFonts w:ascii="宋体" w:hAnsi="宋体" w:eastAsia="宋体" w:cs="宋体"/>
          <w:b/>
          <w:color w:val="auto"/>
          <w:sz w:val="30"/>
          <w:highlight w:val="none"/>
        </w:rPr>
        <w:t>：</w:t>
      </w:r>
      <w:r>
        <w:rPr>
          <w:rFonts w:hint="eastAsia" w:ascii="宋体" w:hAnsi="宋体" w:eastAsia="宋体" w:cs="宋体"/>
          <w:b/>
          <w:color w:val="auto"/>
          <w:sz w:val="30"/>
          <w:highlight w:val="none"/>
          <w:lang w:val="en-US" w:eastAsia="zh-CN"/>
        </w:rPr>
        <w:t xml:space="preserve"> 2022</w:t>
      </w:r>
      <w:r>
        <w:rPr>
          <w:rFonts w:ascii="宋体" w:hAnsi="宋体" w:eastAsia="宋体" w:cs="宋体"/>
          <w:b/>
          <w:color w:val="auto"/>
          <w:sz w:val="30"/>
          <w:highlight w:val="none"/>
          <w:u w:val="none"/>
        </w:rPr>
        <w:t>年</w:t>
      </w:r>
      <w:r>
        <w:rPr>
          <w:rFonts w:hint="eastAsia" w:ascii="宋体" w:hAnsi="宋体" w:eastAsia="宋体" w:cs="宋体"/>
          <w:b/>
          <w:color w:val="auto"/>
          <w:sz w:val="30"/>
          <w:highlight w:val="none"/>
          <w:u w:val="none"/>
          <w:lang w:val="en-US" w:eastAsia="zh-CN"/>
        </w:rPr>
        <w:t>7</w:t>
      </w:r>
      <w:r>
        <w:rPr>
          <w:rFonts w:ascii="宋体" w:hAnsi="宋体" w:eastAsia="宋体" w:cs="宋体"/>
          <w:b/>
          <w:color w:val="auto"/>
          <w:sz w:val="30"/>
          <w:highlight w:val="none"/>
          <w:u w:val="none"/>
        </w:rPr>
        <w:t>月</w:t>
      </w:r>
      <w:r>
        <w:rPr>
          <w:rFonts w:hint="eastAsia" w:ascii="宋体" w:hAnsi="宋体" w:eastAsia="宋体" w:cs="宋体"/>
          <w:b/>
          <w:color w:val="auto"/>
          <w:sz w:val="30"/>
          <w:highlight w:val="none"/>
          <w:u w:val="none"/>
          <w:lang w:val="en-US" w:eastAsia="zh-CN"/>
        </w:rPr>
        <w:t>27</w:t>
      </w:r>
      <w:r>
        <w:rPr>
          <w:rFonts w:ascii="宋体" w:hAnsi="宋体" w:eastAsia="宋体" w:cs="宋体"/>
          <w:b/>
          <w:color w:val="auto"/>
          <w:sz w:val="30"/>
          <w:highlight w:val="none"/>
          <w:u w:val="none"/>
        </w:rPr>
        <w:t>日</w:t>
      </w:r>
      <w:bookmarkEnd w:id="7"/>
      <w:r>
        <w:rPr>
          <w:rFonts w:hint="eastAsia" w:ascii="宋体" w:hAnsi="宋体" w:eastAsia="宋体" w:cs="宋体"/>
          <w:b/>
          <w:color w:val="auto"/>
          <w:sz w:val="30"/>
          <w:highlight w:val="none"/>
          <w:u w:val="none"/>
          <w:lang w:val="en-US" w:eastAsia="zh-CN"/>
        </w:rPr>
        <w:t xml:space="preserve"> </w:t>
      </w:r>
    </w:p>
    <w:p>
      <w:pPr>
        <w:pStyle w:val="15"/>
        <w:tabs>
          <w:tab w:val="right" w:leader="dot" w:pos="8320"/>
        </w:tabs>
        <w:ind w:firstLine="3614" w:firstLineChars="1200"/>
        <w:jc w:val="both"/>
        <w:rPr>
          <w:rFonts w:hint="eastAsia" w:eastAsiaTheme="minorEastAsia"/>
          <w:b/>
          <w:bCs/>
          <w:sz w:val="30"/>
          <w:szCs w:val="30"/>
          <w:lang w:eastAsia="zh-CN"/>
        </w:rPr>
      </w:pPr>
      <w:bookmarkStart w:id="8" w:name="_Toc6573"/>
      <w:r>
        <w:rPr>
          <w:rFonts w:hint="eastAsia"/>
          <w:b/>
          <w:bCs/>
          <w:sz w:val="30"/>
          <w:szCs w:val="30"/>
          <w:lang w:eastAsia="zh-CN"/>
        </w:rPr>
        <w:t>目</w:t>
      </w:r>
      <w:r>
        <w:rPr>
          <w:rFonts w:hint="eastAsia"/>
          <w:b/>
          <w:bCs/>
          <w:sz w:val="30"/>
          <w:szCs w:val="30"/>
          <w:lang w:val="en-US" w:eastAsia="zh-CN"/>
        </w:rPr>
        <w:t xml:space="preserve">     </w:t>
      </w:r>
      <w:r>
        <w:rPr>
          <w:rFonts w:hint="eastAsia"/>
          <w:b/>
          <w:bCs/>
          <w:sz w:val="30"/>
          <w:szCs w:val="30"/>
          <w:lang w:eastAsia="zh-CN"/>
        </w:rPr>
        <w:t>录</w:t>
      </w:r>
    </w:p>
    <w:p>
      <w:pPr>
        <w:pStyle w:val="15"/>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 \u </w:instrText>
      </w:r>
      <w:r>
        <w:rPr>
          <w:rFonts w:hint="eastAsia" w:ascii="宋体" w:hAnsi="宋体" w:eastAsia="宋体" w:cs="宋体"/>
          <w:sz w:val="24"/>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_Toc10502 </w:instrText>
      </w:r>
      <w:r>
        <w:rPr>
          <w:rFonts w:hint="eastAsia" w:ascii="宋体" w:hAnsi="宋体" w:eastAsia="宋体" w:cs="宋体"/>
          <w:szCs w:val="24"/>
        </w:rPr>
        <w:fldChar w:fldCharType="separate"/>
      </w:r>
      <w:r>
        <w:rPr>
          <w:rFonts w:hint="eastAsia" w:ascii="宋体" w:hAnsi="宋体" w:eastAsia="宋体" w:cs="宋体"/>
          <w:szCs w:val="32"/>
          <w:highlight w:val="none"/>
          <w:lang w:val="en-US" w:eastAsia="zh-CN"/>
        </w:rPr>
        <w:t>第一章</w:t>
      </w:r>
      <w:r>
        <w:rPr>
          <w:rFonts w:hint="eastAsia" w:ascii="宋体" w:hAnsi="宋体" w:eastAsia="宋体" w:cs="宋体"/>
          <w:szCs w:val="32"/>
          <w:highlight w:val="none"/>
        </w:rPr>
        <w:t xml:space="preserve"> 采购邀请</w:t>
      </w:r>
      <w:r>
        <w:tab/>
      </w:r>
      <w:r>
        <w:fldChar w:fldCharType="begin"/>
      </w:r>
      <w:r>
        <w:instrText xml:space="preserve"> PAGEREF _Toc10502 \h </w:instrText>
      </w:r>
      <w:r>
        <w:fldChar w:fldCharType="separate"/>
      </w:r>
      <w:r>
        <w:t>1</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_Toc13789 </w:instrText>
      </w:r>
      <w:r>
        <w:rPr>
          <w:rFonts w:hint="eastAsia" w:ascii="宋体" w:hAnsi="宋体" w:eastAsia="宋体" w:cs="宋体"/>
          <w:szCs w:val="24"/>
        </w:rPr>
        <w:fldChar w:fldCharType="separate"/>
      </w:r>
      <w:r>
        <w:rPr>
          <w:rFonts w:hint="eastAsia" w:ascii="宋体" w:hAnsi="宋体" w:eastAsia="宋体" w:cs="宋体"/>
          <w:szCs w:val="24"/>
          <w:highlight w:val="none"/>
        </w:rPr>
        <w:t>一、项目基本情况</w:t>
      </w:r>
      <w:r>
        <w:tab/>
      </w:r>
      <w:r>
        <w:fldChar w:fldCharType="begin"/>
      </w:r>
      <w:r>
        <w:instrText xml:space="preserve"> PAGEREF _Toc13789 \h </w:instrText>
      </w:r>
      <w:r>
        <w:fldChar w:fldCharType="separate"/>
      </w:r>
      <w:r>
        <w:t>1</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_Toc26866 </w:instrText>
      </w:r>
      <w:r>
        <w:rPr>
          <w:rFonts w:hint="eastAsia" w:ascii="宋体" w:hAnsi="宋体" w:eastAsia="宋体" w:cs="宋体"/>
          <w:szCs w:val="24"/>
        </w:rPr>
        <w:fldChar w:fldCharType="separate"/>
      </w:r>
      <w:r>
        <w:rPr>
          <w:rFonts w:hint="eastAsia" w:ascii="宋体" w:hAnsi="宋体" w:eastAsia="宋体" w:cs="宋体"/>
          <w:szCs w:val="24"/>
          <w:highlight w:val="none"/>
        </w:rPr>
        <w:t>二、申请人的资格要求：</w:t>
      </w:r>
      <w:r>
        <w:tab/>
      </w:r>
      <w:r>
        <w:fldChar w:fldCharType="begin"/>
      </w:r>
      <w:r>
        <w:instrText xml:space="preserve"> PAGEREF _Toc26866 \h </w:instrText>
      </w:r>
      <w:r>
        <w:fldChar w:fldCharType="separate"/>
      </w:r>
      <w:r>
        <w:t>1</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_Toc29660 </w:instrText>
      </w:r>
      <w:r>
        <w:rPr>
          <w:rFonts w:hint="eastAsia" w:ascii="宋体" w:hAnsi="宋体" w:eastAsia="宋体" w:cs="宋体"/>
          <w:szCs w:val="24"/>
        </w:rPr>
        <w:fldChar w:fldCharType="separate"/>
      </w:r>
      <w:r>
        <w:rPr>
          <w:rFonts w:ascii="宋体" w:hAnsi="宋体" w:eastAsia="宋体" w:cs="宋体"/>
          <w:highlight w:val="none"/>
        </w:rPr>
        <w:t>三、获取</w:t>
      </w:r>
      <w:r>
        <w:rPr>
          <w:rFonts w:hint="eastAsia" w:ascii="宋体" w:hAnsi="宋体" w:eastAsia="宋体" w:cs="宋体"/>
          <w:highlight w:val="none"/>
          <w:lang w:eastAsia="zh-CN"/>
        </w:rPr>
        <w:t>采购文件</w:t>
      </w:r>
      <w:r>
        <w:tab/>
      </w:r>
      <w:r>
        <w:fldChar w:fldCharType="begin"/>
      </w:r>
      <w:r>
        <w:instrText xml:space="preserve"> PAGEREF _Toc29660 \h </w:instrText>
      </w:r>
      <w:r>
        <w:fldChar w:fldCharType="separate"/>
      </w:r>
      <w:r>
        <w:t>2</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_Toc5072 </w:instrText>
      </w:r>
      <w:r>
        <w:rPr>
          <w:rFonts w:hint="eastAsia" w:ascii="宋体" w:hAnsi="宋体" w:eastAsia="宋体" w:cs="宋体"/>
          <w:szCs w:val="24"/>
        </w:rPr>
        <w:fldChar w:fldCharType="separate"/>
      </w:r>
      <w:r>
        <w:rPr>
          <w:rFonts w:ascii="宋体" w:hAnsi="宋体" w:eastAsia="宋体" w:cs="宋体"/>
          <w:bCs/>
          <w:highlight w:val="none"/>
        </w:rPr>
        <w:t>四、响应文件提交</w:t>
      </w:r>
      <w:r>
        <w:tab/>
      </w:r>
      <w:r>
        <w:fldChar w:fldCharType="begin"/>
      </w:r>
      <w:r>
        <w:instrText xml:space="preserve"> PAGEREF _Toc5072 \h </w:instrText>
      </w:r>
      <w:r>
        <w:fldChar w:fldCharType="separate"/>
      </w:r>
      <w:r>
        <w:t>2</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_Toc10826 </w:instrText>
      </w:r>
      <w:r>
        <w:rPr>
          <w:rFonts w:hint="eastAsia" w:ascii="宋体" w:hAnsi="宋体" w:eastAsia="宋体" w:cs="宋体"/>
          <w:szCs w:val="24"/>
        </w:rPr>
        <w:fldChar w:fldCharType="separate"/>
      </w:r>
      <w:r>
        <w:rPr>
          <w:rFonts w:ascii="宋体" w:hAnsi="宋体" w:eastAsia="宋体" w:cs="宋体"/>
          <w:bCs/>
          <w:highlight w:val="none"/>
        </w:rPr>
        <w:t>五、开启</w:t>
      </w:r>
      <w:r>
        <w:tab/>
      </w:r>
      <w:r>
        <w:fldChar w:fldCharType="begin"/>
      </w:r>
      <w:r>
        <w:instrText xml:space="preserve"> PAGEREF _Toc10826 \h </w:instrText>
      </w:r>
      <w:r>
        <w:fldChar w:fldCharType="separate"/>
      </w:r>
      <w:r>
        <w:t>2</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_Toc6794 </w:instrText>
      </w:r>
      <w:r>
        <w:rPr>
          <w:rFonts w:hint="eastAsia" w:ascii="宋体" w:hAnsi="宋体" w:eastAsia="宋体" w:cs="宋体"/>
          <w:szCs w:val="24"/>
        </w:rPr>
        <w:fldChar w:fldCharType="separate"/>
      </w:r>
      <w:r>
        <w:rPr>
          <w:rFonts w:ascii="宋体" w:hAnsi="宋体" w:eastAsia="宋体" w:cs="宋体"/>
          <w:bCs/>
          <w:highlight w:val="none"/>
        </w:rPr>
        <w:t>六、公告期限</w:t>
      </w:r>
      <w:r>
        <w:tab/>
      </w:r>
      <w:r>
        <w:fldChar w:fldCharType="begin"/>
      </w:r>
      <w:r>
        <w:instrText xml:space="preserve"> PAGEREF _Toc6794 \h </w:instrText>
      </w:r>
      <w:r>
        <w:fldChar w:fldCharType="separate"/>
      </w:r>
      <w:r>
        <w:t>2</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_Toc10929 </w:instrText>
      </w:r>
      <w:r>
        <w:rPr>
          <w:rFonts w:hint="eastAsia" w:ascii="宋体" w:hAnsi="宋体" w:eastAsia="宋体" w:cs="宋体"/>
          <w:szCs w:val="24"/>
        </w:rPr>
        <w:fldChar w:fldCharType="separate"/>
      </w:r>
      <w:r>
        <w:rPr>
          <w:rFonts w:hint="eastAsia" w:ascii="宋体" w:hAnsi="宋体" w:eastAsia="宋体" w:cs="宋体"/>
          <w:bCs/>
        </w:rPr>
        <w:t xml:space="preserve">七、 </w:t>
      </w:r>
      <w:r>
        <w:rPr>
          <w:rFonts w:ascii="宋体" w:hAnsi="宋体" w:eastAsia="宋体" w:cs="宋体"/>
          <w:bCs/>
          <w:highlight w:val="none"/>
        </w:rPr>
        <w:t>其他补充事宜</w:t>
      </w:r>
      <w:r>
        <w:tab/>
      </w:r>
      <w:r>
        <w:fldChar w:fldCharType="begin"/>
      </w:r>
      <w:r>
        <w:instrText xml:space="preserve"> PAGEREF _Toc10929 \h </w:instrText>
      </w:r>
      <w:r>
        <w:fldChar w:fldCharType="separate"/>
      </w:r>
      <w:r>
        <w:t>3</w:t>
      </w:r>
      <w:r>
        <w:fldChar w:fldCharType="end"/>
      </w:r>
      <w:r>
        <w:rPr>
          <w:rFonts w:hint="eastAsia" w:ascii="宋体" w:hAnsi="宋体" w:eastAsia="宋体" w:cs="宋体"/>
          <w:szCs w:val="24"/>
        </w:rPr>
        <w:fldChar w:fldCharType="end"/>
      </w:r>
    </w:p>
    <w:p>
      <w:pPr>
        <w:pStyle w:val="15"/>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_Toc6025 </w:instrText>
      </w:r>
      <w:r>
        <w:rPr>
          <w:rFonts w:hint="eastAsia" w:ascii="宋体" w:hAnsi="宋体" w:eastAsia="宋体" w:cs="宋体"/>
          <w:szCs w:val="24"/>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val="en-US" w:eastAsia="zh-CN"/>
        </w:rPr>
        <w:t>二</w:t>
      </w:r>
      <w:r>
        <w:rPr>
          <w:rFonts w:hint="eastAsia" w:ascii="宋体" w:hAnsi="宋体" w:eastAsia="宋体" w:cs="宋体"/>
          <w:szCs w:val="32"/>
          <w:highlight w:val="none"/>
        </w:rPr>
        <w:t>章  供应商须知</w:t>
      </w:r>
      <w:r>
        <w:tab/>
      </w:r>
      <w:r>
        <w:fldChar w:fldCharType="begin"/>
      </w:r>
      <w:r>
        <w:instrText xml:space="preserve"> PAGEREF _Toc6025 \h </w:instrText>
      </w:r>
      <w:r>
        <w:fldChar w:fldCharType="separate"/>
      </w:r>
      <w:r>
        <w:t>5</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_Toc19716 </w:instrText>
      </w:r>
      <w:r>
        <w:rPr>
          <w:rFonts w:hint="eastAsia" w:ascii="宋体" w:hAnsi="宋体" w:eastAsia="宋体" w:cs="宋体"/>
          <w:szCs w:val="24"/>
        </w:rPr>
        <w:fldChar w:fldCharType="separate"/>
      </w:r>
      <w:r>
        <w:rPr>
          <w:rFonts w:ascii="宋体" w:hAnsi="宋体" w:eastAsia="宋体" w:cs="宋体"/>
          <w:highlight w:val="none"/>
        </w:rPr>
        <w:t>一</w:t>
      </w:r>
      <w:r>
        <w:rPr>
          <w:rFonts w:hint="eastAsia" w:ascii="宋体" w:hAnsi="宋体" w:eastAsia="宋体" w:cs="宋体"/>
          <w:highlight w:val="none"/>
          <w:lang w:eastAsia="zh-CN"/>
        </w:rPr>
        <w:t>、</w:t>
      </w:r>
      <w:r>
        <w:rPr>
          <w:rFonts w:ascii="宋体" w:hAnsi="宋体" w:eastAsia="宋体" w:cs="宋体"/>
          <w:highlight w:val="none"/>
        </w:rPr>
        <w:t>总 则</w:t>
      </w:r>
      <w:r>
        <w:tab/>
      </w:r>
      <w:r>
        <w:fldChar w:fldCharType="begin"/>
      </w:r>
      <w:r>
        <w:instrText xml:space="preserve"> PAGEREF _Toc19716 \h </w:instrText>
      </w:r>
      <w:r>
        <w:fldChar w:fldCharType="separate"/>
      </w:r>
      <w:r>
        <w:t>10</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_Toc12510 </w:instrText>
      </w:r>
      <w:r>
        <w:rPr>
          <w:rFonts w:hint="eastAsia" w:ascii="宋体" w:hAnsi="宋体" w:eastAsia="宋体" w:cs="宋体"/>
          <w:szCs w:val="24"/>
        </w:rPr>
        <w:fldChar w:fldCharType="separate"/>
      </w:r>
      <w:r>
        <w:rPr>
          <w:rFonts w:ascii="宋体" w:hAnsi="宋体" w:eastAsia="宋体" w:cs="宋体"/>
          <w:highlight w:val="none"/>
        </w:rPr>
        <w:t>1.采购人、采购代理机构及供应商</w:t>
      </w:r>
      <w:r>
        <w:tab/>
      </w:r>
      <w:r>
        <w:fldChar w:fldCharType="begin"/>
      </w:r>
      <w:r>
        <w:instrText xml:space="preserve"> PAGEREF _Toc12510 \h </w:instrText>
      </w:r>
      <w:r>
        <w:fldChar w:fldCharType="separate"/>
      </w:r>
      <w:r>
        <w:t>10</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_Toc5018 </w:instrText>
      </w:r>
      <w:r>
        <w:rPr>
          <w:rFonts w:hint="eastAsia" w:ascii="宋体" w:hAnsi="宋体" w:eastAsia="宋体" w:cs="宋体"/>
          <w:szCs w:val="24"/>
        </w:rPr>
        <w:fldChar w:fldCharType="separate"/>
      </w:r>
      <w:r>
        <w:rPr>
          <w:rFonts w:hint="eastAsia" w:hAnsi="宋体"/>
          <w:highlight w:val="none"/>
        </w:rPr>
        <w:t>2.资金来源</w:t>
      </w:r>
      <w:r>
        <w:tab/>
      </w:r>
      <w:r>
        <w:fldChar w:fldCharType="begin"/>
      </w:r>
      <w:r>
        <w:instrText xml:space="preserve"> PAGEREF _Toc5018 \h </w:instrText>
      </w:r>
      <w:r>
        <w:fldChar w:fldCharType="separate"/>
      </w:r>
      <w:r>
        <w:t>11</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_Toc12029 </w:instrText>
      </w:r>
      <w:r>
        <w:rPr>
          <w:rFonts w:hint="eastAsia" w:ascii="宋体" w:hAnsi="宋体" w:eastAsia="宋体" w:cs="宋体"/>
          <w:szCs w:val="24"/>
        </w:rPr>
        <w:fldChar w:fldCharType="separate"/>
      </w:r>
      <w:r>
        <w:rPr>
          <w:rFonts w:hint="eastAsia" w:hAnsi="宋体"/>
          <w:highlight w:val="none"/>
        </w:rPr>
        <w:t>3.</w:t>
      </w:r>
      <w:r>
        <w:rPr>
          <w:rFonts w:hint="eastAsia" w:hAnsi="宋体"/>
          <w:highlight w:val="none"/>
          <w:lang w:val="en-US" w:eastAsia="zh-CN"/>
        </w:rPr>
        <w:t>响应</w:t>
      </w:r>
      <w:r>
        <w:rPr>
          <w:rFonts w:hint="eastAsia" w:hAnsi="宋体"/>
          <w:highlight w:val="none"/>
        </w:rPr>
        <w:t>费用</w:t>
      </w:r>
      <w:r>
        <w:tab/>
      </w:r>
      <w:r>
        <w:fldChar w:fldCharType="begin"/>
      </w:r>
      <w:r>
        <w:instrText xml:space="preserve"> PAGEREF _Toc12029 \h </w:instrText>
      </w:r>
      <w:r>
        <w:fldChar w:fldCharType="separate"/>
      </w:r>
      <w:r>
        <w:t>11</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_Toc1729 </w:instrText>
      </w:r>
      <w:r>
        <w:rPr>
          <w:rFonts w:hint="eastAsia" w:ascii="宋体" w:hAnsi="宋体" w:eastAsia="宋体" w:cs="宋体"/>
          <w:szCs w:val="24"/>
        </w:rPr>
        <w:fldChar w:fldCharType="separate"/>
      </w:r>
      <w:r>
        <w:rPr>
          <w:rFonts w:hint="eastAsia" w:hAnsi="宋体"/>
          <w:highlight w:val="none"/>
        </w:rPr>
        <w:t>4.适用法律</w:t>
      </w:r>
      <w:r>
        <w:tab/>
      </w:r>
      <w:r>
        <w:fldChar w:fldCharType="begin"/>
      </w:r>
      <w:r>
        <w:instrText xml:space="preserve"> PAGEREF _Toc1729 \h </w:instrText>
      </w:r>
      <w:r>
        <w:fldChar w:fldCharType="separate"/>
      </w:r>
      <w:r>
        <w:t>11</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_Toc25494 </w:instrText>
      </w:r>
      <w:r>
        <w:rPr>
          <w:rFonts w:hint="eastAsia" w:ascii="宋体" w:hAnsi="宋体" w:eastAsia="宋体" w:cs="宋体"/>
          <w:szCs w:val="24"/>
        </w:rPr>
        <w:fldChar w:fldCharType="separate"/>
      </w:r>
      <w:r>
        <w:rPr>
          <w:rFonts w:ascii="宋体" w:hAnsi="宋体" w:eastAsia="宋体" w:cs="宋体"/>
          <w:highlight w:val="none"/>
        </w:rPr>
        <w:t>二</w:t>
      </w:r>
      <w:r>
        <w:rPr>
          <w:rFonts w:hint="eastAsia" w:ascii="宋体" w:hAnsi="宋体" w:eastAsia="宋体" w:cs="宋体"/>
          <w:highlight w:val="none"/>
          <w:lang w:eastAsia="zh-CN"/>
        </w:rPr>
        <w:t>、采购文件</w:t>
      </w:r>
      <w:r>
        <w:tab/>
      </w:r>
      <w:r>
        <w:fldChar w:fldCharType="begin"/>
      </w:r>
      <w:r>
        <w:instrText xml:space="preserve"> PAGEREF _Toc25494 \h </w:instrText>
      </w:r>
      <w:r>
        <w:fldChar w:fldCharType="separate"/>
      </w:r>
      <w:r>
        <w:t>11</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_Toc15078 </w:instrText>
      </w:r>
      <w:r>
        <w:rPr>
          <w:rFonts w:hint="eastAsia" w:ascii="宋体" w:hAnsi="宋体" w:eastAsia="宋体" w:cs="宋体"/>
          <w:szCs w:val="24"/>
        </w:rPr>
        <w:fldChar w:fldCharType="separate"/>
      </w:r>
      <w:r>
        <w:rPr>
          <w:rFonts w:ascii="宋体" w:hAnsi="宋体" w:eastAsia="宋体" w:cs="宋体"/>
          <w:highlight w:val="none"/>
        </w:rPr>
        <w:t>5.</w:t>
      </w:r>
      <w:r>
        <w:rPr>
          <w:rFonts w:hint="eastAsia" w:ascii="宋体" w:hAnsi="宋体" w:eastAsia="宋体" w:cs="宋体"/>
          <w:highlight w:val="none"/>
          <w:lang w:eastAsia="zh-CN"/>
        </w:rPr>
        <w:t>采购文件</w:t>
      </w:r>
      <w:r>
        <w:rPr>
          <w:rFonts w:ascii="宋体" w:hAnsi="宋体" w:eastAsia="宋体" w:cs="宋体"/>
          <w:highlight w:val="none"/>
        </w:rPr>
        <w:t>构成</w:t>
      </w:r>
      <w:r>
        <w:tab/>
      </w:r>
      <w:r>
        <w:fldChar w:fldCharType="begin"/>
      </w:r>
      <w:r>
        <w:instrText xml:space="preserve"> PAGEREF _Toc15078 \h </w:instrText>
      </w:r>
      <w:r>
        <w:fldChar w:fldCharType="separate"/>
      </w:r>
      <w:r>
        <w:t>11</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_Toc23805 </w:instrText>
      </w:r>
      <w:r>
        <w:rPr>
          <w:rFonts w:hint="eastAsia" w:ascii="宋体" w:hAnsi="宋体" w:eastAsia="宋体" w:cs="宋体"/>
          <w:szCs w:val="24"/>
        </w:rPr>
        <w:fldChar w:fldCharType="separate"/>
      </w:r>
      <w:r>
        <w:rPr>
          <w:rFonts w:ascii="宋体" w:hAnsi="宋体" w:eastAsia="宋体" w:cs="宋体"/>
          <w:highlight w:val="none"/>
        </w:rPr>
        <w:t>6.</w:t>
      </w:r>
      <w:r>
        <w:rPr>
          <w:rFonts w:hint="eastAsia" w:ascii="宋体" w:hAnsi="宋体" w:eastAsia="宋体" w:cs="宋体"/>
          <w:highlight w:val="none"/>
          <w:lang w:val="en-US" w:eastAsia="zh-CN"/>
        </w:rPr>
        <w:t>响应</w:t>
      </w:r>
      <w:r>
        <w:rPr>
          <w:rFonts w:ascii="宋体" w:hAnsi="宋体" w:eastAsia="宋体" w:cs="宋体"/>
          <w:highlight w:val="none"/>
        </w:rPr>
        <w:t>文件的澄清与修改</w:t>
      </w:r>
      <w:r>
        <w:tab/>
      </w:r>
      <w:r>
        <w:fldChar w:fldCharType="begin"/>
      </w:r>
      <w:r>
        <w:instrText xml:space="preserve"> PAGEREF _Toc23805 \h </w:instrText>
      </w:r>
      <w:r>
        <w:fldChar w:fldCharType="separate"/>
      </w:r>
      <w:r>
        <w:t>12</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_Toc27219 </w:instrText>
      </w:r>
      <w:r>
        <w:rPr>
          <w:rFonts w:hint="eastAsia" w:ascii="宋体" w:hAnsi="宋体" w:eastAsia="宋体" w:cs="宋体"/>
          <w:szCs w:val="24"/>
        </w:rPr>
        <w:fldChar w:fldCharType="separate"/>
      </w:r>
      <w:r>
        <w:rPr>
          <w:rFonts w:ascii="宋体" w:hAnsi="宋体" w:eastAsia="宋体" w:cs="宋体"/>
          <w:highlight w:val="none"/>
        </w:rPr>
        <w:t>7.提交响应文件截止时间的顺延</w:t>
      </w:r>
      <w:r>
        <w:tab/>
      </w:r>
      <w:r>
        <w:fldChar w:fldCharType="begin"/>
      </w:r>
      <w:r>
        <w:instrText xml:space="preserve"> PAGEREF _Toc27219 \h </w:instrText>
      </w:r>
      <w:r>
        <w:fldChar w:fldCharType="separate"/>
      </w:r>
      <w:r>
        <w:t>13</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_Toc25713 </w:instrText>
      </w:r>
      <w:r>
        <w:rPr>
          <w:rFonts w:hint="eastAsia" w:ascii="宋体" w:hAnsi="宋体" w:eastAsia="宋体" w:cs="宋体"/>
          <w:szCs w:val="24"/>
        </w:rPr>
        <w:fldChar w:fldCharType="separate"/>
      </w:r>
      <w:r>
        <w:rPr>
          <w:rFonts w:ascii="宋体" w:hAnsi="宋体" w:eastAsia="宋体" w:cs="宋体"/>
          <w:highlight w:val="none"/>
        </w:rPr>
        <w:t>三</w:t>
      </w:r>
      <w:r>
        <w:rPr>
          <w:rFonts w:hint="eastAsia" w:ascii="宋体" w:hAnsi="宋体" w:eastAsia="宋体" w:cs="宋体"/>
          <w:highlight w:val="none"/>
          <w:lang w:eastAsia="zh-CN"/>
        </w:rPr>
        <w:t>、</w:t>
      </w:r>
      <w:r>
        <w:rPr>
          <w:rFonts w:ascii="宋体" w:hAnsi="宋体" w:eastAsia="宋体" w:cs="宋体"/>
          <w:highlight w:val="none"/>
        </w:rPr>
        <w:t>响应文件的编制</w:t>
      </w:r>
      <w:r>
        <w:tab/>
      </w:r>
      <w:r>
        <w:fldChar w:fldCharType="begin"/>
      </w:r>
      <w:r>
        <w:instrText xml:space="preserve"> PAGEREF _Toc25713 \h </w:instrText>
      </w:r>
      <w:r>
        <w:fldChar w:fldCharType="separate"/>
      </w:r>
      <w:r>
        <w:t>13</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_Toc22757 </w:instrText>
      </w:r>
      <w:r>
        <w:rPr>
          <w:rFonts w:hint="eastAsia" w:ascii="宋体" w:hAnsi="宋体" w:eastAsia="宋体" w:cs="宋体"/>
          <w:szCs w:val="24"/>
        </w:rPr>
        <w:fldChar w:fldCharType="separate"/>
      </w:r>
      <w:r>
        <w:rPr>
          <w:rFonts w:ascii="宋体" w:hAnsi="宋体" w:eastAsia="宋体" w:cs="宋体"/>
          <w:highlight w:val="none"/>
        </w:rPr>
        <w:t>8. 编制要求</w:t>
      </w:r>
      <w:r>
        <w:tab/>
      </w:r>
      <w:r>
        <w:fldChar w:fldCharType="begin"/>
      </w:r>
      <w:r>
        <w:instrText xml:space="preserve"> PAGEREF _Toc22757 \h </w:instrText>
      </w:r>
      <w:r>
        <w:fldChar w:fldCharType="separate"/>
      </w:r>
      <w:r>
        <w:t>13</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_Toc14223 </w:instrText>
      </w:r>
      <w:r>
        <w:rPr>
          <w:rFonts w:hint="eastAsia" w:ascii="宋体" w:hAnsi="宋体" w:eastAsia="宋体" w:cs="宋体"/>
          <w:szCs w:val="24"/>
        </w:rPr>
        <w:fldChar w:fldCharType="separate"/>
      </w:r>
      <w:r>
        <w:rPr>
          <w:rFonts w:ascii="宋体" w:hAnsi="宋体" w:eastAsia="宋体" w:cs="宋体"/>
          <w:highlight w:val="none"/>
        </w:rPr>
        <w:t>9.响应范围及响应文件中标准和计量单位的使用</w:t>
      </w:r>
      <w:r>
        <w:tab/>
      </w:r>
      <w:r>
        <w:fldChar w:fldCharType="begin"/>
      </w:r>
      <w:r>
        <w:instrText xml:space="preserve"> PAGEREF _Toc14223 \h </w:instrText>
      </w:r>
      <w:r>
        <w:fldChar w:fldCharType="separate"/>
      </w:r>
      <w:r>
        <w:t>14</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_Toc31281 </w:instrText>
      </w:r>
      <w:r>
        <w:rPr>
          <w:rFonts w:hint="eastAsia" w:ascii="宋体" w:hAnsi="宋体" w:eastAsia="宋体" w:cs="宋体"/>
          <w:szCs w:val="24"/>
        </w:rPr>
        <w:fldChar w:fldCharType="separate"/>
      </w:r>
      <w:r>
        <w:rPr>
          <w:rFonts w:ascii="宋体" w:hAnsi="宋体" w:eastAsia="宋体" w:cs="宋体"/>
          <w:highlight w:val="none"/>
        </w:rPr>
        <w:t>10.响应文件构成</w:t>
      </w:r>
      <w:r>
        <w:tab/>
      </w:r>
      <w:r>
        <w:fldChar w:fldCharType="begin"/>
      </w:r>
      <w:r>
        <w:instrText xml:space="preserve"> PAGEREF _Toc31281 \h </w:instrText>
      </w:r>
      <w:r>
        <w:fldChar w:fldCharType="separate"/>
      </w:r>
      <w:r>
        <w:t>14</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_Toc7767 </w:instrText>
      </w:r>
      <w:r>
        <w:rPr>
          <w:rFonts w:hint="eastAsia" w:ascii="宋体" w:hAnsi="宋体" w:eastAsia="宋体" w:cs="宋体"/>
          <w:szCs w:val="24"/>
        </w:rPr>
        <w:fldChar w:fldCharType="separate"/>
      </w:r>
      <w:r>
        <w:rPr>
          <w:rFonts w:ascii="宋体" w:hAnsi="宋体" w:eastAsia="宋体" w:cs="宋体"/>
          <w:highlight w:val="none"/>
        </w:rPr>
        <w:t>11.报价</w:t>
      </w:r>
      <w:r>
        <w:tab/>
      </w:r>
      <w:r>
        <w:fldChar w:fldCharType="begin"/>
      </w:r>
      <w:r>
        <w:instrText xml:space="preserve"> PAGEREF _Toc7767 \h </w:instrText>
      </w:r>
      <w:r>
        <w:fldChar w:fldCharType="separate"/>
      </w:r>
      <w:r>
        <w:t>16</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_Toc5617 </w:instrText>
      </w:r>
      <w:r>
        <w:rPr>
          <w:rFonts w:hint="eastAsia" w:ascii="宋体" w:hAnsi="宋体" w:eastAsia="宋体" w:cs="宋体"/>
          <w:szCs w:val="24"/>
        </w:rPr>
        <w:fldChar w:fldCharType="separate"/>
      </w:r>
      <w:r>
        <w:rPr>
          <w:rFonts w:ascii="宋体" w:hAnsi="宋体" w:eastAsia="宋体" w:cs="宋体"/>
          <w:bCs w:val="0"/>
          <w:highlight w:val="none"/>
        </w:rPr>
        <w:t>1</w:t>
      </w:r>
      <w:r>
        <w:rPr>
          <w:rFonts w:hint="eastAsia" w:ascii="宋体" w:hAnsi="宋体" w:eastAsia="宋体" w:cs="宋体"/>
          <w:bCs w:val="0"/>
          <w:highlight w:val="none"/>
          <w:lang w:val="en-US" w:eastAsia="zh-CN"/>
        </w:rPr>
        <w:t>2.</w:t>
      </w:r>
      <w:r>
        <w:rPr>
          <w:rFonts w:ascii="宋体" w:hAnsi="宋体" w:eastAsia="宋体" w:cs="宋体"/>
          <w:bCs w:val="0"/>
          <w:highlight w:val="none"/>
        </w:rPr>
        <w:t>电子版响应文件</w:t>
      </w:r>
      <w:r>
        <w:tab/>
      </w:r>
      <w:r>
        <w:fldChar w:fldCharType="begin"/>
      </w:r>
      <w:r>
        <w:instrText xml:space="preserve"> PAGEREF _Toc5617 \h </w:instrText>
      </w:r>
      <w:r>
        <w:fldChar w:fldCharType="separate"/>
      </w:r>
      <w:r>
        <w:t>17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_Toc19059 </w:instrText>
      </w:r>
      <w:r>
        <w:rPr>
          <w:rFonts w:hint="eastAsia" w:ascii="宋体" w:hAnsi="宋体" w:eastAsia="宋体" w:cs="宋体"/>
          <w:szCs w:val="24"/>
        </w:rPr>
        <w:fldChar w:fldCharType="separate"/>
      </w:r>
      <w:r>
        <w:rPr>
          <w:rFonts w:ascii="宋体" w:hAnsi="宋体" w:eastAsia="宋体" w:cs="宋体"/>
          <w:highlight w:val="none"/>
        </w:rPr>
        <w:t>1</w:t>
      </w:r>
      <w:r>
        <w:rPr>
          <w:rFonts w:hint="eastAsia" w:ascii="宋体" w:hAnsi="宋体" w:eastAsia="宋体" w:cs="宋体"/>
          <w:highlight w:val="none"/>
          <w:lang w:val="en-US" w:eastAsia="zh-CN"/>
        </w:rPr>
        <w:t>3</w:t>
      </w:r>
      <w:r>
        <w:rPr>
          <w:rFonts w:ascii="宋体" w:hAnsi="宋体" w:eastAsia="宋体" w:cs="宋体"/>
          <w:highlight w:val="none"/>
        </w:rPr>
        <w:t>.</w:t>
      </w:r>
      <w:r>
        <w:rPr>
          <w:rFonts w:hint="eastAsia" w:ascii="宋体" w:hAnsi="宋体" w:eastAsia="宋体" w:cs="宋体"/>
          <w:highlight w:val="none"/>
          <w:lang w:val="en-US" w:eastAsia="zh-CN"/>
        </w:rPr>
        <w:t>磋商</w:t>
      </w:r>
      <w:r>
        <w:rPr>
          <w:rFonts w:ascii="宋体" w:hAnsi="宋体" w:eastAsia="宋体" w:cs="宋体"/>
          <w:highlight w:val="none"/>
        </w:rPr>
        <w:t>保证金</w:t>
      </w:r>
      <w:r>
        <w:tab/>
      </w:r>
      <w:r>
        <w:fldChar w:fldCharType="begin"/>
      </w:r>
      <w:r>
        <w:instrText xml:space="preserve"> PAGEREF _Toc19059 \h </w:instrText>
      </w:r>
      <w:r>
        <w:fldChar w:fldCharType="separate"/>
      </w:r>
      <w:r>
        <w:t>17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_Toc17583 </w:instrText>
      </w:r>
      <w:r>
        <w:rPr>
          <w:rFonts w:hint="eastAsia" w:ascii="宋体" w:hAnsi="宋体" w:eastAsia="宋体" w:cs="宋体"/>
          <w:szCs w:val="24"/>
        </w:rPr>
        <w:fldChar w:fldCharType="separate"/>
      </w:r>
      <w:r>
        <w:rPr>
          <w:rFonts w:ascii="宋体" w:hAnsi="宋体" w:eastAsia="宋体" w:cs="宋体"/>
          <w:highlight w:val="none"/>
        </w:rPr>
        <w:t>1</w:t>
      </w:r>
      <w:r>
        <w:rPr>
          <w:rFonts w:hint="eastAsia" w:ascii="宋体" w:hAnsi="宋体" w:eastAsia="宋体" w:cs="宋体"/>
          <w:highlight w:val="none"/>
          <w:lang w:val="en-US" w:eastAsia="zh-CN"/>
        </w:rPr>
        <w:t>4</w:t>
      </w:r>
      <w:r>
        <w:rPr>
          <w:rFonts w:ascii="宋体" w:hAnsi="宋体" w:eastAsia="宋体" w:cs="宋体"/>
          <w:highlight w:val="none"/>
        </w:rPr>
        <w:t>.响应有效期</w:t>
      </w:r>
      <w:r>
        <w:tab/>
      </w:r>
      <w:r>
        <w:fldChar w:fldCharType="begin"/>
      </w:r>
      <w:r>
        <w:instrText xml:space="preserve"> PAGEREF _Toc17583 \h </w:instrText>
      </w:r>
      <w:r>
        <w:fldChar w:fldCharType="separate"/>
      </w:r>
      <w:r>
        <w:t>17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_Toc4512 </w:instrText>
      </w:r>
      <w:r>
        <w:rPr>
          <w:rFonts w:hint="eastAsia" w:ascii="宋体" w:hAnsi="宋体" w:eastAsia="宋体" w:cs="宋体"/>
          <w:szCs w:val="24"/>
        </w:rPr>
        <w:fldChar w:fldCharType="separate"/>
      </w:r>
      <w:r>
        <w:rPr>
          <w:rFonts w:ascii="宋体" w:hAnsi="宋体" w:eastAsia="宋体" w:cs="宋体"/>
          <w:highlight w:val="none"/>
        </w:rPr>
        <w:t>1</w:t>
      </w:r>
      <w:r>
        <w:rPr>
          <w:rFonts w:hint="eastAsia" w:ascii="宋体" w:hAnsi="宋体" w:eastAsia="宋体" w:cs="宋体"/>
          <w:highlight w:val="none"/>
          <w:lang w:val="en-US" w:eastAsia="zh-CN"/>
        </w:rPr>
        <w:t>5</w:t>
      </w:r>
      <w:r>
        <w:rPr>
          <w:rFonts w:ascii="宋体" w:hAnsi="宋体" w:eastAsia="宋体" w:cs="宋体"/>
          <w:highlight w:val="none"/>
        </w:rPr>
        <w:t>.响应文件的签署及规定</w:t>
      </w:r>
      <w:r>
        <w:tab/>
      </w:r>
      <w:r>
        <w:fldChar w:fldCharType="begin"/>
      </w:r>
      <w:r>
        <w:instrText xml:space="preserve"> PAGEREF _Toc4512 \h </w:instrText>
      </w:r>
      <w:r>
        <w:fldChar w:fldCharType="separate"/>
      </w:r>
      <w:r>
        <w:t>17</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_Toc12048 </w:instrText>
      </w:r>
      <w:r>
        <w:rPr>
          <w:rFonts w:hint="eastAsia" w:ascii="宋体" w:hAnsi="宋体" w:eastAsia="宋体" w:cs="宋体"/>
          <w:szCs w:val="24"/>
        </w:rPr>
        <w:fldChar w:fldCharType="separate"/>
      </w:r>
      <w:r>
        <w:rPr>
          <w:rFonts w:ascii="宋体" w:hAnsi="宋体" w:eastAsia="宋体" w:cs="宋体"/>
          <w:highlight w:val="none"/>
        </w:rPr>
        <w:t>四</w:t>
      </w:r>
      <w:r>
        <w:rPr>
          <w:rFonts w:hint="eastAsia" w:ascii="宋体" w:hAnsi="宋体" w:eastAsia="宋体" w:cs="宋体"/>
          <w:highlight w:val="none"/>
          <w:lang w:eastAsia="zh-CN"/>
        </w:rPr>
        <w:t>、</w:t>
      </w:r>
      <w:r>
        <w:rPr>
          <w:rFonts w:ascii="宋体" w:hAnsi="宋体" w:eastAsia="宋体" w:cs="宋体"/>
          <w:highlight w:val="none"/>
        </w:rPr>
        <w:t>响应文件的递交</w:t>
      </w:r>
      <w:r>
        <w:tab/>
      </w:r>
      <w:r>
        <w:fldChar w:fldCharType="begin"/>
      </w:r>
      <w:r>
        <w:instrText xml:space="preserve"> PAGEREF _Toc12048 \h </w:instrText>
      </w:r>
      <w:r>
        <w:fldChar w:fldCharType="separate"/>
      </w:r>
      <w:r>
        <w:t>17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_Toc25700 </w:instrText>
      </w:r>
      <w:r>
        <w:rPr>
          <w:rFonts w:hint="eastAsia" w:ascii="宋体" w:hAnsi="宋体" w:eastAsia="宋体" w:cs="宋体"/>
          <w:szCs w:val="24"/>
        </w:rPr>
        <w:fldChar w:fldCharType="separate"/>
      </w:r>
      <w:r>
        <w:rPr>
          <w:rFonts w:ascii="宋体" w:hAnsi="宋体" w:eastAsia="宋体" w:cs="宋体"/>
          <w:highlight w:val="none"/>
        </w:rPr>
        <w:t>1</w:t>
      </w:r>
      <w:r>
        <w:rPr>
          <w:rFonts w:hint="eastAsia" w:ascii="宋体" w:hAnsi="宋体" w:eastAsia="宋体" w:cs="宋体"/>
          <w:highlight w:val="none"/>
          <w:lang w:val="en-US" w:eastAsia="zh-CN"/>
        </w:rPr>
        <w:t>6</w:t>
      </w:r>
      <w:r>
        <w:rPr>
          <w:rFonts w:ascii="宋体" w:hAnsi="宋体" w:eastAsia="宋体" w:cs="宋体"/>
          <w:highlight w:val="none"/>
        </w:rPr>
        <w:t>.响应文件的</w:t>
      </w:r>
      <w:r>
        <w:rPr>
          <w:rFonts w:hint="eastAsia" w:ascii="宋体" w:hAnsi="宋体" w:eastAsia="宋体" w:cs="宋体"/>
          <w:highlight w:val="none"/>
          <w:lang w:eastAsia="zh-CN"/>
        </w:rPr>
        <w:t>递交</w:t>
      </w:r>
      <w:r>
        <w:tab/>
      </w:r>
      <w:r>
        <w:fldChar w:fldCharType="begin"/>
      </w:r>
      <w:r>
        <w:instrText xml:space="preserve"> PAGEREF _Toc25700 \h </w:instrText>
      </w:r>
      <w:r>
        <w:fldChar w:fldCharType="separate"/>
      </w:r>
      <w:r>
        <w:t>17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_Toc3117 </w:instrText>
      </w:r>
      <w:r>
        <w:rPr>
          <w:rFonts w:hint="eastAsia" w:ascii="宋体" w:hAnsi="宋体" w:eastAsia="宋体" w:cs="宋体"/>
          <w:szCs w:val="24"/>
        </w:rPr>
        <w:fldChar w:fldCharType="separate"/>
      </w:r>
      <w:r>
        <w:rPr>
          <w:rFonts w:ascii="宋体" w:hAnsi="宋体" w:eastAsia="宋体" w:cs="宋体"/>
          <w:highlight w:val="none"/>
        </w:rPr>
        <w:t>1</w:t>
      </w:r>
      <w:r>
        <w:rPr>
          <w:rFonts w:hint="eastAsia" w:ascii="宋体" w:hAnsi="宋体" w:eastAsia="宋体" w:cs="宋体"/>
          <w:highlight w:val="none"/>
          <w:lang w:val="en-US" w:eastAsia="zh-CN"/>
        </w:rPr>
        <w:t>7</w:t>
      </w:r>
      <w:r>
        <w:rPr>
          <w:rFonts w:ascii="宋体" w:hAnsi="宋体" w:eastAsia="宋体" w:cs="宋体"/>
          <w:highlight w:val="none"/>
        </w:rPr>
        <w:t>.响应文件截止</w:t>
      </w:r>
      <w:r>
        <w:tab/>
      </w:r>
      <w:r>
        <w:fldChar w:fldCharType="begin"/>
      </w:r>
      <w:r>
        <w:instrText xml:space="preserve"> PAGEREF _Toc3117 \h </w:instrText>
      </w:r>
      <w:r>
        <w:fldChar w:fldCharType="separate"/>
      </w:r>
      <w:r>
        <w:t>18</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_Toc11129 </w:instrText>
      </w:r>
      <w:r>
        <w:rPr>
          <w:rFonts w:hint="eastAsia" w:ascii="宋体" w:hAnsi="宋体" w:eastAsia="宋体" w:cs="宋体"/>
          <w:szCs w:val="24"/>
        </w:rPr>
        <w:fldChar w:fldCharType="separate"/>
      </w:r>
      <w:r>
        <w:rPr>
          <w:rFonts w:ascii="宋体" w:hAnsi="宋体" w:eastAsia="宋体" w:cs="宋体"/>
          <w:highlight w:val="none"/>
        </w:rPr>
        <w:t>1</w:t>
      </w:r>
      <w:r>
        <w:rPr>
          <w:rFonts w:hint="eastAsia" w:ascii="宋体" w:hAnsi="宋体" w:eastAsia="宋体" w:cs="宋体"/>
          <w:highlight w:val="none"/>
          <w:lang w:val="en-US" w:eastAsia="zh-CN"/>
        </w:rPr>
        <w:t>8</w:t>
      </w:r>
      <w:r>
        <w:rPr>
          <w:rFonts w:ascii="宋体" w:hAnsi="宋体" w:eastAsia="宋体" w:cs="宋体"/>
          <w:highlight w:val="none"/>
        </w:rPr>
        <w:t>.响应文件的接收、修改与撤回</w:t>
      </w:r>
      <w:r>
        <w:tab/>
      </w:r>
      <w:r>
        <w:fldChar w:fldCharType="begin"/>
      </w:r>
      <w:r>
        <w:instrText xml:space="preserve"> PAGEREF _Toc11129 \h </w:instrText>
      </w:r>
      <w:r>
        <w:fldChar w:fldCharType="separate"/>
      </w:r>
      <w:r>
        <w:t>18</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_Toc32716 </w:instrText>
      </w:r>
      <w:r>
        <w:rPr>
          <w:rFonts w:hint="eastAsia" w:ascii="宋体" w:hAnsi="宋体" w:eastAsia="宋体" w:cs="宋体"/>
          <w:szCs w:val="24"/>
        </w:rPr>
        <w:fldChar w:fldCharType="separate"/>
      </w:r>
      <w:r>
        <w:rPr>
          <w:rFonts w:ascii="宋体" w:hAnsi="宋体" w:eastAsia="宋体" w:cs="宋体"/>
          <w:highlight w:val="none"/>
        </w:rPr>
        <w:t>五</w:t>
      </w:r>
      <w:r>
        <w:rPr>
          <w:rFonts w:hint="eastAsia" w:ascii="宋体" w:hAnsi="宋体" w:eastAsia="宋体" w:cs="宋体"/>
          <w:highlight w:val="none"/>
          <w:lang w:eastAsia="zh-CN"/>
        </w:rPr>
        <w:t>、</w:t>
      </w:r>
      <w:r>
        <w:rPr>
          <w:rFonts w:hint="eastAsia" w:ascii="宋体" w:hAnsi="宋体" w:eastAsia="宋体" w:cs="宋体"/>
          <w:highlight w:val="none"/>
        </w:rPr>
        <w:t>开</w:t>
      </w:r>
      <w:r>
        <w:rPr>
          <w:rFonts w:hint="eastAsia" w:ascii="宋体" w:hAnsi="宋体" w:eastAsia="宋体" w:cs="宋体"/>
          <w:highlight w:val="none"/>
          <w:lang w:val="en-US" w:eastAsia="zh-CN"/>
        </w:rPr>
        <w:t>启</w:t>
      </w:r>
      <w:r>
        <w:rPr>
          <w:rFonts w:ascii="宋体" w:hAnsi="宋体" w:eastAsia="宋体" w:cs="宋体"/>
          <w:highlight w:val="none"/>
        </w:rPr>
        <w:t>及磋商</w:t>
      </w:r>
      <w:r>
        <w:tab/>
      </w:r>
      <w:r>
        <w:fldChar w:fldCharType="begin"/>
      </w:r>
      <w:r>
        <w:instrText xml:space="preserve"> PAGEREF _Toc32716 \h </w:instrText>
      </w:r>
      <w:r>
        <w:fldChar w:fldCharType="separate"/>
      </w:r>
      <w:r>
        <w:t>18</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_Toc18842 </w:instrText>
      </w:r>
      <w:r>
        <w:rPr>
          <w:rFonts w:hint="eastAsia" w:ascii="宋体" w:hAnsi="宋体" w:eastAsia="宋体" w:cs="宋体"/>
          <w:szCs w:val="24"/>
        </w:rPr>
        <w:fldChar w:fldCharType="separate"/>
      </w:r>
      <w:r>
        <w:rPr>
          <w:rFonts w:hint="eastAsia" w:hAnsi="宋体" w:cs="宋体"/>
          <w:highlight w:val="none"/>
        </w:rPr>
        <w:t>1</w:t>
      </w:r>
      <w:r>
        <w:rPr>
          <w:rFonts w:hint="eastAsia" w:hAnsi="宋体" w:cs="宋体"/>
          <w:highlight w:val="none"/>
          <w:lang w:val="en-US" w:eastAsia="zh-CN"/>
        </w:rPr>
        <w:t>9</w:t>
      </w:r>
      <w:r>
        <w:rPr>
          <w:rFonts w:hint="eastAsia" w:hAnsi="宋体" w:cs="宋体"/>
          <w:highlight w:val="none"/>
        </w:rPr>
        <w:t>.</w:t>
      </w:r>
      <w:r>
        <w:rPr>
          <w:rFonts w:hint="eastAsia" w:hAnsi="宋体" w:cs="宋体"/>
          <w:highlight w:val="none"/>
          <w:lang w:val="en-US" w:eastAsia="zh-CN"/>
        </w:rPr>
        <w:t>开启</w:t>
      </w:r>
      <w:r>
        <w:tab/>
      </w:r>
      <w:r>
        <w:fldChar w:fldCharType="begin"/>
      </w:r>
      <w:r>
        <w:instrText xml:space="preserve"> PAGEREF _Toc18842 \h </w:instrText>
      </w:r>
      <w:r>
        <w:fldChar w:fldCharType="separate"/>
      </w:r>
      <w:r>
        <w:t>18</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_Toc16270 </w:instrText>
      </w:r>
      <w:r>
        <w:rPr>
          <w:rFonts w:hint="eastAsia" w:ascii="宋体" w:hAnsi="宋体" w:eastAsia="宋体" w:cs="宋体"/>
          <w:szCs w:val="24"/>
        </w:rPr>
        <w:fldChar w:fldCharType="separate"/>
      </w:r>
      <w:r>
        <w:rPr>
          <w:rFonts w:ascii="宋体" w:hAnsi="宋体" w:eastAsia="宋体" w:cs="宋体"/>
          <w:highlight w:val="none"/>
        </w:rPr>
        <w:t>2</w:t>
      </w:r>
      <w:r>
        <w:rPr>
          <w:rFonts w:hint="eastAsia" w:ascii="宋体" w:hAnsi="宋体" w:eastAsia="宋体" w:cs="宋体"/>
          <w:highlight w:val="none"/>
          <w:lang w:val="en-US" w:eastAsia="zh-CN"/>
        </w:rPr>
        <w:t>0</w:t>
      </w:r>
      <w:r>
        <w:rPr>
          <w:rFonts w:ascii="宋体" w:hAnsi="宋体" w:eastAsia="宋体" w:cs="宋体"/>
          <w:highlight w:val="none"/>
        </w:rPr>
        <w:t>.资格审查</w:t>
      </w:r>
      <w:r>
        <w:tab/>
      </w:r>
      <w:r>
        <w:fldChar w:fldCharType="begin"/>
      </w:r>
      <w:r>
        <w:instrText xml:space="preserve"> PAGEREF _Toc16270 \h </w:instrText>
      </w:r>
      <w:r>
        <w:fldChar w:fldCharType="separate"/>
      </w:r>
      <w:r>
        <w:t>19</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_Toc11402 </w:instrText>
      </w:r>
      <w:r>
        <w:rPr>
          <w:rFonts w:hint="eastAsia" w:ascii="宋体" w:hAnsi="宋体" w:eastAsia="宋体" w:cs="宋体"/>
          <w:szCs w:val="24"/>
        </w:rPr>
        <w:fldChar w:fldCharType="separate"/>
      </w:r>
      <w:r>
        <w:rPr>
          <w:rFonts w:hint="eastAsia" w:ascii="宋体" w:hAnsi="宋体" w:eastAsia="宋体" w:cs="宋体"/>
          <w:highlight w:val="none"/>
          <w:lang w:val="en-US" w:eastAsia="zh-CN"/>
        </w:rPr>
        <w:t>21</w:t>
      </w:r>
      <w:r>
        <w:rPr>
          <w:rFonts w:ascii="宋体" w:hAnsi="宋体" w:eastAsia="宋体" w:cs="宋体"/>
          <w:highlight w:val="none"/>
        </w:rPr>
        <w:t>. 磋商小组</w:t>
      </w:r>
      <w:r>
        <w:tab/>
      </w:r>
      <w:r>
        <w:fldChar w:fldCharType="begin"/>
      </w:r>
      <w:r>
        <w:instrText xml:space="preserve"> PAGEREF _Toc11402 \h </w:instrText>
      </w:r>
      <w:r>
        <w:fldChar w:fldCharType="separate"/>
      </w:r>
      <w:r>
        <w:t>20</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_Toc24127 </w:instrText>
      </w:r>
      <w:r>
        <w:rPr>
          <w:rFonts w:hint="eastAsia" w:ascii="宋体" w:hAnsi="宋体" w:eastAsia="宋体" w:cs="宋体"/>
          <w:szCs w:val="24"/>
        </w:rPr>
        <w:fldChar w:fldCharType="separate"/>
      </w:r>
      <w:r>
        <w:rPr>
          <w:rFonts w:ascii="宋体" w:hAnsi="宋体" w:eastAsia="宋体" w:cs="宋体"/>
          <w:highlight w:val="none"/>
        </w:rPr>
        <w:t>2</w:t>
      </w:r>
      <w:r>
        <w:rPr>
          <w:rFonts w:hint="eastAsia" w:ascii="宋体" w:hAnsi="宋体" w:eastAsia="宋体" w:cs="宋体"/>
          <w:highlight w:val="none"/>
          <w:lang w:val="en-US" w:eastAsia="zh-CN"/>
        </w:rPr>
        <w:t>2</w:t>
      </w:r>
      <w:r>
        <w:rPr>
          <w:rFonts w:ascii="宋体" w:hAnsi="宋体" w:eastAsia="宋体" w:cs="宋体"/>
          <w:highlight w:val="none"/>
        </w:rPr>
        <w:t>.响应文件符合性审查与澄清</w:t>
      </w:r>
      <w:r>
        <w:tab/>
      </w:r>
      <w:r>
        <w:fldChar w:fldCharType="begin"/>
      </w:r>
      <w:r>
        <w:instrText xml:space="preserve"> PAGEREF _Toc24127 \h </w:instrText>
      </w:r>
      <w:r>
        <w:fldChar w:fldCharType="separate"/>
      </w:r>
      <w:r>
        <w:t>21</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_Toc28563 </w:instrText>
      </w:r>
      <w:r>
        <w:rPr>
          <w:rFonts w:hint="eastAsia" w:ascii="宋体" w:hAnsi="宋体" w:eastAsia="宋体" w:cs="宋体"/>
          <w:szCs w:val="24"/>
        </w:rPr>
        <w:fldChar w:fldCharType="separate"/>
      </w:r>
      <w:r>
        <w:rPr>
          <w:rFonts w:hint="eastAsia" w:ascii="宋体" w:hAnsi="宋体" w:eastAsia="宋体" w:cs="宋体"/>
          <w:highlight w:val="none"/>
          <w:lang w:val="en-US" w:eastAsia="zh-CN"/>
        </w:rPr>
        <w:t>23.响应偏离</w:t>
      </w:r>
      <w:r>
        <w:tab/>
      </w:r>
      <w:r>
        <w:fldChar w:fldCharType="begin"/>
      </w:r>
      <w:r>
        <w:instrText xml:space="preserve"> PAGEREF _Toc28563 \h </w:instrText>
      </w:r>
      <w:r>
        <w:fldChar w:fldCharType="separate"/>
      </w:r>
      <w:r>
        <w:t>22</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_Toc22252 </w:instrText>
      </w:r>
      <w:r>
        <w:rPr>
          <w:rFonts w:hint="eastAsia" w:ascii="宋体" w:hAnsi="宋体" w:eastAsia="宋体" w:cs="宋体"/>
          <w:szCs w:val="24"/>
        </w:rPr>
        <w:fldChar w:fldCharType="separate"/>
      </w:r>
      <w:r>
        <w:rPr>
          <w:rFonts w:ascii="宋体" w:hAnsi="宋体" w:eastAsia="宋体" w:cs="宋体"/>
          <w:highlight w:val="none"/>
        </w:rPr>
        <w:t>2</w:t>
      </w:r>
      <w:r>
        <w:rPr>
          <w:rFonts w:hint="eastAsia" w:ascii="宋体" w:hAnsi="宋体" w:eastAsia="宋体" w:cs="宋体"/>
          <w:highlight w:val="none"/>
          <w:lang w:val="en-US" w:eastAsia="zh-CN"/>
        </w:rPr>
        <w:t>4</w:t>
      </w:r>
      <w:r>
        <w:rPr>
          <w:rFonts w:ascii="宋体" w:hAnsi="宋体" w:eastAsia="宋体" w:cs="宋体"/>
          <w:highlight w:val="none"/>
        </w:rPr>
        <w:t>.无效响应</w:t>
      </w:r>
      <w:r>
        <w:tab/>
      </w:r>
      <w:r>
        <w:fldChar w:fldCharType="begin"/>
      </w:r>
      <w:r>
        <w:instrText xml:space="preserve"> PAGEREF _Toc22252 \h </w:instrText>
      </w:r>
      <w:r>
        <w:fldChar w:fldCharType="separate"/>
      </w:r>
      <w:r>
        <w:t>22</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_Toc25302 </w:instrText>
      </w:r>
      <w:r>
        <w:rPr>
          <w:rFonts w:hint="eastAsia" w:ascii="宋体" w:hAnsi="宋体" w:eastAsia="宋体" w:cs="宋体"/>
          <w:szCs w:val="24"/>
        </w:rPr>
        <w:fldChar w:fldCharType="separate"/>
      </w:r>
      <w:r>
        <w:rPr>
          <w:rFonts w:ascii="宋体" w:hAnsi="宋体" w:eastAsia="宋体" w:cs="宋体"/>
          <w:highlight w:val="none"/>
        </w:rPr>
        <w:t>2</w:t>
      </w:r>
      <w:r>
        <w:rPr>
          <w:rFonts w:hint="eastAsia" w:ascii="宋体" w:hAnsi="宋体" w:eastAsia="宋体" w:cs="宋体"/>
          <w:highlight w:val="none"/>
          <w:lang w:val="en-US" w:eastAsia="zh-CN"/>
        </w:rPr>
        <w:t>5</w:t>
      </w:r>
      <w:r>
        <w:rPr>
          <w:rFonts w:ascii="宋体" w:hAnsi="宋体" w:eastAsia="宋体" w:cs="宋体"/>
          <w:highlight w:val="none"/>
        </w:rPr>
        <w:t>.磋商</w:t>
      </w:r>
      <w:r>
        <w:tab/>
      </w:r>
      <w:r>
        <w:fldChar w:fldCharType="begin"/>
      </w:r>
      <w:r>
        <w:instrText xml:space="preserve"> PAGEREF _Toc25302 \h </w:instrText>
      </w:r>
      <w:r>
        <w:fldChar w:fldCharType="separate"/>
      </w:r>
      <w:r>
        <w:t>23</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_Toc32110 </w:instrText>
      </w:r>
      <w:r>
        <w:rPr>
          <w:rFonts w:hint="eastAsia" w:ascii="宋体" w:hAnsi="宋体" w:eastAsia="宋体" w:cs="宋体"/>
          <w:szCs w:val="24"/>
        </w:rPr>
        <w:fldChar w:fldCharType="separate"/>
      </w:r>
      <w:r>
        <w:rPr>
          <w:rFonts w:ascii="宋体" w:hAnsi="宋体" w:eastAsia="宋体" w:cs="宋体"/>
          <w:highlight w:val="none"/>
        </w:rPr>
        <w:t>2</w:t>
      </w:r>
      <w:r>
        <w:rPr>
          <w:rFonts w:hint="eastAsia" w:ascii="宋体" w:hAnsi="宋体" w:eastAsia="宋体" w:cs="宋体"/>
          <w:highlight w:val="none"/>
          <w:lang w:val="en-US" w:eastAsia="zh-CN"/>
        </w:rPr>
        <w:t>6</w:t>
      </w:r>
      <w:r>
        <w:rPr>
          <w:rFonts w:ascii="宋体" w:hAnsi="宋体" w:eastAsia="宋体" w:cs="宋体"/>
          <w:highlight w:val="none"/>
        </w:rPr>
        <w:t>.比较和评价</w:t>
      </w:r>
      <w:r>
        <w:tab/>
      </w:r>
      <w:r>
        <w:fldChar w:fldCharType="begin"/>
      </w:r>
      <w:r>
        <w:instrText xml:space="preserve"> PAGEREF _Toc32110 \h </w:instrText>
      </w:r>
      <w:r>
        <w:fldChar w:fldCharType="separate"/>
      </w:r>
      <w:r>
        <w:t>24</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_Toc9747 </w:instrText>
      </w:r>
      <w:r>
        <w:rPr>
          <w:rFonts w:hint="eastAsia" w:ascii="宋体" w:hAnsi="宋体" w:eastAsia="宋体" w:cs="宋体"/>
          <w:szCs w:val="24"/>
        </w:rPr>
        <w:fldChar w:fldCharType="separate"/>
      </w:r>
      <w:r>
        <w:rPr>
          <w:rFonts w:hint="eastAsia" w:ascii="宋体" w:hAnsi="宋体" w:eastAsia="宋体" w:cs="宋体"/>
          <w:highlight w:val="none"/>
        </w:rPr>
        <w:t>2</w:t>
      </w:r>
      <w:r>
        <w:rPr>
          <w:rFonts w:hint="eastAsia" w:ascii="宋体" w:hAnsi="宋体" w:eastAsia="宋体" w:cs="宋体"/>
          <w:highlight w:val="none"/>
          <w:lang w:val="en-US" w:eastAsia="zh-CN"/>
        </w:rPr>
        <w:t>7</w:t>
      </w:r>
      <w:r>
        <w:rPr>
          <w:rFonts w:hint="eastAsia" w:ascii="宋体" w:hAnsi="宋体" w:eastAsia="宋体" w:cs="宋体"/>
          <w:highlight w:val="none"/>
        </w:rPr>
        <w:t>.采购项目终止</w:t>
      </w:r>
      <w:r>
        <w:tab/>
      </w:r>
      <w:r>
        <w:fldChar w:fldCharType="begin"/>
      </w:r>
      <w:r>
        <w:instrText xml:space="preserve"> PAGEREF _Toc9747 \h </w:instrText>
      </w:r>
      <w:r>
        <w:fldChar w:fldCharType="separate"/>
      </w:r>
      <w:r>
        <w:t>26</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_Toc26761 </w:instrText>
      </w:r>
      <w:r>
        <w:rPr>
          <w:rFonts w:hint="eastAsia" w:ascii="宋体" w:hAnsi="宋体" w:eastAsia="宋体" w:cs="宋体"/>
          <w:szCs w:val="24"/>
        </w:rPr>
        <w:fldChar w:fldCharType="separate"/>
      </w:r>
      <w:r>
        <w:rPr>
          <w:rFonts w:ascii="宋体" w:hAnsi="宋体" w:eastAsia="宋体" w:cs="宋体"/>
          <w:highlight w:val="none"/>
        </w:rPr>
        <w:t>2</w:t>
      </w:r>
      <w:r>
        <w:rPr>
          <w:rFonts w:hint="eastAsia" w:ascii="宋体" w:hAnsi="宋体" w:eastAsia="宋体" w:cs="宋体"/>
          <w:highlight w:val="none"/>
          <w:lang w:val="en-US" w:eastAsia="zh-CN"/>
        </w:rPr>
        <w:t>8</w:t>
      </w:r>
      <w:r>
        <w:rPr>
          <w:rFonts w:ascii="宋体" w:hAnsi="宋体" w:eastAsia="宋体" w:cs="宋体"/>
          <w:highlight w:val="none"/>
        </w:rPr>
        <w:t>.保密要求</w:t>
      </w:r>
      <w:r>
        <w:tab/>
      </w:r>
      <w:r>
        <w:fldChar w:fldCharType="begin"/>
      </w:r>
      <w:r>
        <w:instrText xml:space="preserve"> PAGEREF _Toc26761 \h </w:instrText>
      </w:r>
      <w:r>
        <w:fldChar w:fldCharType="separate"/>
      </w:r>
      <w:r>
        <w:t>26</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_Toc15074 </w:instrText>
      </w:r>
      <w:r>
        <w:rPr>
          <w:rFonts w:hint="eastAsia" w:ascii="宋体" w:hAnsi="宋体" w:eastAsia="宋体" w:cs="宋体"/>
          <w:szCs w:val="24"/>
        </w:rPr>
        <w:fldChar w:fldCharType="separate"/>
      </w:r>
      <w:r>
        <w:rPr>
          <w:rFonts w:ascii="宋体" w:hAnsi="宋体" w:eastAsia="宋体" w:cs="宋体"/>
          <w:highlight w:val="none"/>
        </w:rPr>
        <w:t>六</w:t>
      </w:r>
      <w:r>
        <w:rPr>
          <w:rFonts w:hint="eastAsia" w:ascii="宋体" w:hAnsi="宋体" w:eastAsia="宋体" w:cs="宋体"/>
          <w:highlight w:val="none"/>
          <w:lang w:eastAsia="zh-CN"/>
        </w:rPr>
        <w:t>、</w:t>
      </w:r>
      <w:r>
        <w:rPr>
          <w:rFonts w:ascii="宋体" w:hAnsi="宋体" w:eastAsia="宋体" w:cs="宋体"/>
          <w:highlight w:val="none"/>
        </w:rPr>
        <w:t>确定成交</w:t>
      </w:r>
      <w:r>
        <w:tab/>
      </w:r>
      <w:r>
        <w:fldChar w:fldCharType="begin"/>
      </w:r>
      <w:r>
        <w:instrText xml:space="preserve"> PAGEREF _Toc15074 \h </w:instrText>
      </w:r>
      <w:r>
        <w:fldChar w:fldCharType="separate"/>
      </w:r>
      <w:r>
        <w:t>26</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_Toc18904 </w:instrText>
      </w:r>
      <w:r>
        <w:rPr>
          <w:rFonts w:hint="eastAsia" w:ascii="宋体" w:hAnsi="宋体" w:eastAsia="宋体" w:cs="宋体"/>
          <w:szCs w:val="24"/>
        </w:rPr>
        <w:fldChar w:fldCharType="separate"/>
      </w:r>
      <w:r>
        <w:rPr>
          <w:rFonts w:hint="eastAsia" w:hAnsi="宋体" w:cs="宋体"/>
          <w:highlight w:val="none"/>
        </w:rPr>
        <w:t>2</w:t>
      </w:r>
      <w:r>
        <w:rPr>
          <w:rFonts w:hint="eastAsia" w:hAnsi="宋体" w:cs="宋体"/>
          <w:highlight w:val="none"/>
          <w:lang w:val="en-US" w:eastAsia="zh-CN"/>
        </w:rPr>
        <w:t>9</w:t>
      </w:r>
      <w:r>
        <w:rPr>
          <w:rFonts w:hint="eastAsia" w:hAnsi="宋体" w:cs="宋体"/>
          <w:highlight w:val="none"/>
        </w:rPr>
        <w:t>.成交</w:t>
      </w:r>
      <w:r>
        <w:rPr>
          <w:rFonts w:hint="eastAsia" w:hAnsi="宋体" w:cs="宋体"/>
          <w:highlight w:val="none"/>
          <w:lang w:eastAsia="zh-CN"/>
        </w:rPr>
        <w:t>候选人</w:t>
      </w:r>
      <w:r>
        <w:rPr>
          <w:rFonts w:hint="eastAsia" w:hAnsi="宋体" w:cs="宋体"/>
          <w:highlight w:val="none"/>
        </w:rPr>
        <w:t>的确定原则及标准</w:t>
      </w:r>
      <w:r>
        <w:tab/>
      </w:r>
      <w:r>
        <w:fldChar w:fldCharType="begin"/>
      </w:r>
      <w:r>
        <w:instrText xml:space="preserve"> PAGEREF _Toc18904 \h </w:instrText>
      </w:r>
      <w:r>
        <w:fldChar w:fldCharType="separate"/>
      </w:r>
      <w:r>
        <w:t>26</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_Toc20842 </w:instrText>
      </w:r>
      <w:r>
        <w:rPr>
          <w:rFonts w:hint="eastAsia" w:ascii="宋体" w:hAnsi="宋体" w:eastAsia="宋体" w:cs="宋体"/>
          <w:szCs w:val="24"/>
        </w:rPr>
        <w:fldChar w:fldCharType="separate"/>
      </w:r>
      <w:r>
        <w:rPr>
          <w:rFonts w:hint="eastAsia" w:hAnsi="宋体" w:cs="宋体"/>
          <w:highlight w:val="none"/>
          <w:lang w:val="en-US" w:eastAsia="zh-CN"/>
        </w:rPr>
        <w:t>30</w:t>
      </w:r>
      <w:r>
        <w:rPr>
          <w:rFonts w:hint="eastAsia" w:hAnsi="宋体" w:cs="宋体"/>
          <w:highlight w:val="none"/>
        </w:rPr>
        <w:t>.确定成交</w:t>
      </w:r>
      <w:r>
        <w:rPr>
          <w:rFonts w:hint="eastAsia" w:hAnsi="宋体" w:cs="宋体"/>
          <w:highlight w:val="none"/>
          <w:lang w:eastAsia="zh-CN"/>
        </w:rPr>
        <w:t>候选人</w:t>
      </w:r>
      <w:r>
        <w:rPr>
          <w:rFonts w:hint="eastAsia" w:hAnsi="宋体" w:cs="宋体"/>
          <w:highlight w:val="none"/>
        </w:rPr>
        <w:t>和成交供应商</w:t>
      </w:r>
      <w:r>
        <w:tab/>
      </w:r>
      <w:r>
        <w:fldChar w:fldCharType="begin"/>
      </w:r>
      <w:r>
        <w:instrText xml:space="preserve"> PAGEREF _Toc20842 \h </w:instrText>
      </w:r>
      <w:r>
        <w:fldChar w:fldCharType="separate"/>
      </w:r>
      <w:r>
        <w:t>26</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_Toc2569 </w:instrText>
      </w:r>
      <w:r>
        <w:rPr>
          <w:rFonts w:hint="eastAsia" w:ascii="宋体" w:hAnsi="宋体" w:eastAsia="宋体" w:cs="宋体"/>
          <w:szCs w:val="24"/>
        </w:rPr>
        <w:fldChar w:fldCharType="separate"/>
      </w:r>
      <w:r>
        <w:rPr>
          <w:rFonts w:hint="eastAsia" w:hAnsi="宋体" w:cs="宋体"/>
          <w:highlight w:val="none"/>
          <w:lang w:val="en-US" w:eastAsia="zh-CN"/>
        </w:rPr>
        <w:t>31</w:t>
      </w:r>
      <w:r>
        <w:rPr>
          <w:rFonts w:hint="eastAsia" w:hAnsi="宋体" w:cs="宋体"/>
          <w:highlight w:val="none"/>
        </w:rPr>
        <w:t>.采购任务取消</w:t>
      </w:r>
      <w:r>
        <w:tab/>
      </w:r>
      <w:r>
        <w:fldChar w:fldCharType="begin"/>
      </w:r>
      <w:r>
        <w:instrText xml:space="preserve"> PAGEREF _Toc2569 \h </w:instrText>
      </w:r>
      <w:r>
        <w:fldChar w:fldCharType="separate"/>
      </w:r>
      <w:r>
        <w:t>26</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_Toc27673 </w:instrText>
      </w:r>
      <w:r>
        <w:rPr>
          <w:rFonts w:hint="eastAsia" w:ascii="宋体" w:hAnsi="宋体" w:eastAsia="宋体" w:cs="宋体"/>
          <w:szCs w:val="24"/>
        </w:rPr>
        <w:fldChar w:fldCharType="separate"/>
      </w:r>
      <w:r>
        <w:rPr>
          <w:rFonts w:hint="eastAsia" w:hAnsi="宋体" w:cs="宋体"/>
          <w:highlight w:val="none"/>
        </w:rPr>
        <w:t>3</w:t>
      </w:r>
      <w:r>
        <w:rPr>
          <w:rFonts w:hint="eastAsia" w:hAnsi="宋体" w:cs="宋体"/>
          <w:highlight w:val="none"/>
          <w:lang w:val="en-US" w:eastAsia="zh-CN"/>
        </w:rPr>
        <w:t>2</w:t>
      </w:r>
      <w:r>
        <w:rPr>
          <w:rFonts w:hint="eastAsia" w:hAnsi="宋体" w:cs="宋体"/>
          <w:highlight w:val="none"/>
        </w:rPr>
        <w:t>.发出成交通知书</w:t>
      </w:r>
      <w:r>
        <w:tab/>
      </w:r>
      <w:r>
        <w:fldChar w:fldCharType="begin"/>
      </w:r>
      <w:r>
        <w:instrText xml:space="preserve"> PAGEREF _Toc27673 \h </w:instrText>
      </w:r>
      <w:r>
        <w:fldChar w:fldCharType="separate"/>
      </w:r>
      <w:r>
        <w:t>27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_Toc29774 </w:instrText>
      </w:r>
      <w:r>
        <w:rPr>
          <w:rFonts w:hint="eastAsia" w:ascii="宋体" w:hAnsi="宋体" w:eastAsia="宋体" w:cs="宋体"/>
          <w:szCs w:val="24"/>
        </w:rPr>
        <w:fldChar w:fldCharType="separate"/>
      </w:r>
      <w:r>
        <w:rPr>
          <w:rFonts w:hint="eastAsia" w:hAnsi="宋体" w:cs="宋体"/>
          <w:highlight w:val="none"/>
        </w:rPr>
        <w:t>3</w:t>
      </w:r>
      <w:r>
        <w:rPr>
          <w:rFonts w:hint="eastAsia" w:hAnsi="宋体" w:cs="宋体"/>
          <w:highlight w:val="none"/>
          <w:lang w:val="en-US" w:eastAsia="zh-CN"/>
        </w:rPr>
        <w:t>3</w:t>
      </w:r>
      <w:r>
        <w:rPr>
          <w:rFonts w:hint="eastAsia" w:hAnsi="宋体" w:cs="宋体"/>
          <w:highlight w:val="none"/>
        </w:rPr>
        <w:t>.签订合同</w:t>
      </w:r>
      <w:r>
        <w:tab/>
      </w:r>
      <w:r>
        <w:fldChar w:fldCharType="begin"/>
      </w:r>
      <w:r>
        <w:instrText xml:space="preserve"> PAGEREF _Toc29774 \h </w:instrText>
      </w:r>
      <w:r>
        <w:fldChar w:fldCharType="separate"/>
      </w:r>
      <w:r>
        <w:t>27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_Toc6645 </w:instrText>
      </w:r>
      <w:r>
        <w:rPr>
          <w:rFonts w:hint="eastAsia" w:ascii="宋体" w:hAnsi="宋体" w:eastAsia="宋体" w:cs="宋体"/>
          <w:szCs w:val="24"/>
        </w:rPr>
        <w:fldChar w:fldCharType="separate"/>
      </w:r>
      <w:r>
        <w:rPr>
          <w:rFonts w:hint="eastAsia" w:hAnsi="宋体" w:cs="宋体"/>
          <w:highlight w:val="none"/>
        </w:rPr>
        <w:t>3</w:t>
      </w:r>
      <w:r>
        <w:rPr>
          <w:rFonts w:hint="eastAsia" w:hAnsi="宋体" w:cs="宋体"/>
          <w:highlight w:val="none"/>
          <w:lang w:val="en-US" w:eastAsia="zh-CN"/>
        </w:rPr>
        <w:t>4</w:t>
      </w:r>
      <w:r>
        <w:rPr>
          <w:rFonts w:hint="eastAsia" w:hAnsi="宋体" w:cs="宋体"/>
          <w:highlight w:val="none"/>
        </w:rPr>
        <w:t>.履约保证金</w:t>
      </w:r>
      <w:r>
        <w:tab/>
      </w:r>
      <w:r>
        <w:fldChar w:fldCharType="begin"/>
      </w:r>
      <w:r>
        <w:instrText xml:space="preserve"> PAGEREF _Toc6645 \h </w:instrText>
      </w:r>
      <w:r>
        <w:fldChar w:fldCharType="separate"/>
      </w:r>
      <w:r>
        <w:t>27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_Toc20959 </w:instrText>
      </w:r>
      <w:r>
        <w:rPr>
          <w:rFonts w:hint="eastAsia" w:ascii="宋体" w:hAnsi="宋体" w:eastAsia="宋体" w:cs="宋体"/>
          <w:szCs w:val="24"/>
        </w:rPr>
        <w:fldChar w:fldCharType="separate"/>
      </w:r>
      <w:r>
        <w:rPr>
          <w:rFonts w:hint="eastAsia" w:hAnsi="宋体" w:cs="宋体"/>
          <w:highlight w:val="none"/>
          <w:lang w:val="en-US" w:eastAsia="zh-CN"/>
        </w:rPr>
        <w:t>35</w:t>
      </w:r>
      <w:r>
        <w:rPr>
          <w:rFonts w:hint="eastAsia" w:hAnsi="宋体" w:cs="宋体"/>
          <w:highlight w:val="none"/>
        </w:rPr>
        <w:t>. 政府采购融资担保</w:t>
      </w:r>
      <w:r>
        <w:tab/>
      </w:r>
      <w:r>
        <w:fldChar w:fldCharType="begin"/>
      </w:r>
      <w:r>
        <w:instrText xml:space="preserve"> PAGEREF _Toc20959 \h </w:instrText>
      </w:r>
      <w:r>
        <w:fldChar w:fldCharType="separate"/>
      </w:r>
      <w:r>
        <w:t>27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_Toc17519 </w:instrText>
      </w:r>
      <w:r>
        <w:rPr>
          <w:rFonts w:hint="eastAsia" w:ascii="宋体" w:hAnsi="宋体" w:eastAsia="宋体" w:cs="宋体"/>
          <w:szCs w:val="24"/>
        </w:rPr>
        <w:fldChar w:fldCharType="separate"/>
      </w:r>
      <w:r>
        <w:rPr>
          <w:rFonts w:hint="eastAsia" w:hAnsi="宋体" w:cs="宋体"/>
          <w:highlight w:val="none"/>
        </w:rPr>
        <w:t>3</w:t>
      </w:r>
      <w:r>
        <w:rPr>
          <w:rFonts w:hint="eastAsia" w:hAnsi="宋体" w:cs="宋体"/>
          <w:highlight w:val="none"/>
          <w:lang w:val="en-US" w:eastAsia="zh-CN"/>
        </w:rPr>
        <w:t>6</w:t>
      </w:r>
      <w:r>
        <w:rPr>
          <w:rFonts w:hint="eastAsia" w:hAnsi="宋体" w:cs="宋体"/>
          <w:highlight w:val="none"/>
        </w:rPr>
        <w:t>.预付款</w:t>
      </w:r>
      <w:r>
        <w:tab/>
      </w:r>
      <w:r>
        <w:fldChar w:fldCharType="begin"/>
      </w:r>
      <w:r>
        <w:instrText xml:space="preserve"> PAGEREF _Toc17519 \h </w:instrText>
      </w:r>
      <w:r>
        <w:fldChar w:fldCharType="separate"/>
      </w:r>
      <w:r>
        <w:t>27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_Toc7940 </w:instrText>
      </w:r>
      <w:r>
        <w:rPr>
          <w:rFonts w:hint="eastAsia" w:ascii="宋体" w:hAnsi="宋体" w:eastAsia="宋体" w:cs="宋体"/>
          <w:szCs w:val="24"/>
        </w:rPr>
        <w:fldChar w:fldCharType="separate"/>
      </w:r>
      <w:r>
        <w:rPr>
          <w:rFonts w:hint="eastAsia" w:hAnsi="宋体" w:cs="宋体"/>
          <w:highlight w:val="none"/>
          <w:lang w:val="en-US" w:eastAsia="zh-CN"/>
        </w:rPr>
        <w:t>37</w:t>
      </w:r>
      <w:r>
        <w:rPr>
          <w:rFonts w:hint="eastAsia" w:hAnsi="宋体" w:cs="宋体"/>
          <w:highlight w:val="none"/>
        </w:rPr>
        <w:t>.廉洁自律规定</w:t>
      </w:r>
      <w:r>
        <w:tab/>
      </w:r>
      <w:r>
        <w:fldChar w:fldCharType="begin"/>
      </w:r>
      <w:r>
        <w:instrText xml:space="preserve"> PAGEREF _Toc7940 \h </w:instrText>
      </w:r>
      <w:r>
        <w:fldChar w:fldCharType="separate"/>
      </w:r>
      <w:r>
        <w:t>27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_Toc13543 </w:instrText>
      </w:r>
      <w:r>
        <w:rPr>
          <w:rFonts w:hint="eastAsia" w:ascii="宋体" w:hAnsi="宋体" w:eastAsia="宋体" w:cs="宋体"/>
          <w:szCs w:val="24"/>
        </w:rPr>
        <w:fldChar w:fldCharType="separate"/>
      </w:r>
      <w:r>
        <w:rPr>
          <w:rFonts w:hint="eastAsia" w:hAnsi="宋体" w:cs="宋体"/>
          <w:highlight w:val="none"/>
        </w:rPr>
        <w:t>3</w:t>
      </w:r>
      <w:r>
        <w:rPr>
          <w:rFonts w:hint="eastAsia" w:hAnsi="宋体" w:cs="宋体"/>
          <w:highlight w:val="none"/>
          <w:lang w:val="en-US" w:eastAsia="zh-CN"/>
        </w:rPr>
        <w:t>8</w:t>
      </w:r>
      <w:r>
        <w:rPr>
          <w:rFonts w:hint="eastAsia" w:hAnsi="宋体" w:cs="宋体"/>
          <w:highlight w:val="none"/>
        </w:rPr>
        <w:t>.人员回避</w:t>
      </w:r>
      <w:r>
        <w:tab/>
      </w:r>
      <w:r>
        <w:fldChar w:fldCharType="begin"/>
      </w:r>
      <w:r>
        <w:instrText xml:space="preserve"> PAGEREF _Toc13543 \h </w:instrText>
      </w:r>
      <w:r>
        <w:fldChar w:fldCharType="separate"/>
      </w:r>
      <w:r>
        <w:t>28</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_Toc3334 </w:instrText>
      </w:r>
      <w:r>
        <w:rPr>
          <w:rFonts w:hint="eastAsia" w:ascii="宋体" w:hAnsi="宋体" w:eastAsia="宋体" w:cs="宋体"/>
          <w:szCs w:val="24"/>
        </w:rPr>
        <w:fldChar w:fldCharType="separate"/>
      </w:r>
      <w:r>
        <w:rPr>
          <w:rFonts w:hint="eastAsia" w:hAnsi="宋体" w:cs="宋体"/>
          <w:highlight w:val="none"/>
        </w:rPr>
        <w:t>3</w:t>
      </w:r>
      <w:r>
        <w:rPr>
          <w:rFonts w:hint="eastAsia" w:hAnsi="宋体" w:cs="宋体"/>
          <w:highlight w:val="none"/>
          <w:lang w:val="en-US" w:eastAsia="zh-CN"/>
        </w:rPr>
        <w:t>9</w:t>
      </w:r>
      <w:r>
        <w:rPr>
          <w:rFonts w:hint="eastAsia" w:hAnsi="宋体" w:cs="宋体"/>
          <w:highlight w:val="none"/>
        </w:rPr>
        <w:t>.质疑与接收</w:t>
      </w:r>
      <w:r>
        <w:tab/>
      </w:r>
      <w:r>
        <w:fldChar w:fldCharType="begin"/>
      </w:r>
      <w:r>
        <w:instrText xml:space="preserve"> PAGEREF _Toc3334 \h </w:instrText>
      </w:r>
      <w:r>
        <w:fldChar w:fldCharType="separate"/>
      </w:r>
      <w:r>
        <w:t>28</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_Toc22341 </w:instrText>
      </w:r>
      <w:r>
        <w:rPr>
          <w:rFonts w:hint="eastAsia" w:ascii="宋体" w:hAnsi="宋体" w:eastAsia="宋体" w:cs="宋体"/>
          <w:szCs w:val="24"/>
        </w:rPr>
        <w:fldChar w:fldCharType="separate"/>
      </w:r>
      <w:r>
        <w:rPr>
          <w:rFonts w:hint="eastAsia" w:hAnsi="宋体" w:cs="宋体"/>
          <w:highlight w:val="none"/>
          <w:lang w:val="en-US" w:eastAsia="zh-CN"/>
        </w:rPr>
        <w:t>40</w:t>
      </w:r>
      <w:r>
        <w:rPr>
          <w:rFonts w:hint="eastAsia" w:hAnsi="宋体" w:cs="宋体"/>
          <w:highlight w:val="none"/>
        </w:rPr>
        <w:t>.项目其他相关费用</w:t>
      </w:r>
      <w:r>
        <w:tab/>
      </w:r>
      <w:r>
        <w:fldChar w:fldCharType="begin"/>
      </w:r>
      <w:r>
        <w:instrText xml:space="preserve"> PAGEREF _Toc22341 \h </w:instrText>
      </w:r>
      <w:r>
        <w:fldChar w:fldCharType="separate"/>
      </w:r>
      <w:r>
        <w:t>29</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_Toc24809 </w:instrText>
      </w:r>
      <w:r>
        <w:rPr>
          <w:rFonts w:hint="eastAsia" w:ascii="宋体" w:hAnsi="宋体" w:eastAsia="宋体" w:cs="宋体"/>
          <w:szCs w:val="24"/>
        </w:rPr>
        <w:fldChar w:fldCharType="separate"/>
      </w:r>
      <w:r>
        <w:rPr>
          <w:rFonts w:hint="eastAsia" w:hAnsi="宋体" w:cs="宋体"/>
          <w:highlight w:val="none"/>
          <w:lang w:val="en-US" w:eastAsia="zh-CN"/>
        </w:rPr>
        <w:t>41</w:t>
      </w:r>
      <w:r>
        <w:rPr>
          <w:rFonts w:hint="eastAsia" w:hAnsi="宋体" w:cs="宋体"/>
          <w:highlight w:val="none"/>
        </w:rPr>
        <w:t>.合同公示</w:t>
      </w:r>
      <w:r>
        <w:tab/>
      </w:r>
      <w:r>
        <w:fldChar w:fldCharType="begin"/>
      </w:r>
      <w:r>
        <w:instrText xml:space="preserve"> PAGEREF _Toc24809 \h </w:instrText>
      </w:r>
      <w:r>
        <w:fldChar w:fldCharType="separate"/>
      </w:r>
      <w:r>
        <w:t>29</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_Toc10825 </w:instrText>
      </w:r>
      <w:r>
        <w:rPr>
          <w:rFonts w:hint="eastAsia" w:ascii="宋体" w:hAnsi="宋体" w:eastAsia="宋体" w:cs="宋体"/>
          <w:szCs w:val="24"/>
        </w:rPr>
        <w:fldChar w:fldCharType="separate"/>
      </w:r>
      <w:r>
        <w:rPr>
          <w:rFonts w:hint="eastAsia" w:hAnsi="宋体" w:cs="宋体"/>
          <w:highlight w:val="none"/>
        </w:rPr>
        <w:t>4</w:t>
      </w:r>
      <w:r>
        <w:rPr>
          <w:rFonts w:hint="eastAsia" w:hAnsi="宋体" w:cs="宋体"/>
          <w:highlight w:val="none"/>
          <w:lang w:val="en-US" w:eastAsia="zh-CN"/>
        </w:rPr>
        <w:t>2</w:t>
      </w:r>
      <w:r>
        <w:rPr>
          <w:rFonts w:hint="eastAsia" w:hAnsi="宋体" w:cs="宋体"/>
          <w:highlight w:val="none"/>
        </w:rPr>
        <w:t>.验收</w:t>
      </w:r>
      <w:r>
        <w:tab/>
      </w:r>
      <w:r>
        <w:fldChar w:fldCharType="begin"/>
      </w:r>
      <w:r>
        <w:instrText xml:space="preserve"> PAGEREF _Toc10825 \h </w:instrText>
      </w:r>
      <w:r>
        <w:fldChar w:fldCharType="separate"/>
      </w:r>
      <w:r>
        <w:t>29</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_Toc31985 </w:instrText>
      </w:r>
      <w:r>
        <w:rPr>
          <w:rFonts w:hint="eastAsia" w:ascii="宋体" w:hAnsi="宋体" w:eastAsia="宋体" w:cs="宋体"/>
          <w:szCs w:val="24"/>
        </w:rPr>
        <w:fldChar w:fldCharType="separate"/>
      </w:r>
      <w:r>
        <w:rPr>
          <w:rFonts w:hint="eastAsia" w:hAnsi="宋体" w:cs="宋体"/>
          <w:highlight w:val="none"/>
        </w:rPr>
        <w:t>4</w:t>
      </w:r>
      <w:r>
        <w:rPr>
          <w:rFonts w:hint="eastAsia" w:hAnsi="宋体" w:cs="宋体"/>
          <w:highlight w:val="none"/>
          <w:lang w:val="en-US" w:eastAsia="zh-CN"/>
        </w:rPr>
        <w:t>3</w:t>
      </w:r>
      <w:r>
        <w:rPr>
          <w:rFonts w:hint="eastAsia" w:hAnsi="宋体" w:cs="宋体"/>
          <w:highlight w:val="none"/>
        </w:rPr>
        <w:t>.履约验收公示</w:t>
      </w:r>
      <w:r>
        <w:tab/>
      </w:r>
      <w:r>
        <w:fldChar w:fldCharType="begin"/>
      </w:r>
      <w:r>
        <w:instrText xml:space="preserve"> PAGEREF _Toc31985 \h </w:instrText>
      </w:r>
      <w:r>
        <w:fldChar w:fldCharType="separate"/>
      </w:r>
      <w:r>
        <w:t>30</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_Toc5004 </w:instrText>
      </w:r>
      <w:r>
        <w:rPr>
          <w:rFonts w:hint="eastAsia" w:ascii="宋体" w:hAnsi="宋体" w:eastAsia="宋体" w:cs="宋体"/>
          <w:szCs w:val="24"/>
        </w:rPr>
        <w:fldChar w:fldCharType="separate"/>
      </w:r>
      <w:r>
        <w:rPr>
          <w:rFonts w:hint="eastAsia" w:hAnsi="宋体" w:cs="宋体"/>
          <w:highlight w:val="none"/>
        </w:rPr>
        <w:t>4</w:t>
      </w:r>
      <w:r>
        <w:rPr>
          <w:rFonts w:hint="eastAsia" w:hAnsi="宋体" w:cs="宋体"/>
          <w:highlight w:val="none"/>
          <w:lang w:val="en-US" w:eastAsia="zh-CN"/>
        </w:rPr>
        <w:t>4</w:t>
      </w:r>
      <w:r>
        <w:rPr>
          <w:rFonts w:hint="eastAsia" w:hAnsi="宋体" w:cs="宋体"/>
          <w:highlight w:val="none"/>
        </w:rPr>
        <w:t>.</w:t>
      </w:r>
      <w:r>
        <w:rPr>
          <w:rFonts w:hint="eastAsia" w:hAnsi="宋体" w:cs="宋体"/>
          <w:highlight w:val="none"/>
          <w:lang w:eastAsia="zh-CN"/>
        </w:rPr>
        <w:t>采购文件</w:t>
      </w:r>
      <w:r>
        <w:rPr>
          <w:rFonts w:hint="eastAsia" w:hAnsi="宋体" w:cs="宋体"/>
          <w:highlight w:val="none"/>
        </w:rPr>
        <w:t>解释权</w:t>
      </w:r>
      <w:r>
        <w:tab/>
      </w:r>
      <w:r>
        <w:fldChar w:fldCharType="begin"/>
      </w:r>
      <w:r>
        <w:instrText xml:space="preserve"> PAGEREF _Toc5004 \h </w:instrText>
      </w:r>
      <w:r>
        <w:fldChar w:fldCharType="separate"/>
      </w:r>
      <w:r>
        <w:t>30</w:t>
      </w:r>
      <w:r>
        <w:fldChar w:fldCharType="end"/>
      </w:r>
      <w:r>
        <w:rPr>
          <w:rFonts w:hint="eastAsia" w:ascii="宋体" w:hAnsi="宋体" w:eastAsia="宋体" w:cs="宋体"/>
          <w:szCs w:val="24"/>
        </w:rPr>
        <w:fldChar w:fldCharType="end"/>
      </w:r>
    </w:p>
    <w:p>
      <w:pPr>
        <w:pStyle w:val="15"/>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_Toc4916 </w:instrText>
      </w:r>
      <w:r>
        <w:rPr>
          <w:rFonts w:hint="eastAsia" w:ascii="宋体" w:hAnsi="宋体" w:eastAsia="宋体" w:cs="宋体"/>
          <w:szCs w:val="24"/>
        </w:rPr>
        <w:fldChar w:fldCharType="separate"/>
      </w:r>
      <w:r>
        <w:rPr>
          <w:rFonts w:hint="eastAsia" w:ascii="宋体" w:hAnsi="宋体" w:eastAsia="宋体" w:cs="宋体"/>
          <w:szCs w:val="32"/>
        </w:rPr>
        <w:t xml:space="preserve">第三章 </w:t>
      </w:r>
      <w:r>
        <w:rPr>
          <w:rFonts w:hint="eastAsia" w:ascii="宋体" w:hAnsi="宋体" w:eastAsia="宋体" w:cs="宋体"/>
          <w:szCs w:val="32"/>
          <w:highlight w:val="none"/>
        </w:rPr>
        <w:t>服务需求</w:t>
      </w:r>
      <w:r>
        <w:tab/>
      </w:r>
      <w:r>
        <w:fldChar w:fldCharType="begin"/>
      </w:r>
      <w:r>
        <w:instrText xml:space="preserve"> PAGEREF _Toc4916 \h </w:instrText>
      </w:r>
      <w:r>
        <w:fldChar w:fldCharType="separate"/>
      </w:r>
      <w:r>
        <w:t>31</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_Toc15424 </w:instrText>
      </w:r>
      <w:r>
        <w:rPr>
          <w:rFonts w:hint="eastAsia" w:ascii="宋体" w:hAnsi="宋体" w:eastAsia="宋体" w:cs="宋体"/>
          <w:szCs w:val="24"/>
        </w:rPr>
        <w:fldChar w:fldCharType="separate"/>
      </w:r>
      <w:r>
        <w:rPr>
          <w:rFonts w:hint="eastAsia" w:ascii="宋体" w:hAnsi="宋体" w:eastAsia="宋体" w:cs="宋体"/>
          <w:bCs/>
          <w:szCs w:val="24"/>
          <w:highlight w:val="none"/>
          <w:lang w:val="en-GB"/>
        </w:rPr>
        <w:t>一、项目说明</w:t>
      </w:r>
      <w:r>
        <w:tab/>
      </w:r>
      <w:r>
        <w:fldChar w:fldCharType="begin"/>
      </w:r>
      <w:r>
        <w:instrText xml:space="preserve"> PAGEREF _Toc15424 \h </w:instrText>
      </w:r>
      <w:r>
        <w:fldChar w:fldCharType="separate"/>
      </w:r>
      <w:r>
        <w:t>31</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_Toc12740 </w:instrText>
      </w:r>
      <w:r>
        <w:rPr>
          <w:rFonts w:hint="eastAsia" w:ascii="宋体" w:hAnsi="宋体" w:eastAsia="宋体" w:cs="宋体"/>
          <w:szCs w:val="24"/>
        </w:rPr>
        <w:fldChar w:fldCharType="separate"/>
      </w:r>
      <w:r>
        <w:rPr>
          <w:rFonts w:hint="eastAsia" w:ascii="宋体" w:hAnsi="宋体" w:eastAsia="宋体" w:cs="宋体"/>
          <w:szCs w:val="24"/>
          <w:lang w:eastAsia="zh-CN"/>
        </w:rPr>
        <w:t>二</w:t>
      </w:r>
      <w:r>
        <w:rPr>
          <w:rFonts w:hint="eastAsia" w:ascii="宋体" w:hAnsi="宋体" w:eastAsia="宋体" w:cs="宋体"/>
          <w:bCs/>
          <w:szCs w:val="24"/>
          <w:highlight w:val="none"/>
          <w:lang w:val="en-GB" w:eastAsia="zh-CN"/>
        </w:rPr>
        <w:t>、服务明细</w:t>
      </w:r>
      <w:r>
        <w:tab/>
      </w:r>
      <w:r>
        <w:fldChar w:fldCharType="begin"/>
      </w:r>
      <w:r>
        <w:instrText xml:space="preserve"> PAGEREF _Toc12740 \h </w:instrText>
      </w:r>
      <w:r>
        <w:fldChar w:fldCharType="separate"/>
      </w:r>
      <w:r>
        <w:t>31</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_Toc1326 </w:instrText>
      </w:r>
      <w:r>
        <w:rPr>
          <w:rFonts w:hint="eastAsia" w:ascii="宋体" w:hAnsi="宋体" w:eastAsia="宋体" w:cs="宋体"/>
          <w:szCs w:val="24"/>
        </w:rPr>
        <w:fldChar w:fldCharType="separate"/>
      </w:r>
      <w:r>
        <w:rPr>
          <w:rFonts w:hint="eastAsia" w:ascii="宋体" w:hAnsi="宋体" w:eastAsia="宋体" w:cs="宋体"/>
          <w:szCs w:val="24"/>
          <w:lang w:eastAsia="zh-CN"/>
        </w:rPr>
        <w:t>三</w:t>
      </w:r>
      <w:r>
        <w:rPr>
          <w:rFonts w:hint="eastAsia" w:ascii="宋体" w:hAnsi="宋体" w:eastAsia="宋体" w:cs="宋体"/>
          <w:bCs/>
          <w:szCs w:val="24"/>
          <w:highlight w:val="none"/>
          <w:lang w:val="en-GB" w:eastAsia="zh-CN"/>
        </w:rPr>
        <w:t>、</w:t>
      </w:r>
      <w:r>
        <w:rPr>
          <w:rFonts w:hint="eastAsia" w:ascii="宋体" w:hAnsi="宋体" w:eastAsia="宋体" w:cs="宋体"/>
          <w:bCs/>
          <w:szCs w:val="24"/>
          <w:highlight w:val="none"/>
          <w:lang w:val="en-US" w:eastAsia="zh-CN"/>
        </w:rPr>
        <w:t>总体工作要求：</w:t>
      </w:r>
      <w:r>
        <w:tab/>
      </w:r>
      <w:r>
        <w:fldChar w:fldCharType="begin"/>
      </w:r>
      <w:r>
        <w:instrText xml:space="preserve"> PAGEREF _Toc1326 \h </w:instrText>
      </w:r>
      <w:r>
        <w:fldChar w:fldCharType="separate"/>
      </w:r>
      <w:r>
        <w:t>37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_Toc7487 </w:instrText>
      </w:r>
      <w:r>
        <w:rPr>
          <w:rFonts w:hint="eastAsia" w:ascii="宋体" w:hAnsi="宋体" w:eastAsia="宋体" w:cs="宋体"/>
          <w:szCs w:val="24"/>
        </w:rPr>
        <w:fldChar w:fldCharType="separate"/>
      </w:r>
      <w:r>
        <w:rPr>
          <w:rFonts w:hint="eastAsia" w:ascii="宋体" w:hAnsi="宋体" w:eastAsia="宋体" w:cs="宋体"/>
          <w:szCs w:val="24"/>
          <w:lang w:eastAsia="zh-CN"/>
        </w:rPr>
        <w:t>四</w:t>
      </w:r>
      <w:r>
        <w:rPr>
          <w:rFonts w:hint="eastAsia" w:ascii="宋体" w:hAnsi="宋体" w:eastAsia="宋体" w:cs="宋体"/>
          <w:bCs/>
          <w:szCs w:val="24"/>
          <w:highlight w:val="none"/>
          <w:lang w:val="en-US" w:eastAsia="zh-CN"/>
        </w:rPr>
        <w:t>、</w:t>
      </w:r>
      <w:r>
        <w:rPr>
          <w:rFonts w:hint="eastAsia" w:ascii="宋体" w:hAnsi="宋体" w:eastAsia="宋体" w:cs="宋体"/>
          <w:bCs/>
          <w:szCs w:val="24"/>
          <w:highlight w:val="none"/>
          <w:lang w:val="en-GB" w:eastAsia="zh-CN"/>
        </w:rPr>
        <w:t>零配件</w:t>
      </w:r>
      <w:r>
        <w:rPr>
          <w:rFonts w:hint="eastAsia" w:ascii="宋体" w:hAnsi="宋体" w:eastAsia="宋体" w:cs="宋体"/>
          <w:bCs/>
          <w:szCs w:val="24"/>
          <w:highlight w:val="none"/>
          <w:lang w:val="en-US" w:eastAsia="zh-CN"/>
        </w:rPr>
        <w:t>更换</w:t>
      </w:r>
      <w:r>
        <w:rPr>
          <w:rFonts w:hint="eastAsia" w:ascii="宋体" w:hAnsi="宋体" w:eastAsia="宋体" w:cs="宋体"/>
          <w:bCs/>
          <w:szCs w:val="24"/>
          <w:highlight w:val="none"/>
          <w:lang w:val="en-GB" w:eastAsia="zh-CN"/>
        </w:rPr>
        <w:t>要求</w:t>
      </w:r>
      <w:r>
        <w:tab/>
      </w:r>
      <w:r>
        <w:fldChar w:fldCharType="begin"/>
      </w:r>
      <w:r>
        <w:instrText xml:space="preserve"> PAGEREF _Toc7487 \h </w:instrText>
      </w:r>
      <w:r>
        <w:fldChar w:fldCharType="separate"/>
      </w:r>
      <w:r>
        <w:t>37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_Toc21391 </w:instrText>
      </w:r>
      <w:r>
        <w:rPr>
          <w:rFonts w:hint="eastAsia" w:ascii="宋体" w:hAnsi="宋体" w:eastAsia="宋体" w:cs="宋体"/>
          <w:szCs w:val="24"/>
        </w:rPr>
        <w:fldChar w:fldCharType="separate"/>
      </w:r>
      <w:r>
        <w:rPr>
          <w:rFonts w:hint="eastAsia" w:ascii="宋体" w:hAnsi="宋体" w:eastAsia="宋体" w:cs="宋体"/>
          <w:szCs w:val="24"/>
          <w:lang w:eastAsia="zh-CN"/>
        </w:rPr>
        <w:t>五</w:t>
      </w:r>
      <w:r>
        <w:rPr>
          <w:rFonts w:hint="eastAsia" w:ascii="宋体" w:hAnsi="宋体" w:eastAsia="宋体" w:cs="宋体"/>
          <w:bCs/>
          <w:szCs w:val="24"/>
          <w:highlight w:val="none"/>
          <w:lang w:val="en-US" w:eastAsia="zh-CN"/>
        </w:rPr>
        <w:t>、</w:t>
      </w:r>
      <w:r>
        <w:rPr>
          <w:rFonts w:hint="eastAsia" w:ascii="宋体" w:hAnsi="宋体" w:eastAsia="宋体" w:cs="宋体"/>
          <w:bCs/>
          <w:szCs w:val="24"/>
          <w:highlight w:val="none"/>
          <w:lang w:val="en-GB" w:eastAsia="zh-CN"/>
        </w:rPr>
        <w:t>维保</w:t>
      </w:r>
      <w:r>
        <w:rPr>
          <w:rFonts w:hint="eastAsia" w:ascii="宋体" w:hAnsi="宋体" w:eastAsia="宋体" w:cs="宋体"/>
          <w:bCs/>
          <w:szCs w:val="24"/>
          <w:highlight w:val="none"/>
          <w:lang w:val="en-US" w:eastAsia="zh-CN"/>
        </w:rPr>
        <w:t>服务</w:t>
      </w:r>
      <w:r>
        <w:rPr>
          <w:rFonts w:hint="eastAsia" w:ascii="宋体" w:hAnsi="宋体" w:eastAsia="宋体" w:cs="宋体"/>
          <w:bCs/>
          <w:szCs w:val="24"/>
          <w:highlight w:val="none"/>
          <w:lang w:val="en-GB" w:eastAsia="zh-CN"/>
        </w:rPr>
        <w:t>人员</w:t>
      </w:r>
      <w:r>
        <w:rPr>
          <w:rFonts w:hint="eastAsia" w:ascii="宋体" w:hAnsi="宋体" w:eastAsia="宋体" w:cs="宋体"/>
          <w:bCs/>
          <w:szCs w:val="24"/>
          <w:highlight w:val="none"/>
          <w:lang w:val="en-US" w:eastAsia="zh-CN"/>
        </w:rPr>
        <w:t>要求说明</w:t>
      </w:r>
      <w:r>
        <w:tab/>
      </w:r>
      <w:r>
        <w:fldChar w:fldCharType="begin"/>
      </w:r>
      <w:r>
        <w:instrText xml:space="preserve"> PAGEREF _Toc21391 \h </w:instrText>
      </w:r>
      <w:r>
        <w:fldChar w:fldCharType="separate"/>
      </w:r>
      <w:r>
        <w:t>37</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_Toc21700 </w:instrText>
      </w:r>
      <w:r>
        <w:rPr>
          <w:rFonts w:hint="eastAsia" w:ascii="宋体" w:hAnsi="宋体" w:eastAsia="宋体" w:cs="宋体"/>
          <w:szCs w:val="24"/>
        </w:rPr>
        <w:fldChar w:fldCharType="separate"/>
      </w:r>
      <w:r>
        <w:rPr>
          <w:rFonts w:hint="eastAsia" w:ascii="宋体" w:hAnsi="宋体" w:eastAsia="宋体" w:cs="宋体"/>
          <w:szCs w:val="24"/>
          <w:lang w:eastAsia="zh-CN"/>
        </w:rPr>
        <w:t>六</w:t>
      </w:r>
      <w:r>
        <w:rPr>
          <w:rFonts w:hint="eastAsia" w:ascii="宋体" w:hAnsi="宋体" w:eastAsia="宋体" w:cs="宋体"/>
          <w:bCs/>
          <w:szCs w:val="24"/>
          <w:highlight w:val="none"/>
          <w:lang w:val="en-US" w:eastAsia="zh-CN"/>
        </w:rPr>
        <w:t>、</w:t>
      </w:r>
      <w:r>
        <w:rPr>
          <w:rFonts w:hint="eastAsia" w:ascii="宋体" w:hAnsi="宋体" w:eastAsia="宋体" w:cs="宋体"/>
          <w:bCs/>
          <w:szCs w:val="24"/>
          <w:highlight w:val="none"/>
          <w:lang w:val="en-GB" w:eastAsia="zh-CN"/>
        </w:rPr>
        <w:t>其他需要说明的事项</w:t>
      </w:r>
      <w:r>
        <w:tab/>
      </w:r>
      <w:r>
        <w:fldChar w:fldCharType="begin"/>
      </w:r>
      <w:r>
        <w:instrText xml:space="preserve"> PAGEREF _Toc21700 \h </w:instrText>
      </w:r>
      <w:r>
        <w:fldChar w:fldCharType="separate"/>
      </w:r>
      <w:r>
        <w:t>37</w:t>
      </w:r>
      <w:r>
        <w:fldChar w:fldCharType="end"/>
      </w:r>
      <w:r>
        <w:rPr>
          <w:rFonts w:hint="eastAsia" w:ascii="宋体" w:hAnsi="宋体" w:eastAsia="宋体" w:cs="宋体"/>
          <w:szCs w:val="24"/>
        </w:rPr>
        <w:fldChar w:fldCharType="end"/>
      </w:r>
    </w:p>
    <w:p>
      <w:pPr>
        <w:pStyle w:val="15"/>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_Toc17833 </w:instrText>
      </w:r>
      <w:r>
        <w:rPr>
          <w:rFonts w:hint="eastAsia" w:ascii="宋体" w:hAnsi="宋体" w:eastAsia="宋体" w:cs="宋体"/>
          <w:szCs w:val="24"/>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val="en-US" w:eastAsia="zh-CN"/>
        </w:rPr>
        <w:t>四</w:t>
      </w:r>
      <w:r>
        <w:rPr>
          <w:rFonts w:hint="eastAsia" w:ascii="宋体" w:hAnsi="宋体" w:eastAsia="宋体" w:cs="宋体"/>
          <w:szCs w:val="32"/>
          <w:highlight w:val="none"/>
        </w:rPr>
        <w:t>章  评审方法和标准</w:t>
      </w:r>
      <w:r>
        <w:tab/>
      </w:r>
      <w:r>
        <w:fldChar w:fldCharType="begin"/>
      </w:r>
      <w:r>
        <w:instrText xml:space="preserve"> PAGEREF _Toc17833 \h </w:instrText>
      </w:r>
      <w:r>
        <w:fldChar w:fldCharType="separate"/>
      </w:r>
      <w:r>
        <w:t>39</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_Toc12953 </w:instrText>
      </w:r>
      <w:r>
        <w:rPr>
          <w:rFonts w:hint="eastAsia" w:ascii="宋体" w:hAnsi="宋体" w:eastAsia="宋体" w:cs="宋体"/>
          <w:szCs w:val="24"/>
        </w:rPr>
        <w:fldChar w:fldCharType="separate"/>
      </w:r>
      <w:r>
        <w:rPr>
          <w:rFonts w:hint="eastAsia" w:ascii="宋体" w:hAnsi="宋体"/>
          <w:bCs/>
          <w:highlight w:val="none"/>
          <w:lang w:val="en-US" w:eastAsia="zh-CN"/>
        </w:rPr>
        <w:t>一、</w:t>
      </w:r>
      <w:r>
        <w:rPr>
          <w:rFonts w:hint="eastAsia" w:ascii="宋体" w:hAnsi="宋体"/>
          <w:bCs/>
          <w:highlight w:val="none"/>
        </w:rPr>
        <w:t>支持节能环保、中小微企业、监狱企业、残疾人福利性单位发展的鼓励优惠政策</w:t>
      </w:r>
      <w:r>
        <w:tab/>
      </w:r>
      <w:r>
        <w:fldChar w:fldCharType="begin"/>
      </w:r>
      <w:r>
        <w:instrText xml:space="preserve"> PAGEREF _Toc12953 \h </w:instrText>
      </w:r>
      <w:r>
        <w:fldChar w:fldCharType="separate"/>
      </w:r>
      <w:r>
        <w:t>39</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_Toc1591 </w:instrText>
      </w:r>
      <w:r>
        <w:rPr>
          <w:rFonts w:hint="eastAsia" w:ascii="宋体" w:hAnsi="宋体" w:eastAsia="宋体" w:cs="宋体"/>
          <w:szCs w:val="24"/>
        </w:rPr>
        <w:fldChar w:fldCharType="separate"/>
      </w:r>
      <w:r>
        <w:rPr>
          <w:rFonts w:hint="eastAsia" w:ascii="宋体" w:hAnsi="宋体"/>
          <w:bCs/>
          <w:highlight w:val="none"/>
          <w:lang w:val="en-US" w:eastAsia="zh-CN"/>
        </w:rPr>
        <w:t>二、评审办法</w:t>
      </w:r>
      <w:r>
        <w:tab/>
      </w:r>
      <w:r>
        <w:fldChar w:fldCharType="begin"/>
      </w:r>
      <w:r>
        <w:instrText xml:space="preserve"> PAGEREF _Toc1591 \h </w:instrText>
      </w:r>
      <w:r>
        <w:fldChar w:fldCharType="separate"/>
      </w:r>
      <w:r>
        <w:t>41</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_Toc14467 </w:instrText>
      </w:r>
      <w:r>
        <w:rPr>
          <w:rFonts w:hint="eastAsia" w:ascii="宋体" w:hAnsi="宋体" w:eastAsia="宋体" w:cs="宋体"/>
          <w:szCs w:val="24"/>
        </w:rPr>
        <w:fldChar w:fldCharType="separate"/>
      </w:r>
      <w:r>
        <w:rPr>
          <w:rFonts w:hint="eastAsia" w:ascii="宋体" w:hAnsi="宋体"/>
          <w:bCs/>
          <w:highlight w:val="none"/>
          <w:lang w:val="en-US" w:eastAsia="zh-CN"/>
        </w:rPr>
        <w:t>三</w:t>
      </w:r>
      <w:r>
        <w:rPr>
          <w:rFonts w:hint="eastAsia" w:ascii="宋体" w:hAnsi="宋体"/>
          <w:bCs/>
          <w:highlight w:val="none"/>
        </w:rPr>
        <w:t>、评标标准</w:t>
      </w:r>
      <w:r>
        <w:tab/>
      </w:r>
      <w:r>
        <w:fldChar w:fldCharType="begin"/>
      </w:r>
      <w:r>
        <w:instrText xml:space="preserve"> PAGEREF _Toc14467 \h </w:instrText>
      </w:r>
      <w:r>
        <w:fldChar w:fldCharType="separate"/>
      </w:r>
      <w:r>
        <w:t>41</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_Toc11209 </w:instrText>
      </w:r>
      <w:r>
        <w:rPr>
          <w:rFonts w:hint="eastAsia" w:ascii="宋体" w:hAnsi="宋体" w:eastAsia="宋体" w:cs="宋体"/>
          <w:szCs w:val="24"/>
        </w:rPr>
        <w:fldChar w:fldCharType="separate"/>
      </w:r>
      <w:r>
        <w:rPr>
          <w:rFonts w:hint="eastAsia" w:ascii="宋体" w:hAnsi="宋体"/>
          <w:bCs/>
          <w:highlight w:val="none"/>
        </w:rPr>
        <w:t>（一）初步评审</w:t>
      </w:r>
      <w:r>
        <w:tab/>
      </w:r>
      <w:r>
        <w:fldChar w:fldCharType="begin"/>
      </w:r>
      <w:r>
        <w:instrText xml:space="preserve"> PAGEREF _Toc11209 \h </w:instrText>
      </w:r>
      <w:r>
        <w:fldChar w:fldCharType="separate"/>
      </w:r>
      <w:r>
        <w:t>41</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_Toc16042 </w:instrText>
      </w:r>
      <w:r>
        <w:rPr>
          <w:rFonts w:hint="eastAsia" w:ascii="宋体" w:hAnsi="宋体" w:eastAsia="宋体" w:cs="宋体"/>
          <w:szCs w:val="24"/>
        </w:rPr>
        <w:fldChar w:fldCharType="separate"/>
      </w:r>
      <w:r>
        <w:rPr>
          <w:rFonts w:hint="eastAsia" w:ascii="宋体" w:hAnsi="宋体"/>
          <w:bCs/>
          <w:lang w:val="en-US" w:eastAsia="zh-CN"/>
        </w:rPr>
        <w:t xml:space="preserve">(二) </w:t>
      </w:r>
      <w:r>
        <w:rPr>
          <w:rFonts w:hint="eastAsia" w:ascii="宋体" w:hAnsi="宋体"/>
          <w:bCs/>
          <w:highlight w:val="none"/>
          <w:lang w:val="en-US" w:eastAsia="zh-CN"/>
        </w:rPr>
        <w:t>详细评审</w:t>
      </w:r>
      <w:r>
        <w:tab/>
      </w:r>
      <w:r>
        <w:fldChar w:fldCharType="begin"/>
      </w:r>
      <w:r>
        <w:instrText xml:space="preserve"> PAGEREF _Toc16042 \h </w:instrText>
      </w:r>
      <w:r>
        <w:fldChar w:fldCharType="separate"/>
      </w:r>
      <w:r>
        <w:t>42</w:t>
      </w:r>
      <w:r>
        <w:fldChar w:fldCharType="end"/>
      </w:r>
      <w:r>
        <w:rPr>
          <w:rFonts w:hint="eastAsia" w:ascii="宋体" w:hAnsi="宋体" w:eastAsia="宋体" w:cs="宋体"/>
          <w:szCs w:val="24"/>
        </w:rPr>
        <w:fldChar w:fldCharType="end"/>
      </w:r>
    </w:p>
    <w:p>
      <w:pPr>
        <w:pStyle w:val="15"/>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_Toc24152 </w:instrText>
      </w:r>
      <w:r>
        <w:rPr>
          <w:rFonts w:hint="eastAsia" w:ascii="宋体" w:hAnsi="宋体" w:eastAsia="宋体" w:cs="宋体"/>
          <w:szCs w:val="24"/>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val="en-US" w:eastAsia="zh-CN"/>
        </w:rPr>
        <w:t>五</w:t>
      </w:r>
      <w:r>
        <w:rPr>
          <w:rFonts w:hint="eastAsia" w:ascii="宋体" w:hAnsi="宋体" w:eastAsia="宋体" w:cs="宋体"/>
          <w:szCs w:val="32"/>
          <w:highlight w:val="none"/>
        </w:rPr>
        <w:t>章 响应文件格式</w:t>
      </w:r>
      <w:r>
        <w:tab/>
      </w:r>
      <w:r>
        <w:fldChar w:fldCharType="begin"/>
      </w:r>
      <w:r>
        <w:instrText xml:space="preserve"> PAGEREF _Toc24152 \h </w:instrText>
      </w:r>
      <w:r>
        <w:fldChar w:fldCharType="separate"/>
      </w:r>
      <w:r>
        <w:t>45</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_Toc23306 </w:instrText>
      </w:r>
      <w:r>
        <w:rPr>
          <w:rFonts w:hint="eastAsia" w:ascii="宋体" w:hAnsi="宋体" w:eastAsia="宋体" w:cs="宋体"/>
          <w:szCs w:val="24"/>
        </w:rPr>
        <w:fldChar w:fldCharType="separate"/>
      </w:r>
      <w:r>
        <w:rPr>
          <w:rFonts w:hint="eastAsia" w:ascii="宋体" w:hAnsi="宋体" w:eastAsia="黑体" w:cstheme="minorBidi"/>
          <w:bCs/>
          <w:kern w:val="0"/>
          <w:szCs w:val="20"/>
          <w:highlight w:val="none"/>
          <w:lang w:val="en-US" w:eastAsia="zh-CN" w:bidi="ar-SA"/>
        </w:rPr>
        <w:t>一、开标一览表</w:t>
      </w:r>
      <w:r>
        <w:tab/>
      </w:r>
      <w:r>
        <w:fldChar w:fldCharType="begin"/>
      </w:r>
      <w:r>
        <w:instrText xml:space="preserve"> PAGEREF _Toc23306 \h </w:instrText>
      </w:r>
      <w:r>
        <w:fldChar w:fldCharType="separate"/>
      </w:r>
      <w:r>
        <w:t>45</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_Toc25521 </w:instrText>
      </w:r>
      <w:r>
        <w:rPr>
          <w:rFonts w:hint="eastAsia" w:ascii="宋体" w:hAnsi="宋体" w:eastAsia="宋体" w:cs="宋体"/>
          <w:szCs w:val="24"/>
        </w:rPr>
        <w:fldChar w:fldCharType="separate"/>
      </w:r>
      <w:r>
        <w:rPr>
          <w:rFonts w:hint="eastAsia" w:ascii="宋体" w:hAnsi="宋体" w:cs="宋体"/>
          <w:bCs/>
          <w:szCs w:val="24"/>
        </w:rPr>
        <w:t>二、 报价明细表</w:t>
      </w:r>
      <w:r>
        <w:tab/>
      </w:r>
      <w:r>
        <w:fldChar w:fldCharType="begin"/>
      </w:r>
      <w:r>
        <w:instrText xml:space="preserve"> PAGEREF _Toc25521 \h </w:instrText>
      </w:r>
      <w:r>
        <w:fldChar w:fldCharType="separate"/>
      </w:r>
      <w:r>
        <w:t>46</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_Toc22455 </w:instrText>
      </w:r>
      <w:r>
        <w:rPr>
          <w:rFonts w:hint="eastAsia" w:ascii="宋体" w:hAnsi="宋体" w:eastAsia="宋体" w:cs="宋体"/>
          <w:szCs w:val="24"/>
        </w:rPr>
        <w:fldChar w:fldCharType="separate"/>
      </w:r>
      <w:r>
        <w:rPr>
          <w:rFonts w:hint="eastAsia" w:ascii="宋体" w:hAnsi="宋体"/>
          <w:highlight w:val="none"/>
          <w:lang w:eastAsia="zh-CN"/>
        </w:rPr>
        <w:t>三</w:t>
      </w:r>
      <w:r>
        <w:rPr>
          <w:rFonts w:hint="eastAsia" w:ascii="宋体" w:hAnsi="宋体"/>
          <w:highlight w:val="none"/>
        </w:rPr>
        <w:t>、资格证明文件</w:t>
      </w:r>
      <w:r>
        <w:tab/>
      </w:r>
      <w:r>
        <w:fldChar w:fldCharType="begin"/>
      </w:r>
      <w:r>
        <w:instrText xml:space="preserve"> PAGEREF _Toc22455 \h </w:instrText>
      </w:r>
      <w:r>
        <w:fldChar w:fldCharType="separate"/>
      </w:r>
      <w:r>
        <w:t>47</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_Toc29480 </w:instrText>
      </w:r>
      <w:r>
        <w:rPr>
          <w:rFonts w:hint="eastAsia" w:ascii="宋体" w:hAnsi="宋体" w:eastAsia="宋体" w:cs="宋体"/>
          <w:szCs w:val="24"/>
        </w:rPr>
        <w:fldChar w:fldCharType="separate"/>
      </w:r>
      <w:r>
        <w:rPr>
          <w:rFonts w:hint="eastAsia" w:ascii="宋体" w:hAnsi="宋体"/>
          <w:highlight w:val="none"/>
          <w:lang w:eastAsia="zh-CN"/>
        </w:rPr>
        <w:t>四</w:t>
      </w:r>
      <w:r>
        <w:rPr>
          <w:rFonts w:hint="eastAsia" w:ascii="宋体" w:hAnsi="宋体"/>
          <w:highlight w:val="none"/>
        </w:rPr>
        <w:t>、商务及技术文件</w:t>
      </w:r>
      <w:r>
        <w:tab/>
      </w:r>
      <w:r>
        <w:fldChar w:fldCharType="begin"/>
      </w:r>
      <w:r>
        <w:instrText xml:space="preserve"> PAGEREF _Toc29480 \h </w:instrText>
      </w:r>
      <w:r>
        <w:fldChar w:fldCharType="separate"/>
      </w:r>
      <w:r>
        <w:t>52</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_Toc10301 </w:instrText>
      </w:r>
      <w:r>
        <w:rPr>
          <w:rFonts w:hint="eastAsia" w:ascii="宋体" w:hAnsi="宋体" w:eastAsia="宋体" w:cs="宋体"/>
          <w:szCs w:val="24"/>
        </w:rPr>
        <w:fldChar w:fldCharType="separate"/>
      </w:r>
      <w:r>
        <w:rPr>
          <w:rFonts w:hint="eastAsia" w:ascii="宋体" w:hAnsi="宋体"/>
          <w:bCs/>
          <w:szCs w:val="24"/>
          <w:lang w:val="en-US" w:eastAsia="zh-CN"/>
        </w:rPr>
        <w:t>五、</w:t>
      </w:r>
      <w:r>
        <w:rPr>
          <w:rFonts w:hint="eastAsia" w:ascii="宋体" w:hAnsi="宋体"/>
          <w:bCs/>
          <w:szCs w:val="24"/>
        </w:rPr>
        <w:t>供应商认为需要提交的证明文件</w:t>
      </w:r>
      <w:r>
        <w:tab/>
      </w:r>
      <w:r>
        <w:fldChar w:fldCharType="begin"/>
      </w:r>
      <w:r>
        <w:instrText xml:space="preserve"> PAGEREF _Toc10301 \h </w:instrText>
      </w:r>
      <w:r>
        <w:fldChar w:fldCharType="separate"/>
      </w:r>
      <w:r>
        <w:t>59</w:t>
      </w:r>
      <w:r>
        <w:fldChar w:fldCharType="end"/>
      </w:r>
      <w:r>
        <w:rPr>
          <w:rFonts w:hint="eastAsia" w:ascii="宋体" w:hAnsi="宋体" w:eastAsia="宋体" w:cs="宋体"/>
          <w:szCs w:val="24"/>
        </w:rPr>
        <w:fldChar w:fldCharType="end"/>
      </w:r>
    </w:p>
    <w:p>
      <w:pPr>
        <w:pStyle w:val="16"/>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_Toc5147 </w:instrText>
      </w:r>
      <w:r>
        <w:rPr>
          <w:rFonts w:hint="eastAsia" w:ascii="宋体" w:hAnsi="宋体" w:eastAsia="宋体" w:cs="宋体"/>
          <w:szCs w:val="24"/>
        </w:rPr>
        <w:fldChar w:fldCharType="separate"/>
      </w:r>
      <w:r>
        <w:rPr>
          <w:rFonts w:hint="eastAsia" w:hAnsi="宋体"/>
          <w:lang w:eastAsia="zh-CN"/>
        </w:rPr>
        <w:t>六、</w:t>
      </w:r>
      <w:r>
        <w:rPr>
          <w:rFonts w:hint="eastAsia" w:hAnsi="宋体"/>
        </w:rPr>
        <w:t>其他用于评分的证明材料</w:t>
      </w:r>
      <w:r>
        <w:tab/>
      </w:r>
      <w:r>
        <w:fldChar w:fldCharType="begin"/>
      </w:r>
      <w:r>
        <w:instrText xml:space="preserve"> PAGEREF _Toc5147 \h </w:instrText>
      </w:r>
      <w:r>
        <w:fldChar w:fldCharType="separate"/>
      </w:r>
      <w:r>
        <w:t>59</w:t>
      </w:r>
      <w:r>
        <w:fldChar w:fldCharType="end"/>
      </w:r>
      <w:r>
        <w:rPr>
          <w:rFonts w:hint="eastAsia" w:ascii="宋体" w:hAnsi="宋体" w:eastAsia="宋体" w:cs="宋体"/>
          <w:szCs w:val="24"/>
        </w:rPr>
        <w:fldChar w:fldCharType="end"/>
      </w:r>
    </w:p>
    <w:p>
      <w:pPr>
        <w:pStyle w:val="15"/>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_Toc19713 </w:instrText>
      </w:r>
      <w:r>
        <w:rPr>
          <w:rFonts w:hint="eastAsia" w:ascii="宋体" w:hAnsi="宋体" w:eastAsia="宋体" w:cs="宋体"/>
          <w:szCs w:val="24"/>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val="en-US" w:eastAsia="zh-CN"/>
        </w:rPr>
        <w:t>六</w:t>
      </w:r>
      <w:r>
        <w:rPr>
          <w:rFonts w:hint="eastAsia" w:ascii="宋体" w:hAnsi="宋体" w:eastAsia="宋体" w:cs="宋体"/>
          <w:szCs w:val="32"/>
          <w:highlight w:val="none"/>
        </w:rPr>
        <w:t>章 政府采购合同</w:t>
      </w:r>
      <w:r>
        <w:rPr>
          <w:rFonts w:hint="eastAsia" w:ascii="宋体" w:hAnsi="宋体" w:eastAsia="宋体" w:cs="宋体"/>
          <w:szCs w:val="32"/>
          <w:highlight w:val="none"/>
          <w:lang w:val="en-US" w:eastAsia="zh-CN"/>
        </w:rPr>
        <w:t>格式</w:t>
      </w:r>
      <w:r>
        <w:tab/>
      </w:r>
      <w:r>
        <w:fldChar w:fldCharType="begin"/>
      </w:r>
      <w:r>
        <w:instrText xml:space="preserve"> PAGEREF _Toc19713 \h </w:instrText>
      </w:r>
      <w:r>
        <w:fldChar w:fldCharType="separate"/>
      </w:r>
      <w:r>
        <w:t>60</w:t>
      </w:r>
      <w:r>
        <w:fldChar w:fldCharType="end"/>
      </w:r>
      <w:r>
        <w:rPr>
          <w:rFonts w:hint="eastAsia" w:ascii="宋体" w:hAnsi="宋体" w:eastAsia="宋体" w:cs="宋体"/>
          <w:szCs w:val="24"/>
        </w:rPr>
        <w:fldChar w:fldCharType="end"/>
      </w:r>
    </w:p>
    <w:p>
      <w:pPr>
        <w:pStyle w:val="10"/>
        <w:keepNext w:val="0"/>
        <w:keepLines w:val="0"/>
        <w:pageBreakBefore w:val="0"/>
        <w:widowControl w:val="0"/>
        <w:tabs>
          <w:tab w:val="right" w:leader="dot" w:pos="8320"/>
        </w:tabs>
        <w:kinsoku/>
        <w:wordWrap/>
        <w:overflowPunct/>
        <w:topLinePunct w:val="0"/>
        <w:autoSpaceDE/>
        <w:autoSpaceDN/>
        <w:bidi w:val="0"/>
        <w:adjustRightInd/>
        <w:snapToGrid/>
        <w:spacing w:line="440" w:lineRule="exact"/>
        <w:textAlignment w:val="auto"/>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Cs w:val="24"/>
        </w:rPr>
        <w:fldChar w:fldCharType="end"/>
      </w:r>
    </w:p>
    <w:p>
      <w:pPr>
        <w:pStyle w:val="9"/>
        <w:keepNext w:val="0"/>
        <w:keepLines w:val="0"/>
        <w:pageBreakBefore w:val="0"/>
        <w:widowControl w:val="0"/>
        <w:kinsoku/>
        <w:wordWrap/>
        <w:overflowPunct/>
        <w:topLinePunct w:val="0"/>
        <w:autoSpaceDE/>
        <w:autoSpaceDN/>
        <w:bidi w:val="0"/>
        <w:adjustRightInd/>
        <w:snapToGrid/>
        <w:spacing w:line="400" w:lineRule="exact"/>
        <w:textAlignment w:val="auto"/>
        <w:outlineLvl w:val="0"/>
        <w:rPr>
          <w:rFonts w:hint="eastAsia" w:ascii="宋体" w:hAnsi="宋体" w:eastAsia="宋体" w:cs="宋体"/>
          <w:sz w:val="24"/>
          <w:szCs w:val="24"/>
        </w:rPr>
        <w:sectPr>
          <w:footerReference r:id="rId5" w:type="default"/>
          <w:pgSz w:w="11920" w:h="16840"/>
          <w:pgMar w:top="1100" w:right="1800" w:bottom="1100" w:left="1800" w:header="720" w:footer="720" w:gutter="0"/>
          <w:pgNumType w:fmt="decimal" w:start="1"/>
          <w:cols w:space="0" w:num="1"/>
          <w:rtlGutter w:val="0"/>
          <w:docGrid w:linePitch="0" w:charSpace="0"/>
        </w:sectPr>
      </w:pPr>
    </w:p>
    <w:p>
      <w:pPr>
        <w:pStyle w:val="9"/>
        <w:outlineLvl w:val="0"/>
      </w:pPr>
    </w:p>
    <w:p>
      <w:pPr>
        <w:jc w:val="center"/>
        <w:outlineLvl w:val="0"/>
        <w:rPr>
          <w:rFonts w:hint="eastAsia" w:ascii="宋体" w:hAnsi="宋体" w:eastAsia="宋体" w:cs="宋体"/>
          <w:b/>
          <w:color w:val="auto"/>
          <w:sz w:val="32"/>
          <w:szCs w:val="32"/>
          <w:highlight w:val="none"/>
        </w:rPr>
      </w:pPr>
      <w:bookmarkStart w:id="9" w:name="_Toc10502"/>
      <w:r>
        <w:rPr>
          <w:rFonts w:hint="eastAsia" w:ascii="宋体" w:hAnsi="宋体" w:eastAsia="宋体" w:cs="宋体"/>
          <w:b/>
          <w:color w:val="auto"/>
          <w:sz w:val="32"/>
          <w:szCs w:val="32"/>
          <w:highlight w:val="none"/>
          <w:lang w:val="en-US" w:eastAsia="zh-CN"/>
        </w:rPr>
        <w:t>第一章</w:t>
      </w:r>
      <w:r>
        <w:rPr>
          <w:rFonts w:hint="eastAsia" w:ascii="宋体" w:hAnsi="宋体" w:eastAsia="宋体" w:cs="宋体"/>
          <w:b/>
          <w:color w:val="auto"/>
          <w:sz w:val="32"/>
          <w:szCs w:val="32"/>
          <w:highlight w:val="none"/>
        </w:rPr>
        <w:t xml:space="preserve"> 采购邀请</w:t>
      </w:r>
      <w:bookmarkEnd w:id="8"/>
      <w:bookmarkEnd w:id="9"/>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20" w:lineRule="exact"/>
        <w:textAlignment w:val="auto"/>
        <w:rPr>
          <w:rFonts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项目概况</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20" w:lineRule="exact"/>
        <w:ind w:firstLine="480" w:firstLineChars="200"/>
        <w:textAlignment w:val="auto"/>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u w:val="single"/>
          <w:lang w:val="en-GB" w:eastAsia="zh-CN"/>
        </w:rPr>
        <w:t>淄博市中医医院东院区、院本部、张店和平路院区、皮防院</w:t>
      </w:r>
      <w:r>
        <w:rPr>
          <w:rFonts w:hint="eastAsia" w:asciiTheme="majorEastAsia" w:hAnsiTheme="majorEastAsia" w:eastAsiaTheme="majorEastAsia" w:cstheme="majorEastAsia"/>
          <w:color w:val="auto"/>
          <w:sz w:val="24"/>
          <w:highlight w:val="none"/>
          <w:u w:val="single"/>
          <w:lang w:val="en-US" w:eastAsia="zh-CN"/>
        </w:rPr>
        <w:t>四个院区所有基础设施的维修、维护、保养</w:t>
      </w:r>
      <w:r>
        <w:rPr>
          <w:rFonts w:hint="eastAsia" w:asciiTheme="majorEastAsia" w:hAnsiTheme="majorEastAsia" w:eastAsiaTheme="majorEastAsia" w:cstheme="majorEastAsia"/>
          <w:color w:val="auto"/>
          <w:sz w:val="24"/>
          <w:highlight w:val="none"/>
          <w:u w:val="single"/>
          <w:lang w:eastAsia="zh-CN"/>
        </w:rPr>
        <w:t>服务采购项目</w:t>
      </w:r>
      <w:r>
        <w:rPr>
          <w:rFonts w:hint="eastAsia" w:asciiTheme="majorEastAsia" w:hAnsiTheme="majorEastAsia" w:eastAsiaTheme="majorEastAsia" w:cstheme="majorEastAsia"/>
          <w:color w:val="auto"/>
          <w:sz w:val="24"/>
          <w:highlight w:val="none"/>
        </w:rPr>
        <w:t>的潜在供应商应</w:t>
      </w:r>
      <w:r>
        <w:rPr>
          <w:rFonts w:hint="eastAsia" w:asciiTheme="majorEastAsia" w:hAnsiTheme="majorEastAsia" w:eastAsiaTheme="majorEastAsia" w:cstheme="majorEastAsia"/>
          <w:b/>
          <w:bCs/>
          <w:color w:val="auto"/>
          <w:sz w:val="24"/>
          <w:highlight w:val="none"/>
        </w:rPr>
        <w:t>登录淄博市公共资源交易平台系统</w:t>
      </w:r>
      <w:r>
        <w:rPr>
          <w:rFonts w:hint="eastAsia" w:asciiTheme="majorEastAsia" w:hAnsiTheme="majorEastAsia" w:eastAsiaTheme="majorEastAsia" w:cstheme="majorEastAsia"/>
          <w:color w:val="auto"/>
          <w:sz w:val="24"/>
          <w:highlight w:val="none"/>
        </w:rPr>
        <w:t>获取采购文件，并于</w:t>
      </w:r>
      <w:r>
        <w:rPr>
          <w:rFonts w:hint="eastAsia" w:asciiTheme="majorEastAsia" w:hAnsiTheme="majorEastAsia" w:eastAsiaTheme="majorEastAsia" w:cstheme="majorEastAsia"/>
          <w:color w:val="auto"/>
          <w:sz w:val="24"/>
          <w:highlight w:val="none"/>
          <w:u w:val="single"/>
          <w:lang w:val="en-US" w:eastAsia="zh-CN"/>
        </w:rPr>
        <w:t>2022</w:t>
      </w:r>
      <w:r>
        <w:rPr>
          <w:rFonts w:hint="eastAsia" w:asciiTheme="majorEastAsia" w:hAnsiTheme="majorEastAsia" w:eastAsiaTheme="majorEastAsia" w:cstheme="majorEastAsia"/>
          <w:bCs/>
          <w:color w:val="auto"/>
          <w:sz w:val="24"/>
          <w:highlight w:val="none"/>
          <w:u w:val="single"/>
        </w:rPr>
        <w:t>年</w:t>
      </w:r>
      <w:r>
        <w:rPr>
          <w:rFonts w:hint="eastAsia" w:asciiTheme="majorEastAsia" w:hAnsiTheme="majorEastAsia" w:eastAsiaTheme="majorEastAsia" w:cstheme="majorEastAsia"/>
          <w:bCs/>
          <w:color w:val="auto"/>
          <w:sz w:val="24"/>
          <w:highlight w:val="none"/>
          <w:u w:val="single"/>
          <w:lang w:val="en-US" w:eastAsia="zh-CN"/>
        </w:rPr>
        <w:t>8</w:t>
      </w:r>
      <w:r>
        <w:rPr>
          <w:rFonts w:hint="eastAsia" w:asciiTheme="majorEastAsia" w:hAnsiTheme="majorEastAsia" w:eastAsiaTheme="majorEastAsia" w:cstheme="majorEastAsia"/>
          <w:bCs/>
          <w:color w:val="auto"/>
          <w:sz w:val="24"/>
          <w:highlight w:val="none"/>
          <w:u w:val="single"/>
        </w:rPr>
        <w:t>月</w:t>
      </w:r>
      <w:r>
        <w:rPr>
          <w:rFonts w:hint="eastAsia" w:asciiTheme="majorEastAsia" w:hAnsiTheme="majorEastAsia" w:eastAsiaTheme="majorEastAsia" w:cstheme="majorEastAsia"/>
          <w:bCs/>
          <w:color w:val="auto"/>
          <w:sz w:val="24"/>
          <w:highlight w:val="none"/>
          <w:u w:val="single"/>
          <w:lang w:val="en-US" w:eastAsia="zh-CN"/>
        </w:rPr>
        <w:t>11</w:t>
      </w:r>
      <w:r>
        <w:rPr>
          <w:rFonts w:hint="eastAsia" w:asciiTheme="majorEastAsia" w:hAnsiTheme="majorEastAsia" w:eastAsiaTheme="majorEastAsia" w:cstheme="majorEastAsia"/>
          <w:bCs/>
          <w:color w:val="auto"/>
          <w:sz w:val="24"/>
          <w:highlight w:val="none"/>
          <w:u w:val="single"/>
        </w:rPr>
        <w:t>日</w:t>
      </w:r>
      <w:r>
        <w:rPr>
          <w:rFonts w:hint="eastAsia" w:asciiTheme="majorEastAsia" w:hAnsiTheme="majorEastAsia" w:eastAsiaTheme="majorEastAsia" w:cstheme="majorEastAsia"/>
          <w:bCs/>
          <w:color w:val="auto"/>
          <w:sz w:val="24"/>
          <w:highlight w:val="none"/>
          <w:u w:val="single"/>
          <w:lang w:val="en-US" w:eastAsia="zh-CN"/>
        </w:rPr>
        <w:t>09</w:t>
      </w:r>
      <w:r>
        <w:rPr>
          <w:rFonts w:hint="eastAsia" w:asciiTheme="majorEastAsia" w:hAnsiTheme="majorEastAsia" w:eastAsiaTheme="majorEastAsia" w:cstheme="majorEastAsia"/>
          <w:bCs/>
          <w:color w:val="auto"/>
          <w:sz w:val="24"/>
          <w:highlight w:val="none"/>
          <w:u w:val="single"/>
        </w:rPr>
        <w:t>点</w:t>
      </w:r>
      <w:r>
        <w:rPr>
          <w:rFonts w:hint="eastAsia" w:asciiTheme="majorEastAsia" w:hAnsiTheme="majorEastAsia" w:eastAsiaTheme="majorEastAsia" w:cstheme="majorEastAsia"/>
          <w:bCs/>
          <w:color w:val="auto"/>
          <w:sz w:val="24"/>
          <w:highlight w:val="none"/>
          <w:u w:val="single"/>
          <w:lang w:val="en-US" w:eastAsia="zh-CN"/>
        </w:rPr>
        <w:t>00</w:t>
      </w:r>
      <w:r>
        <w:rPr>
          <w:rFonts w:hint="eastAsia" w:asciiTheme="majorEastAsia" w:hAnsiTheme="majorEastAsia" w:eastAsiaTheme="majorEastAsia" w:cstheme="majorEastAsia"/>
          <w:bCs/>
          <w:color w:val="auto"/>
          <w:sz w:val="24"/>
          <w:highlight w:val="none"/>
          <w:u w:val="single"/>
        </w:rPr>
        <w:t>分（</w:t>
      </w:r>
      <w:r>
        <w:rPr>
          <w:rFonts w:hint="eastAsia" w:asciiTheme="majorEastAsia" w:hAnsiTheme="majorEastAsia" w:eastAsiaTheme="majorEastAsia" w:cstheme="majorEastAsia"/>
          <w:bCs/>
          <w:color w:val="auto"/>
          <w:sz w:val="24"/>
          <w:highlight w:val="none"/>
        </w:rPr>
        <w:t>北京时间）前提交响应文件</w:t>
      </w:r>
      <w:r>
        <w:rPr>
          <w:rFonts w:hint="eastAsia" w:asciiTheme="majorEastAsia" w:hAnsiTheme="majorEastAsia" w:eastAsiaTheme="majorEastAsia" w:cstheme="majorEastAsia"/>
          <w:color w:val="auto"/>
          <w:sz w:val="24"/>
          <w:highlight w:val="none"/>
        </w:rPr>
        <w:t>。</w:t>
      </w:r>
    </w:p>
    <w:p>
      <w:pPr>
        <w:keepNext/>
        <w:keepLines/>
        <w:pageBreakBefore w:val="0"/>
        <w:widowControl w:val="0"/>
        <w:kinsoku/>
        <w:wordWrap/>
        <w:overflowPunct/>
        <w:topLinePunct w:val="0"/>
        <w:autoSpaceDE/>
        <w:autoSpaceDN/>
        <w:bidi w:val="0"/>
        <w:adjustRightInd/>
        <w:snapToGrid/>
        <w:spacing w:line="480" w:lineRule="exact"/>
        <w:ind w:left="0" w:leftChars="0" w:firstLine="482" w:firstLineChars="200"/>
        <w:textAlignment w:val="auto"/>
        <w:outlineLvl w:val="1"/>
        <w:rPr>
          <w:rFonts w:hint="eastAsia" w:ascii="宋体" w:hAnsi="宋体" w:eastAsia="宋体" w:cs="宋体"/>
          <w:b/>
          <w:color w:val="auto"/>
          <w:sz w:val="24"/>
          <w:szCs w:val="24"/>
          <w:highlight w:val="none"/>
        </w:rPr>
      </w:pPr>
      <w:bookmarkStart w:id="10" w:name="_Toc13789"/>
      <w:r>
        <w:rPr>
          <w:rFonts w:hint="eastAsia" w:ascii="宋体" w:hAnsi="宋体" w:eastAsia="宋体" w:cs="宋体"/>
          <w:b/>
          <w:color w:val="auto"/>
          <w:sz w:val="24"/>
          <w:szCs w:val="24"/>
          <w:highlight w:val="none"/>
        </w:rPr>
        <w:t>一、项目基本情况</w:t>
      </w:r>
      <w:bookmarkEnd w:id="10"/>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rPr>
        <w:t>SDGP370300000202202000480</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jc w:val="left"/>
        <w:textAlignment w:val="auto"/>
        <w:outlineLvl w:val="9"/>
        <w:rPr>
          <w:rFonts w:hint="eastAsia" w:ascii="宋体" w:hAnsi="宋体" w:eastAsia="宋体" w:cs="宋体"/>
          <w:color w:val="auto"/>
          <w:sz w:val="24"/>
          <w:szCs w:val="24"/>
          <w:highlight w:val="none"/>
          <w:lang w:eastAsia="zh-CN"/>
        </w:rPr>
      </w:pPr>
      <w:bookmarkStart w:id="11" w:name="_Toc24550"/>
      <w:r>
        <w:rPr>
          <w:rFonts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GB" w:eastAsia="zh-CN"/>
        </w:rPr>
        <w:t>淄博市中医医院东院区、院本部、张店和平路院区、皮防院</w:t>
      </w:r>
      <w:r>
        <w:rPr>
          <w:rFonts w:hint="eastAsia" w:ascii="宋体" w:hAnsi="宋体" w:eastAsia="宋体" w:cs="宋体"/>
          <w:color w:val="auto"/>
          <w:sz w:val="24"/>
          <w:szCs w:val="24"/>
          <w:highlight w:val="none"/>
          <w:lang w:val="en-US" w:eastAsia="zh-CN"/>
        </w:rPr>
        <w:t>四个院区所有基础设施的维修、维护、保养</w:t>
      </w:r>
      <w:r>
        <w:rPr>
          <w:rFonts w:hint="eastAsia" w:ascii="宋体" w:hAnsi="宋体" w:eastAsia="宋体" w:cs="宋体"/>
          <w:color w:val="auto"/>
          <w:sz w:val="24"/>
          <w:szCs w:val="24"/>
          <w:highlight w:val="none"/>
          <w:lang w:eastAsia="zh-CN"/>
        </w:rPr>
        <w:t>服务采购项目</w:t>
      </w:r>
      <w:bookmarkEnd w:id="11"/>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ascii="宋体" w:hAnsi="宋体" w:eastAsia="宋体" w:cs="宋体"/>
          <w:color w:val="auto"/>
          <w:sz w:val="24"/>
          <w:szCs w:val="24"/>
          <w:highlight w:val="none"/>
        </w:rPr>
      </w:pPr>
      <w:r>
        <w:rPr>
          <w:rFonts w:hint="eastAsia" w:ascii="宋体"/>
          <w:color w:val="auto"/>
          <w:sz w:val="24"/>
          <w:szCs w:val="24"/>
          <w:highlight w:val="none"/>
          <w:lang w:val="zh-CN"/>
        </w:rPr>
        <w:t>采购方式：竞争性磋商</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110.00</w:t>
      </w:r>
      <w:r>
        <w:rPr>
          <w:rFonts w:ascii="宋体" w:hAnsi="宋体" w:eastAsia="宋体" w:cs="宋体"/>
          <w:color w:val="auto"/>
          <w:sz w:val="24"/>
          <w:szCs w:val="24"/>
          <w:highlight w:val="none"/>
        </w:rPr>
        <w:t>万</w:t>
      </w:r>
      <w:r>
        <w:rPr>
          <w:rFonts w:hint="eastAsia" w:ascii="宋体" w:hAnsi="宋体" w:eastAsia="宋体" w:cs="宋体"/>
          <w:color w:val="auto"/>
          <w:sz w:val="24"/>
          <w:szCs w:val="24"/>
          <w:highlight w:val="none"/>
        </w:rPr>
        <w:t>元/年</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宋体" w:eastAsiaTheme="minorEastAsia"/>
          <w:color w:val="auto"/>
          <w:sz w:val="24"/>
          <w:szCs w:val="24"/>
          <w:highlight w:val="none"/>
          <w:lang w:val="en-US" w:eastAsia="zh-CN"/>
        </w:rPr>
      </w:pPr>
      <w:r>
        <w:rPr>
          <w:rFonts w:hint="eastAsia" w:ascii="宋体"/>
          <w:color w:val="auto"/>
          <w:sz w:val="24"/>
          <w:szCs w:val="24"/>
          <w:highlight w:val="none"/>
          <w:lang w:val="zh-CN"/>
        </w:rPr>
        <w:t>最高限价：</w:t>
      </w:r>
      <w:r>
        <w:rPr>
          <w:rFonts w:hint="eastAsia" w:ascii="宋体"/>
          <w:color w:val="auto"/>
          <w:sz w:val="24"/>
          <w:szCs w:val="24"/>
          <w:highlight w:val="none"/>
          <w:lang w:val="en-US" w:eastAsia="zh-CN"/>
        </w:rPr>
        <w:t>110.00万元/年</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color w:val="auto"/>
          <w:sz w:val="24"/>
          <w:szCs w:val="24"/>
          <w:highlight w:val="none"/>
          <w:lang w:val="zh-CN"/>
        </w:rPr>
        <w:t>采购需求：</w:t>
      </w:r>
      <w:r>
        <w:rPr>
          <w:rFonts w:hint="eastAsia" w:ascii="宋体" w:hAnsi="宋体" w:eastAsia="宋体" w:cs="宋体"/>
          <w:color w:val="auto"/>
          <w:sz w:val="24"/>
          <w:szCs w:val="24"/>
          <w:highlight w:val="none"/>
          <w:lang w:val="en-GB" w:eastAsia="zh-CN"/>
        </w:rPr>
        <w:t>淄博市中医医院东院区、院本部、张店和平路院区、皮防院</w:t>
      </w:r>
      <w:r>
        <w:rPr>
          <w:rFonts w:hint="eastAsia" w:ascii="宋体" w:hAnsi="宋体" w:eastAsia="宋体" w:cs="宋体"/>
          <w:color w:val="auto"/>
          <w:sz w:val="24"/>
          <w:szCs w:val="24"/>
          <w:highlight w:val="none"/>
          <w:lang w:val="en-US" w:eastAsia="zh-CN"/>
        </w:rPr>
        <w:t>四个院区所有基础设施的维修、维护、保养</w:t>
      </w:r>
      <w:r>
        <w:rPr>
          <w:rFonts w:hint="eastAsia" w:ascii="宋体" w:hAnsi="宋体" w:eastAsia="宋体" w:cs="宋体"/>
          <w:color w:val="auto"/>
          <w:sz w:val="24"/>
          <w:szCs w:val="24"/>
          <w:highlight w:val="none"/>
          <w:lang w:eastAsia="zh-CN"/>
        </w:rPr>
        <w:t>服务采购。</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eastAsiaTheme="minorEastAsia"/>
          <w:color w:val="auto"/>
          <w:sz w:val="24"/>
          <w:szCs w:val="24"/>
          <w:highlight w:val="none"/>
          <w:lang w:val="en-US" w:eastAsia="zh-CN"/>
        </w:rPr>
      </w:pPr>
      <w:r>
        <w:rPr>
          <w:rFonts w:ascii="宋体"/>
          <w:color w:val="auto"/>
          <w:sz w:val="24"/>
          <w:szCs w:val="24"/>
          <w:highlight w:val="none"/>
          <w:lang w:val="zh-CN"/>
        </w:rPr>
        <w:t>合同履行期限：</w:t>
      </w:r>
      <w:r>
        <w:rPr>
          <w:rFonts w:hint="eastAsia" w:ascii="宋体" w:hAnsi="宋体" w:eastAsia="宋体" w:cs="宋体"/>
          <w:color w:val="auto"/>
          <w:sz w:val="24"/>
          <w:szCs w:val="24"/>
          <w:highlight w:val="none"/>
          <w:lang w:val="en-US" w:eastAsia="zh-CN"/>
        </w:rPr>
        <w:t>自合同签订之日起3年。本项目预算金额为1年预算费用，因项目每年期服务内容相对固定，按年度签订合同，即采取 1＋1+1 续签模式。</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ascii="宋体" w:hAnsi="宋体" w:eastAsia="宋体" w:cs="宋体"/>
          <w:color w:val="auto"/>
          <w:sz w:val="24"/>
          <w:szCs w:val="24"/>
          <w:highlight w:val="none"/>
        </w:rPr>
      </w:pPr>
      <w:r>
        <w:rPr>
          <w:rFonts w:hint="eastAsia" w:ascii="宋体"/>
          <w:color w:val="auto"/>
          <w:sz w:val="24"/>
          <w:szCs w:val="24"/>
          <w:highlight w:val="none"/>
          <w:lang w:val="zh-CN"/>
        </w:rPr>
        <w:t>本项目不接受联合体。</w:t>
      </w:r>
    </w:p>
    <w:p>
      <w:pPr>
        <w:keepNext/>
        <w:keepLines/>
        <w:pageBreakBefore w:val="0"/>
        <w:widowControl w:val="0"/>
        <w:kinsoku/>
        <w:wordWrap/>
        <w:overflowPunct/>
        <w:topLinePunct w:val="0"/>
        <w:autoSpaceDE/>
        <w:autoSpaceDN/>
        <w:bidi w:val="0"/>
        <w:adjustRightInd/>
        <w:snapToGrid/>
        <w:spacing w:line="480" w:lineRule="exact"/>
        <w:ind w:left="0" w:leftChars="0" w:firstLine="482" w:firstLineChars="200"/>
        <w:textAlignment w:val="auto"/>
        <w:outlineLvl w:val="1"/>
        <w:rPr>
          <w:rFonts w:hint="eastAsia" w:ascii="宋体" w:hAnsi="宋体" w:eastAsia="宋体" w:cs="宋体"/>
          <w:b/>
          <w:color w:val="auto"/>
          <w:sz w:val="24"/>
          <w:szCs w:val="24"/>
          <w:highlight w:val="none"/>
        </w:rPr>
      </w:pPr>
      <w:bookmarkStart w:id="12" w:name="_Toc26866"/>
      <w:r>
        <w:rPr>
          <w:rFonts w:hint="eastAsia" w:ascii="宋体" w:hAnsi="宋体" w:eastAsia="宋体" w:cs="宋体"/>
          <w:b/>
          <w:color w:val="auto"/>
          <w:sz w:val="24"/>
          <w:szCs w:val="24"/>
          <w:highlight w:val="none"/>
        </w:rPr>
        <w:t>二、申请人的资格要求：</w:t>
      </w:r>
      <w:bookmarkEnd w:id="12"/>
    </w:p>
    <w:p>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ascii="宋体"/>
          <w:color w:val="auto"/>
          <w:sz w:val="24"/>
          <w:szCs w:val="24"/>
          <w:highlight w:val="none"/>
          <w:lang w:val="zh-CN"/>
        </w:rPr>
      </w:pPr>
      <w:r>
        <w:rPr>
          <w:rFonts w:ascii="宋体"/>
          <w:color w:val="auto"/>
          <w:sz w:val="24"/>
          <w:szCs w:val="24"/>
          <w:highlight w:val="none"/>
          <w:lang w:val="zh-CN"/>
        </w:rPr>
        <w:t>1.满足《中华人民共和国政府采购法》第二十二条规定；</w:t>
      </w:r>
    </w:p>
    <w:p>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ascii="仿宋" w:hAnsi="仿宋" w:eastAsia="仿宋" w:cs="Times New Roman"/>
          <w:kern w:val="2"/>
          <w:sz w:val="28"/>
          <w:szCs w:val="28"/>
          <w:highlight w:val="none"/>
        </w:rPr>
      </w:pPr>
      <w:r>
        <w:rPr>
          <w:rFonts w:ascii="宋体"/>
          <w:color w:val="auto"/>
          <w:sz w:val="24"/>
          <w:szCs w:val="24"/>
          <w:highlight w:val="none"/>
          <w:lang w:val="zh-CN"/>
        </w:rPr>
        <w:t>2.</w:t>
      </w:r>
      <w:r>
        <w:rPr>
          <w:rFonts w:hint="eastAsia" w:ascii="宋体"/>
          <w:color w:val="auto"/>
          <w:sz w:val="24"/>
          <w:szCs w:val="24"/>
          <w:highlight w:val="none"/>
          <w:lang w:val="zh-CN"/>
        </w:rPr>
        <w:t>落实政府采购政策需满足的资格要求：落实小微企业、监狱企业、残疾人福利性单位、节能环保产品等相关国家政府采购政策；</w:t>
      </w:r>
    </w:p>
    <w:p>
      <w:pPr>
        <w:keepNext w:val="0"/>
        <w:keepLines w:val="0"/>
        <w:pageBreakBefore w:val="0"/>
        <w:wordWrap/>
        <w:topLinePunct w:val="0"/>
        <w:bidi w:val="0"/>
        <w:spacing w:line="500" w:lineRule="exact"/>
        <w:ind w:firstLine="480" w:firstLineChars="200"/>
        <w:rPr>
          <w:rFonts w:hint="eastAsia" w:ascii="宋体" w:eastAsiaTheme="minorEastAsia"/>
          <w:color w:val="auto"/>
          <w:sz w:val="24"/>
          <w:szCs w:val="24"/>
          <w:highlight w:val="yellow"/>
          <w:lang w:val="zh-CN" w:eastAsia="zh-CN"/>
        </w:rPr>
      </w:pPr>
      <w:r>
        <w:rPr>
          <w:rFonts w:hint="eastAsia" w:ascii="宋体"/>
          <w:color w:val="auto"/>
          <w:sz w:val="24"/>
          <w:szCs w:val="24"/>
          <w:highlight w:val="none"/>
          <w:lang w:val="zh-CN"/>
        </w:rPr>
        <w:t>3.本项目的特定资格要求：（1）具有统一社会信用代码的《营业执照》或其他组织有效证件；（</w:t>
      </w:r>
      <w:r>
        <w:rPr>
          <w:rFonts w:hint="eastAsia" w:ascii="宋体"/>
          <w:color w:val="auto"/>
          <w:sz w:val="24"/>
          <w:szCs w:val="24"/>
          <w:highlight w:val="none"/>
          <w:lang w:val="en-US" w:eastAsia="zh-CN"/>
        </w:rPr>
        <w:t>2</w:t>
      </w:r>
      <w:r>
        <w:rPr>
          <w:rFonts w:hint="eastAsia" w:ascii="宋体"/>
          <w:color w:val="auto"/>
          <w:sz w:val="24"/>
          <w:szCs w:val="24"/>
          <w:highlight w:val="none"/>
          <w:lang w:val="zh-CN"/>
        </w:rPr>
        <w:t>）</w:t>
      </w:r>
      <w:r>
        <w:rPr>
          <w:rFonts w:hint="eastAsia" w:ascii="宋体" w:hAnsi="宋体"/>
          <w:sz w:val="24"/>
          <w:szCs w:val="24"/>
          <w:highlight w:val="none"/>
        </w:rPr>
        <w:t>参加政府采购活动前三年内（企业成立不足三年的提供自成立以来的），在经营活动中无重大违法记录和无行贿犯罪记录</w:t>
      </w:r>
      <w:r>
        <w:rPr>
          <w:rFonts w:hint="eastAsia" w:ascii="宋体" w:hAnsi="宋体"/>
          <w:sz w:val="24"/>
          <w:szCs w:val="24"/>
          <w:highlight w:val="none"/>
          <w:lang w:eastAsia="zh-CN"/>
        </w:rPr>
        <w:t>；</w:t>
      </w:r>
      <w:r>
        <w:rPr>
          <w:rFonts w:hint="eastAsia" w:ascii="宋体" w:hAnsi="宋体" w:eastAsia="宋体" w:cs="宋体"/>
          <w:bCs/>
          <w:kern w:val="2"/>
          <w:sz w:val="24"/>
          <w:szCs w:val="24"/>
          <w:highlight w:val="none"/>
          <w:lang w:val="zh-CN" w:eastAsia="zh-CN" w:bidi="ar-SA"/>
        </w:rPr>
        <w:t>（</w:t>
      </w:r>
      <w:r>
        <w:rPr>
          <w:rFonts w:hint="eastAsia" w:ascii="宋体" w:hAnsi="宋体" w:eastAsia="宋体" w:cs="宋体"/>
          <w:bCs/>
          <w:kern w:val="2"/>
          <w:sz w:val="24"/>
          <w:szCs w:val="24"/>
          <w:highlight w:val="none"/>
          <w:lang w:val="en-US" w:eastAsia="zh-CN" w:bidi="ar-SA"/>
        </w:rPr>
        <w:t>3）</w:t>
      </w:r>
      <w:r>
        <w:rPr>
          <w:rFonts w:hint="eastAsia" w:ascii="宋体" w:hAnsi="宋体" w:eastAsia="宋体" w:cs="宋体"/>
          <w:bCs/>
          <w:kern w:val="2"/>
          <w:sz w:val="24"/>
          <w:szCs w:val="24"/>
          <w:highlight w:val="none"/>
          <w:lang w:val="zh-CN" w:eastAsia="zh-CN" w:bidi="ar-SA"/>
        </w:rPr>
        <w:t>符合法律法规</w:t>
      </w:r>
      <w:r>
        <w:rPr>
          <w:rFonts w:hint="eastAsia" w:ascii="宋体" w:hAnsi="宋体" w:eastAsia="宋体" w:cs="宋体"/>
          <w:bCs/>
          <w:kern w:val="2"/>
          <w:sz w:val="24"/>
          <w:szCs w:val="24"/>
          <w:lang w:val="zh-CN" w:eastAsia="zh-CN" w:bidi="ar-SA"/>
        </w:rPr>
        <w:t>规定且应为未被列入</w:t>
      </w:r>
      <w:r>
        <w:rPr>
          <w:rFonts w:hint="eastAsia" w:ascii="宋体" w:hAnsi="宋体" w:eastAsia="宋体" w:cs="宋体"/>
          <w:bCs/>
          <w:kern w:val="2"/>
          <w:sz w:val="24"/>
          <w:szCs w:val="24"/>
          <w:lang w:val="en-US" w:eastAsia="zh-CN" w:bidi="ar-SA"/>
        </w:rPr>
        <w:t>“</w:t>
      </w:r>
      <w:r>
        <w:rPr>
          <w:rFonts w:hint="eastAsia" w:ascii="宋体" w:hAnsi="宋体" w:eastAsia="宋体" w:cs="宋体"/>
          <w:bCs/>
          <w:kern w:val="2"/>
          <w:sz w:val="24"/>
          <w:szCs w:val="24"/>
          <w:lang w:val="zh-CN" w:eastAsia="zh-CN" w:bidi="ar-SA"/>
        </w:rPr>
        <w:t>信用中国</w:t>
      </w:r>
      <w:r>
        <w:rPr>
          <w:rFonts w:hint="eastAsia" w:ascii="宋体" w:hAnsi="宋体" w:eastAsia="宋体" w:cs="宋体"/>
          <w:bCs/>
          <w:kern w:val="2"/>
          <w:sz w:val="24"/>
          <w:szCs w:val="24"/>
          <w:lang w:val="en-US" w:eastAsia="zh-CN" w:bidi="ar-SA"/>
        </w:rPr>
        <w:t>”</w:t>
      </w:r>
      <w:r>
        <w:rPr>
          <w:rFonts w:hint="eastAsia" w:ascii="宋体" w:hAnsi="宋体" w:eastAsia="宋体" w:cs="宋体"/>
          <w:bCs/>
          <w:kern w:val="2"/>
          <w:sz w:val="24"/>
          <w:szCs w:val="24"/>
          <w:lang w:val="zh-CN" w:eastAsia="zh-CN" w:bidi="ar-SA"/>
        </w:rPr>
        <w:t>网站</w:t>
      </w:r>
      <w:r>
        <w:rPr>
          <w:rFonts w:hint="eastAsia" w:ascii="宋体" w:hAnsi="宋体" w:eastAsia="宋体" w:cs="宋体"/>
          <w:bCs/>
          <w:kern w:val="2"/>
          <w:sz w:val="24"/>
          <w:szCs w:val="24"/>
          <w:lang w:val="en-US" w:eastAsia="zh-CN" w:bidi="ar-SA"/>
        </w:rPr>
        <w:t>（www.creditchina.gov.cn）</w:t>
      </w:r>
      <w:r>
        <w:rPr>
          <w:rFonts w:hint="eastAsia" w:ascii="宋体" w:hAnsi="宋体" w:eastAsia="宋体" w:cs="宋体"/>
          <w:bCs/>
          <w:kern w:val="2"/>
          <w:sz w:val="24"/>
          <w:szCs w:val="24"/>
          <w:lang w:val="zh-CN" w:eastAsia="zh-CN" w:bidi="ar-SA"/>
        </w:rPr>
        <w:t>、中国政府采购网</w:t>
      </w:r>
      <w:r>
        <w:rPr>
          <w:rFonts w:hint="eastAsia" w:ascii="宋体" w:hAnsi="宋体" w:eastAsia="宋体" w:cs="宋体"/>
          <w:bCs/>
          <w:kern w:val="2"/>
          <w:sz w:val="24"/>
          <w:szCs w:val="24"/>
          <w:lang w:val="en-US" w:eastAsia="zh-CN" w:bidi="ar-SA"/>
        </w:rPr>
        <w:t>（www.ccgp.gov.cn）</w:t>
      </w:r>
      <w:r>
        <w:rPr>
          <w:rFonts w:hint="eastAsia" w:ascii="宋体" w:hAnsi="宋体" w:eastAsia="宋体" w:cs="宋体"/>
          <w:bCs/>
          <w:kern w:val="2"/>
          <w:sz w:val="24"/>
          <w:szCs w:val="24"/>
          <w:lang w:val="zh-CN" w:eastAsia="zh-CN" w:bidi="ar-SA"/>
        </w:rPr>
        <w:t>信用记录失信被执行人、重大税收违法案件当事人名单、严重违法失信行为记录名单的供应商；</w:t>
      </w:r>
      <w:r>
        <w:rPr>
          <w:rFonts w:hint="eastAsia" w:ascii="宋体" w:hAnsi="宋体" w:eastAsia="宋体" w:cs="宋体"/>
          <w:bCs/>
          <w:kern w:val="2"/>
          <w:sz w:val="24"/>
          <w:szCs w:val="24"/>
          <w:lang w:val="en-US" w:eastAsia="zh-CN" w:bidi="ar-SA"/>
        </w:rPr>
        <w:t>（4）本项目不接受联合体投标。</w:t>
      </w:r>
    </w:p>
    <w:p>
      <w:pPr>
        <w:keepNext/>
        <w:keepLines/>
        <w:pageBreakBefore w:val="0"/>
        <w:widowControl w:val="0"/>
        <w:kinsoku/>
        <w:wordWrap/>
        <w:overflowPunct/>
        <w:topLinePunct w:val="0"/>
        <w:autoSpaceDE/>
        <w:autoSpaceDN/>
        <w:bidi w:val="0"/>
        <w:adjustRightInd/>
        <w:snapToGrid/>
        <w:spacing w:line="480" w:lineRule="exact"/>
        <w:ind w:left="0" w:leftChars="0" w:firstLine="482" w:firstLineChars="200"/>
        <w:textAlignment w:val="auto"/>
        <w:outlineLvl w:val="1"/>
        <w:rPr>
          <w:rFonts w:hint="eastAsia" w:ascii="Arial" w:hAnsi="Arial" w:eastAsia="宋体" w:cs="Arial"/>
          <w:b/>
          <w:color w:val="auto"/>
          <w:sz w:val="24"/>
          <w:highlight w:val="none"/>
          <w:lang w:eastAsia="zh-CN"/>
        </w:rPr>
      </w:pPr>
      <w:bookmarkStart w:id="13" w:name="_Toc29660"/>
      <w:r>
        <w:rPr>
          <w:rFonts w:ascii="宋体" w:hAnsi="宋体" w:eastAsia="宋体" w:cs="宋体"/>
          <w:b/>
          <w:color w:val="auto"/>
          <w:sz w:val="24"/>
          <w:highlight w:val="none"/>
        </w:rPr>
        <w:t>三、获取</w:t>
      </w:r>
      <w:r>
        <w:rPr>
          <w:rFonts w:hint="eastAsia" w:ascii="宋体" w:hAnsi="宋体" w:eastAsia="宋体" w:cs="宋体"/>
          <w:b/>
          <w:color w:val="auto"/>
          <w:sz w:val="24"/>
          <w:highlight w:val="none"/>
          <w:lang w:eastAsia="zh-CN"/>
        </w:rPr>
        <w:t>采购文件</w:t>
      </w:r>
      <w:bookmarkEnd w:id="13"/>
    </w:p>
    <w:p>
      <w:pPr>
        <w:pageBreakBefore w:val="0"/>
        <w:widowControl w:val="0"/>
        <w:kinsoku/>
        <w:wordWrap/>
        <w:overflowPunct/>
        <w:topLinePunct w:val="0"/>
        <w:autoSpaceDE/>
        <w:autoSpaceDN/>
        <w:bidi w:val="0"/>
        <w:adjustRightInd/>
        <w:snapToGrid/>
        <w:spacing w:line="480" w:lineRule="exact"/>
        <w:ind w:left="0" w:leftChars="0" w:firstLine="480" w:firstLineChars="200"/>
        <w:jc w:val="left"/>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时间：</w:t>
      </w:r>
      <w:r>
        <w:rPr>
          <w:rFonts w:hint="eastAsia" w:ascii="宋体" w:hAnsi="宋体" w:eastAsia="宋体" w:cs="宋体"/>
          <w:b w:val="0"/>
          <w:bCs w:val="0"/>
          <w:color w:val="auto"/>
          <w:sz w:val="24"/>
          <w:highlight w:val="none"/>
        </w:rPr>
        <w:t>截止</w:t>
      </w:r>
      <w:r>
        <w:rPr>
          <w:rFonts w:hint="eastAsia" w:ascii="宋体" w:hAnsi="宋体" w:eastAsia="宋体" w:cs="宋体"/>
          <w:b w:val="0"/>
          <w:bCs w:val="0"/>
          <w:color w:val="auto"/>
          <w:sz w:val="24"/>
          <w:highlight w:val="none"/>
          <w:lang w:eastAsia="zh-CN"/>
        </w:rPr>
        <w:t>到</w:t>
      </w:r>
      <w:r>
        <w:rPr>
          <w:rFonts w:ascii="宋体" w:hAnsi="宋体" w:eastAsia="宋体" w:cs="宋体"/>
          <w:b w:val="0"/>
          <w:bCs w:val="0"/>
          <w:color w:val="auto"/>
          <w:sz w:val="24"/>
          <w:highlight w:val="none"/>
        </w:rPr>
        <w:t>202</w:t>
      </w: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年</w:t>
      </w:r>
      <w:r>
        <w:rPr>
          <w:rFonts w:hint="eastAsia" w:ascii="宋体" w:hAnsi="宋体" w:eastAsia="宋体" w:cs="宋体"/>
          <w:b w:val="0"/>
          <w:bCs w:val="0"/>
          <w:color w:val="auto"/>
          <w:sz w:val="24"/>
          <w:highlight w:val="none"/>
          <w:lang w:val="en-US" w:eastAsia="zh-CN"/>
        </w:rPr>
        <w:t>8</w:t>
      </w:r>
      <w:r>
        <w:rPr>
          <w:rFonts w:hint="eastAsia" w:ascii="宋体" w:hAnsi="宋体" w:eastAsia="宋体" w:cs="宋体"/>
          <w:b w:val="0"/>
          <w:bCs w:val="0"/>
          <w:color w:val="auto"/>
          <w:sz w:val="24"/>
          <w:highlight w:val="none"/>
        </w:rPr>
        <w:t>月</w:t>
      </w:r>
      <w:r>
        <w:rPr>
          <w:rFonts w:hint="eastAsia" w:ascii="宋体" w:hAnsi="宋体" w:eastAsia="宋体" w:cs="宋体"/>
          <w:b w:val="0"/>
          <w:bCs w:val="0"/>
          <w:color w:val="auto"/>
          <w:sz w:val="24"/>
          <w:highlight w:val="none"/>
          <w:lang w:val="en-US" w:eastAsia="zh-CN"/>
        </w:rPr>
        <w:t>10</w:t>
      </w:r>
      <w:r>
        <w:rPr>
          <w:rFonts w:hint="eastAsia" w:ascii="宋体" w:hAnsi="宋体" w:eastAsia="宋体" w:cs="宋体"/>
          <w:b w:val="0"/>
          <w:bCs w:val="0"/>
          <w:color w:val="auto"/>
          <w:sz w:val="24"/>
          <w:highlight w:val="none"/>
        </w:rPr>
        <w:t>日</w:t>
      </w:r>
      <w:r>
        <w:rPr>
          <w:rFonts w:ascii="宋体" w:hAnsi="宋体" w:eastAsia="宋体" w:cs="宋体"/>
          <w:b w:val="0"/>
          <w:bCs w:val="0"/>
          <w:color w:val="auto"/>
          <w:sz w:val="24"/>
          <w:highlight w:val="none"/>
        </w:rPr>
        <w:t>09</w:t>
      </w:r>
      <w:r>
        <w:rPr>
          <w:rFonts w:hint="eastAsia" w:ascii="宋体" w:hAnsi="宋体" w:eastAsia="宋体" w:cs="宋体"/>
          <w:b w:val="0"/>
          <w:bCs w:val="0"/>
          <w:color w:val="auto"/>
          <w:sz w:val="24"/>
          <w:highlight w:val="none"/>
        </w:rPr>
        <w:t>点</w:t>
      </w:r>
      <w:r>
        <w:rPr>
          <w:rFonts w:ascii="宋体" w:hAnsi="宋体" w:eastAsia="宋体" w:cs="宋体"/>
          <w:b w:val="0"/>
          <w:bCs w:val="0"/>
          <w:color w:val="auto"/>
          <w:sz w:val="24"/>
          <w:highlight w:val="none"/>
        </w:rPr>
        <w:t>00</w:t>
      </w:r>
      <w:r>
        <w:rPr>
          <w:rFonts w:hint="eastAsia" w:ascii="宋体" w:hAnsi="宋体" w:eastAsia="宋体" w:cs="宋体"/>
          <w:b w:val="0"/>
          <w:bCs w:val="0"/>
          <w:color w:val="auto"/>
          <w:sz w:val="24"/>
          <w:highlight w:val="none"/>
        </w:rPr>
        <w:t>分（北京时间）</w:t>
      </w:r>
    </w:p>
    <w:p>
      <w:pPr>
        <w:pageBreakBefore w:val="0"/>
        <w:widowControl w:val="0"/>
        <w:kinsoku/>
        <w:wordWrap/>
        <w:overflowPunct/>
        <w:topLinePunct w:val="0"/>
        <w:autoSpaceDE/>
        <w:autoSpaceDN/>
        <w:bidi w:val="0"/>
        <w:adjustRightInd/>
        <w:snapToGrid/>
        <w:spacing w:line="480" w:lineRule="exact"/>
        <w:ind w:left="0" w:leftChars="0" w:firstLine="480" w:firstLineChars="200"/>
        <w:jc w:val="left"/>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地点：淄博市公共资源交易网（http://ggzyjy.zibo.gov.cn/）</w:t>
      </w:r>
    </w:p>
    <w:p>
      <w:pPr>
        <w:pageBreakBefore w:val="0"/>
        <w:widowControl w:val="0"/>
        <w:kinsoku/>
        <w:wordWrap/>
        <w:overflowPunct/>
        <w:topLinePunct w:val="0"/>
        <w:autoSpaceDE/>
        <w:autoSpaceDN/>
        <w:bidi w:val="0"/>
        <w:adjustRightInd/>
        <w:snapToGrid/>
        <w:spacing w:line="480" w:lineRule="exact"/>
        <w:ind w:left="0" w:leftChars="0" w:firstLine="480" w:firstLineChars="200"/>
        <w:jc w:val="left"/>
        <w:textAlignment w:val="auto"/>
        <w:rPr>
          <w:rFonts w:ascii="宋体" w:hAnsi="宋体" w:eastAsia="宋体" w:cs="宋体"/>
          <w:color w:val="auto"/>
          <w:sz w:val="24"/>
          <w:highlight w:val="none"/>
        </w:rPr>
      </w:pPr>
      <w:r>
        <w:rPr>
          <w:rFonts w:ascii="宋体" w:hAnsi="宋体" w:eastAsia="宋体" w:cs="宋体"/>
          <w:b w:val="0"/>
          <w:bCs w:val="0"/>
          <w:color w:val="auto"/>
          <w:sz w:val="24"/>
          <w:highlight w:val="none"/>
        </w:rPr>
        <w:t>方式：①已在淄博市公共资源交易网（http://ggzyjy.zibo.gov.cn/）注册的供应商可直接登录系统免费下载</w:t>
      </w:r>
      <w:r>
        <w:rPr>
          <w:rFonts w:hint="eastAsia" w:ascii="宋体" w:hAnsi="宋体" w:eastAsia="宋体" w:cs="宋体"/>
          <w:b w:val="0"/>
          <w:bCs w:val="0"/>
          <w:color w:val="auto"/>
          <w:sz w:val="24"/>
          <w:highlight w:val="none"/>
          <w:lang w:eastAsia="zh-CN"/>
        </w:rPr>
        <w:t>采购文</w:t>
      </w:r>
      <w:r>
        <w:rPr>
          <w:rFonts w:hint="eastAsia" w:ascii="宋体" w:hAnsi="宋体" w:eastAsia="宋体" w:cs="宋体"/>
          <w:color w:val="auto"/>
          <w:sz w:val="24"/>
          <w:highlight w:val="none"/>
          <w:lang w:eastAsia="zh-CN"/>
        </w:rPr>
        <w:t>件</w:t>
      </w:r>
      <w:r>
        <w:rPr>
          <w:rFonts w:ascii="宋体" w:hAnsi="宋体" w:eastAsia="宋体" w:cs="宋体"/>
          <w:color w:val="auto"/>
          <w:sz w:val="24"/>
          <w:highlight w:val="none"/>
        </w:rPr>
        <w:t>。②未注册的供应商需登录淄博市公共资源交易网点击“企业会员系统”进行注册（注册类型：供应商）。咨询电话：0533-2270020/2270010/2270050，咨询时间：北京时间</w:t>
      </w:r>
      <w:r>
        <w:rPr>
          <w:rFonts w:ascii="宋体" w:hAnsi="宋体" w:eastAsia="宋体" w:cs="宋体"/>
          <w:color w:val="auto"/>
          <w:spacing w:val="-6"/>
          <w:sz w:val="24"/>
          <w:highlight w:val="none"/>
        </w:rPr>
        <w:t>8：30-12：00，13：30-17：00（法定公休日、法定节假日除外）。技术咨询电话：400-998-0000。③为满足信息公开和供应商诚信体系建设需要，供应商还需同时在中国山东政府采购网（http://www.ccgp-shandong.gov.cn/）进行注册。</w:t>
      </w:r>
      <w:r>
        <w:rPr>
          <w:rFonts w:ascii="宋体" w:hAnsi="宋体" w:eastAsia="宋体" w:cs="宋体"/>
          <w:color w:val="auto"/>
          <w:sz w:val="24"/>
          <w:highlight w:val="none"/>
        </w:rPr>
        <w:t>未注册的供应商须登录中国山东政府采购网点击首页右侧“系统入口”模块的“供应商注册”进行注册。</w:t>
      </w:r>
    </w:p>
    <w:p>
      <w:pPr>
        <w:keepNext/>
        <w:keepLines/>
        <w:pageBreakBefore w:val="0"/>
        <w:widowControl w:val="0"/>
        <w:kinsoku/>
        <w:wordWrap/>
        <w:overflowPunct/>
        <w:topLinePunct w:val="0"/>
        <w:autoSpaceDE/>
        <w:autoSpaceDN/>
        <w:bidi w:val="0"/>
        <w:adjustRightInd/>
        <w:snapToGrid/>
        <w:spacing w:line="480" w:lineRule="exact"/>
        <w:ind w:left="0" w:leftChars="0" w:firstLine="482" w:firstLineChars="200"/>
        <w:textAlignment w:val="auto"/>
        <w:outlineLvl w:val="1"/>
        <w:rPr>
          <w:rFonts w:ascii="Arial" w:hAnsi="Arial" w:eastAsia="Arial" w:cs="Arial"/>
          <w:b/>
          <w:bCs/>
          <w:color w:val="auto"/>
          <w:sz w:val="24"/>
          <w:highlight w:val="none"/>
        </w:rPr>
      </w:pPr>
      <w:bookmarkStart w:id="14" w:name="_Toc5072"/>
      <w:r>
        <w:rPr>
          <w:rFonts w:ascii="宋体" w:hAnsi="宋体" w:eastAsia="宋体" w:cs="宋体"/>
          <w:b/>
          <w:bCs/>
          <w:color w:val="auto"/>
          <w:sz w:val="24"/>
          <w:highlight w:val="none"/>
        </w:rPr>
        <w:t>四、响应文件提交</w:t>
      </w:r>
      <w:bookmarkEnd w:id="14"/>
    </w:p>
    <w:p>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ascii="宋体" w:hAnsi="宋体" w:eastAsia="宋体" w:cs="宋体"/>
          <w:b w:val="0"/>
          <w:bCs/>
          <w:color w:val="auto"/>
          <w:sz w:val="24"/>
          <w:highlight w:val="none"/>
        </w:rPr>
      </w:pPr>
      <w:r>
        <w:rPr>
          <w:rFonts w:ascii="宋体" w:hAnsi="宋体" w:eastAsia="宋体" w:cs="宋体"/>
          <w:b w:val="0"/>
          <w:bCs/>
          <w:color w:val="auto"/>
          <w:sz w:val="24"/>
          <w:highlight w:val="none"/>
        </w:rPr>
        <w:t>截止时间：</w:t>
      </w:r>
      <w:r>
        <w:rPr>
          <w:rFonts w:hint="eastAsia" w:ascii="宋体" w:hAnsi="宋体" w:eastAsia="宋体" w:cs="宋体"/>
          <w:b w:val="0"/>
          <w:bCs/>
          <w:color w:val="auto"/>
          <w:sz w:val="24"/>
          <w:highlight w:val="none"/>
          <w:u w:val="none"/>
          <w:lang w:val="en-US" w:eastAsia="zh-CN"/>
        </w:rPr>
        <w:t>2022</w:t>
      </w:r>
      <w:r>
        <w:rPr>
          <w:rFonts w:ascii="宋体" w:hAnsi="宋体" w:eastAsia="宋体" w:cs="宋体"/>
          <w:b w:val="0"/>
          <w:bCs/>
          <w:color w:val="auto"/>
          <w:sz w:val="24"/>
          <w:highlight w:val="none"/>
          <w:u w:val="none"/>
        </w:rPr>
        <w:t>年</w:t>
      </w:r>
      <w:r>
        <w:rPr>
          <w:rFonts w:hint="eastAsia" w:ascii="宋体" w:hAnsi="宋体" w:eastAsia="宋体" w:cs="宋体"/>
          <w:b w:val="0"/>
          <w:bCs/>
          <w:color w:val="auto"/>
          <w:sz w:val="24"/>
          <w:highlight w:val="none"/>
          <w:u w:val="none"/>
          <w:lang w:val="en-US" w:eastAsia="zh-CN"/>
        </w:rPr>
        <w:t>8</w:t>
      </w:r>
      <w:r>
        <w:rPr>
          <w:rFonts w:ascii="宋体" w:hAnsi="宋体" w:eastAsia="宋体" w:cs="宋体"/>
          <w:b w:val="0"/>
          <w:bCs/>
          <w:color w:val="auto"/>
          <w:sz w:val="24"/>
          <w:highlight w:val="none"/>
          <w:u w:val="none"/>
        </w:rPr>
        <w:t>月</w:t>
      </w:r>
      <w:r>
        <w:rPr>
          <w:rFonts w:hint="eastAsia" w:ascii="宋体" w:hAnsi="宋体" w:eastAsia="宋体" w:cs="宋体"/>
          <w:b w:val="0"/>
          <w:bCs/>
          <w:color w:val="auto"/>
          <w:sz w:val="24"/>
          <w:highlight w:val="none"/>
          <w:u w:val="none"/>
          <w:lang w:val="en-US" w:eastAsia="zh-CN"/>
        </w:rPr>
        <w:t>11</w:t>
      </w:r>
      <w:r>
        <w:rPr>
          <w:rFonts w:ascii="宋体" w:hAnsi="宋体" w:eastAsia="宋体" w:cs="宋体"/>
          <w:b w:val="0"/>
          <w:bCs/>
          <w:color w:val="auto"/>
          <w:sz w:val="24"/>
          <w:highlight w:val="none"/>
          <w:u w:val="none"/>
        </w:rPr>
        <w:t>日</w:t>
      </w:r>
      <w:r>
        <w:rPr>
          <w:rFonts w:hint="eastAsia" w:ascii="宋体" w:hAnsi="宋体" w:eastAsia="宋体" w:cs="宋体"/>
          <w:b w:val="0"/>
          <w:bCs/>
          <w:color w:val="auto"/>
          <w:sz w:val="24"/>
          <w:highlight w:val="none"/>
          <w:u w:val="none"/>
          <w:lang w:val="en-US" w:eastAsia="zh-CN"/>
        </w:rPr>
        <w:t xml:space="preserve">09时00分 </w:t>
      </w:r>
      <w:r>
        <w:rPr>
          <w:rFonts w:hint="eastAsia" w:ascii="宋体" w:hAnsi="宋体" w:eastAsia="宋体" w:cs="宋体"/>
          <w:b w:val="0"/>
          <w:bCs/>
          <w:color w:val="auto"/>
          <w:sz w:val="24"/>
          <w:highlight w:val="none"/>
          <w:lang w:val="en-US" w:eastAsia="zh-CN"/>
        </w:rPr>
        <w:t>（</w:t>
      </w:r>
      <w:r>
        <w:rPr>
          <w:rFonts w:ascii="宋体" w:hAnsi="宋体" w:eastAsia="宋体" w:cs="宋体"/>
          <w:b w:val="0"/>
          <w:bCs/>
          <w:color w:val="auto"/>
          <w:sz w:val="24"/>
          <w:highlight w:val="none"/>
        </w:rPr>
        <w:t>北京时间）</w:t>
      </w:r>
    </w:p>
    <w:p>
      <w:pPr>
        <w:pageBreakBefore w:val="0"/>
        <w:widowControl w:val="0"/>
        <w:kinsoku/>
        <w:wordWrap/>
        <w:overflowPunct/>
        <w:topLinePunct w:val="0"/>
        <w:autoSpaceDE/>
        <w:autoSpaceDN/>
        <w:bidi w:val="0"/>
        <w:adjustRightInd/>
        <w:snapToGrid/>
        <w:spacing w:line="480" w:lineRule="exact"/>
        <w:ind w:left="0" w:leftChars="0" w:firstLine="456" w:firstLineChars="200"/>
        <w:jc w:val="left"/>
        <w:textAlignment w:val="auto"/>
        <w:rPr>
          <w:rFonts w:ascii="宋体" w:hAnsi="宋体" w:eastAsia="宋体" w:cs="宋体"/>
          <w:color w:val="auto"/>
          <w:spacing w:val="-6"/>
          <w:sz w:val="24"/>
          <w:highlight w:val="none"/>
        </w:rPr>
      </w:pPr>
      <w:r>
        <w:rPr>
          <w:rFonts w:ascii="宋体" w:hAnsi="宋体" w:eastAsia="宋体" w:cs="宋体"/>
          <w:color w:val="auto"/>
          <w:spacing w:val="-6"/>
          <w:sz w:val="24"/>
          <w:highlight w:val="none"/>
        </w:rPr>
        <w:t>地点：</w:t>
      </w:r>
      <w:r>
        <w:rPr>
          <w:rFonts w:hint="default" w:ascii="宋体" w:hAnsi="宋体" w:eastAsia="宋体" w:cs="宋体"/>
          <w:color w:val="auto"/>
          <w:spacing w:val="-6"/>
          <w:sz w:val="24"/>
          <w:highlight w:val="none"/>
          <w:lang w:val="en-US" w:eastAsia="zh-CN"/>
        </w:rPr>
        <w:t>将加密的电子投标文件在截止时间前通过淄博市公共资源交易网 “上传投标文件”栏目上传完成。①拟参加本项目的供应商须办理并取得数字证书（电子签章）后，方可加密生成及上传电子响应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w:t>
      </w:r>
    </w:p>
    <w:p>
      <w:pPr>
        <w:keepNext/>
        <w:keepLines/>
        <w:pageBreakBefore w:val="0"/>
        <w:widowControl w:val="0"/>
        <w:kinsoku/>
        <w:wordWrap/>
        <w:overflowPunct/>
        <w:topLinePunct w:val="0"/>
        <w:autoSpaceDE/>
        <w:autoSpaceDN/>
        <w:bidi w:val="0"/>
        <w:adjustRightInd/>
        <w:snapToGrid/>
        <w:spacing w:line="480" w:lineRule="exact"/>
        <w:ind w:left="0" w:leftChars="0" w:firstLine="482" w:firstLineChars="200"/>
        <w:textAlignment w:val="auto"/>
        <w:outlineLvl w:val="1"/>
        <w:rPr>
          <w:rFonts w:ascii="Arial" w:hAnsi="Arial" w:eastAsia="Arial" w:cs="Arial"/>
          <w:color w:val="auto"/>
          <w:sz w:val="24"/>
          <w:highlight w:val="none"/>
        </w:rPr>
      </w:pPr>
      <w:bookmarkStart w:id="15" w:name="_Toc10826"/>
      <w:r>
        <w:rPr>
          <w:rFonts w:ascii="宋体" w:hAnsi="宋体" w:eastAsia="宋体" w:cs="宋体"/>
          <w:b/>
          <w:bCs/>
          <w:color w:val="auto"/>
          <w:sz w:val="24"/>
          <w:highlight w:val="none"/>
        </w:rPr>
        <w:t>五、开启</w:t>
      </w:r>
      <w:bookmarkEnd w:id="15"/>
    </w:p>
    <w:p>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ascii="仿宋" w:hAnsi="仿宋" w:eastAsia="仿宋" w:cs="仿宋"/>
          <w:b w:val="0"/>
          <w:bCs/>
          <w:color w:val="auto"/>
          <w:sz w:val="24"/>
          <w:highlight w:val="none"/>
          <w:u w:val="single"/>
        </w:rPr>
      </w:pPr>
      <w:r>
        <w:rPr>
          <w:rFonts w:ascii="宋体" w:hAnsi="宋体" w:eastAsia="宋体" w:cs="宋体"/>
          <w:b w:val="0"/>
          <w:bCs/>
          <w:color w:val="auto"/>
          <w:sz w:val="24"/>
          <w:highlight w:val="none"/>
        </w:rPr>
        <w:t>时间：</w:t>
      </w:r>
      <w:r>
        <w:rPr>
          <w:rFonts w:hint="eastAsia" w:ascii="宋体" w:hAnsi="宋体" w:eastAsia="宋体" w:cs="宋体"/>
          <w:b w:val="0"/>
          <w:bCs/>
          <w:color w:val="auto"/>
          <w:sz w:val="24"/>
          <w:highlight w:val="none"/>
          <w:u w:val="none"/>
          <w:lang w:val="en-US" w:eastAsia="zh-CN"/>
        </w:rPr>
        <w:t>2022</w:t>
      </w:r>
      <w:r>
        <w:rPr>
          <w:rFonts w:ascii="宋体" w:hAnsi="宋体" w:eastAsia="宋体" w:cs="宋体"/>
          <w:b w:val="0"/>
          <w:bCs/>
          <w:color w:val="auto"/>
          <w:sz w:val="24"/>
          <w:highlight w:val="none"/>
          <w:u w:val="none"/>
        </w:rPr>
        <w:t>年</w:t>
      </w:r>
      <w:r>
        <w:rPr>
          <w:rFonts w:hint="eastAsia" w:ascii="宋体" w:hAnsi="宋体" w:eastAsia="宋体" w:cs="宋体"/>
          <w:b w:val="0"/>
          <w:bCs/>
          <w:color w:val="auto"/>
          <w:sz w:val="24"/>
          <w:highlight w:val="none"/>
          <w:u w:val="none"/>
          <w:lang w:val="en-US" w:eastAsia="zh-CN"/>
        </w:rPr>
        <w:t>8</w:t>
      </w:r>
      <w:r>
        <w:rPr>
          <w:rFonts w:ascii="宋体" w:hAnsi="宋体" w:eastAsia="宋体" w:cs="宋体"/>
          <w:b w:val="0"/>
          <w:bCs/>
          <w:color w:val="auto"/>
          <w:sz w:val="24"/>
          <w:highlight w:val="none"/>
          <w:u w:val="none"/>
        </w:rPr>
        <w:t>月</w:t>
      </w:r>
      <w:r>
        <w:rPr>
          <w:rFonts w:hint="eastAsia" w:ascii="宋体" w:hAnsi="宋体" w:eastAsia="宋体" w:cs="宋体"/>
          <w:b w:val="0"/>
          <w:bCs/>
          <w:color w:val="auto"/>
          <w:sz w:val="24"/>
          <w:highlight w:val="none"/>
          <w:u w:val="none"/>
          <w:lang w:val="en-US" w:eastAsia="zh-CN"/>
        </w:rPr>
        <w:t>11</w:t>
      </w:r>
      <w:r>
        <w:rPr>
          <w:rFonts w:ascii="宋体" w:hAnsi="宋体" w:eastAsia="宋体" w:cs="宋体"/>
          <w:b w:val="0"/>
          <w:bCs/>
          <w:color w:val="auto"/>
          <w:sz w:val="24"/>
          <w:highlight w:val="none"/>
          <w:u w:val="none"/>
        </w:rPr>
        <w:t>日</w:t>
      </w:r>
      <w:r>
        <w:rPr>
          <w:rFonts w:hint="eastAsia" w:ascii="宋体" w:hAnsi="宋体" w:eastAsia="宋体" w:cs="宋体"/>
          <w:b w:val="0"/>
          <w:bCs/>
          <w:color w:val="auto"/>
          <w:sz w:val="24"/>
          <w:highlight w:val="none"/>
          <w:u w:val="none"/>
          <w:lang w:val="en-US" w:eastAsia="zh-CN"/>
        </w:rPr>
        <w:t>09时00分</w:t>
      </w:r>
      <w:r>
        <w:rPr>
          <w:rFonts w:ascii="宋体" w:hAnsi="宋体" w:eastAsia="宋体" w:cs="宋体"/>
          <w:b w:val="0"/>
          <w:bCs/>
          <w:color w:val="auto"/>
          <w:sz w:val="24"/>
          <w:highlight w:val="none"/>
        </w:rPr>
        <w:t>（北京时间）</w:t>
      </w:r>
    </w:p>
    <w:p>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ascii="宋体" w:hAnsi="宋体" w:eastAsia="宋体" w:cs="宋体"/>
          <w:color w:val="auto"/>
          <w:sz w:val="24"/>
          <w:highlight w:val="none"/>
        </w:rPr>
      </w:pPr>
      <w:r>
        <w:rPr>
          <w:rFonts w:ascii="宋体" w:hAnsi="宋体" w:eastAsia="宋体" w:cs="宋体"/>
          <w:b w:val="0"/>
          <w:bCs/>
          <w:color w:val="auto"/>
          <w:sz w:val="24"/>
          <w:highlight w:val="none"/>
        </w:rPr>
        <w:t>地点：</w:t>
      </w:r>
      <w:r>
        <w:rPr>
          <w:rFonts w:ascii="宋体" w:hAnsi="宋体" w:eastAsia="宋体" w:cs="宋体"/>
          <w:color w:val="auto"/>
          <w:sz w:val="24"/>
          <w:highlight w:val="none"/>
        </w:rPr>
        <w:t>网上开标大厅。请各供应商在</w:t>
      </w:r>
      <w:r>
        <w:rPr>
          <w:rFonts w:hint="eastAsia" w:ascii="宋体" w:hAnsi="宋体" w:eastAsia="宋体" w:cs="宋体"/>
          <w:color w:val="auto"/>
          <w:sz w:val="24"/>
          <w:highlight w:val="none"/>
          <w:lang w:val="en-US" w:eastAsia="zh-CN"/>
        </w:rPr>
        <w:t>开启</w:t>
      </w:r>
      <w:r>
        <w:rPr>
          <w:rFonts w:ascii="宋体" w:hAnsi="宋体" w:eastAsia="宋体" w:cs="宋体"/>
          <w:color w:val="auto"/>
          <w:sz w:val="24"/>
          <w:highlight w:val="none"/>
        </w:rPr>
        <w:t>前登录网上开标大厅（http://ggzyjy.zibo.gov.cn:8188/BidOpening/bidopeninghallaction/hall/login）,在线准时参加开标活动并进行响应文件解密、答疑、澄清等。</w:t>
      </w:r>
    </w:p>
    <w:p>
      <w:pPr>
        <w:keepNext/>
        <w:keepLines/>
        <w:pageBreakBefore w:val="0"/>
        <w:widowControl w:val="0"/>
        <w:kinsoku/>
        <w:wordWrap/>
        <w:overflowPunct/>
        <w:topLinePunct w:val="0"/>
        <w:autoSpaceDE/>
        <w:autoSpaceDN/>
        <w:bidi w:val="0"/>
        <w:adjustRightInd/>
        <w:snapToGrid/>
        <w:spacing w:line="480" w:lineRule="exact"/>
        <w:ind w:left="0" w:leftChars="0" w:firstLine="482" w:firstLineChars="200"/>
        <w:textAlignment w:val="auto"/>
        <w:outlineLvl w:val="1"/>
        <w:rPr>
          <w:rFonts w:ascii="Arial" w:hAnsi="Arial" w:eastAsia="Arial" w:cs="Arial"/>
          <w:b/>
          <w:bCs/>
          <w:color w:val="auto"/>
          <w:sz w:val="24"/>
          <w:highlight w:val="none"/>
        </w:rPr>
      </w:pPr>
      <w:bookmarkStart w:id="16" w:name="_Toc6794"/>
      <w:r>
        <w:rPr>
          <w:rFonts w:ascii="宋体" w:hAnsi="宋体" w:eastAsia="宋体" w:cs="宋体"/>
          <w:b/>
          <w:bCs/>
          <w:color w:val="auto"/>
          <w:sz w:val="24"/>
          <w:highlight w:val="none"/>
        </w:rPr>
        <w:t>六、公告期限</w:t>
      </w:r>
      <w:bookmarkEnd w:id="16"/>
    </w:p>
    <w:p>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自本公告发布之日起3个工作日。</w:t>
      </w:r>
    </w:p>
    <w:p>
      <w:pPr>
        <w:keepNext/>
        <w:keepLines/>
        <w:pageBreakBefore w:val="0"/>
        <w:widowControl w:val="0"/>
        <w:numPr>
          <w:ilvl w:val="0"/>
          <w:numId w:val="1"/>
        </w:numPr>
        <w:kinsoku/>
        <w:wordWrap/>
        <w:overflowPunct/>
        <w:topLinePunct w:val="0"/>
        <w:autoSpaceDE/>
        <w:autoSpaceDN/>
        <w:bidi w:val="0"/>
        <w:adjustRightInd/>
        <w:snapToGrid/>
        <w:spacing w:line="480" w:lineRule="exact"/>
        <w:ind w:left="0" w:leftChars="0" w:firstLine="482" w:firstLineChars="200"/>
        <w:textAlignment w:val="auto"/>
        <w:outlineLvl w:val="1"/>
        <w:rPr>
          <w:rFonts w:ascii="宋体" w:hAnsi="宋体" w:eastAsia="宋体" w:cs="宋体"/>
          <w:b/>
          <w:bCs/>
          <w:color w:val="auto"/>
          <w:sz w:val="24"/>
          <w:highlight w:val="none"/>
        </w:rPr>
      </w:pPr>
      <w:bookmarkStart w:id="17" w:name="_Toc10929"/>
      <w:r>
        <w:rPr>
          <w:rFonts w:ascii="宋体" w:hAnsi="宋体" w:eastAsia="宋体" w:cs="宋体"/>
          <w:b/>
          <w:bCs/>
          <w:color w:val="auto"/>
          <w:sz w:val="24"/>
          <w:highlight w:val="none"/>
        </w:rPr>
        <w:t>其他补充事宜</w:t>
      </w:r>
      <w:bookmarkEnd w:id="17"/>
    </w:p>
    <w:p>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b w:val="0"/>
          <w:bCs/>
          <w:color w:val="auto"/>
          <w:sz w:val="24"/>
          <w:highlight w:val="none"/>
          <w:u w:val="none"/>
        </w:rPr>
      </w:pPr>
      <w:r>
        <w:rPr>
          <w:rFonts w:hint="eastAsia" w:ascii="宋体" w:hAnsi="宋体" w:eastAsia="宋体" w:cs="宋体"/>
          <w:b w:val="0"/>
          <w:bCs/>
          <w:color w:val="auto"/>
          <w:sz w:val="24"/>
          <w:highlight w:val="none"/>
          <w:u w:val="none"/>
        </w:rPr>
        <w:t>1.本项目采用网上开标模式。各供应商无需到达开标现场，请在开标时间截止前登录网上开标大厅，在线准时参加开标活动并进行响应文件解密、答疑、澄清等。</w:t>
      </w:r>
    </w:p>
    <w:p>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b w:val="0"/>
          <w:bCs/>
          <w:color w:val="auto"/>
          <w:sz w:val="24"/>
          <w:highlight w:val="none"/>
          <w:u w:val="none"/>
        </w:rPr>
      </w:pPr>
      <w:r>
        <w:rPr>
          <w:rFonts w:hint="eastAsia" w:ascii="宋体" w:hAnsi="宋体" w:eastAsia="宋体" w:cs="宋体"/>
          <w:b w:val="0"/>
          <w:bCs/>
          <w:color w:val="auto"/>
          <w:sz w:val="24"/>
          <w:highlight w:val="none"/>
          <w:u w:val="none"/>
        </w:rPr>
        <w:t>2.请供应商根据网上开标流程进行操作并对投标文件进行解密</w:t>
      </w:r>
      <w:r>
        <w:rPr>
          <w:rFonts w:hint="eastAsia" w:ascii="宋体" w:hAnsi="宋体" w:eastAsia="宋体" w:cs="宋体"/>
          <w:b w:val="0"/>
          <w:bCs/>
          <w:color w:val="auto"/>
          <w:sz w:val="24"/>
          <w:highlight w:val="none"/>
          <w:u w:val="none"/>
          <w:lang w:eastAsia="zh-CN"/>
        </w:rPr>
        <w:t>，</w:t>
      </w:r>
      <w:r>
        <w:rPr>
          <w:rFonts w:hint="eastAsia" w:ascii="宋体" w:hAnsi="宋体" w:eastAsia="宋体" w:cs="宋体"/>
          <w:b w:val="0"/>
          <w:bCs/>
          <w:color w:val="auto"/>
          <w:sz w:val="24"/>
          <w:highlight w:val="none"/>
          <w:u w:val="none"/>
        </w:rPr>
        <w:t>以及答疑、澄清等。</w:t>
      </w:r>
      <w:r>
        <w:rPr>
          <w:rFonts w:hint="eastAsia" w:ascii="宋体" w:hAnsi="宋体" w:eastAsia="宋体" w:cs="宋体"/>
          <w:b w:val="0"/>
          <w:bCs/>
          <w:color w:val="auto"/>
          <w:sz w:val="24"/>
          <w:highlight w:val="none"/>
          <w:u w:val="none"/>
          <w:lang w:val="zh-CN"/>
        </w:rPr>
        <w:t>开标时，由各</w:t>
      </w:r>
      <w:r>
        <w:rPr>
          <w:rFonts w:hint="eastAsia" w:ascii="宋体" w:hAnsi="宋体" w:eastAsia="宋体" w:cs="宋体"/>
          <w:b w:val="0"/>
          <w:bCs/>
          <w:color w:val="auto"/>
          <w:sz w:val="24"/>
          <w:highlight w:val="none"/>
          <w:u w:val="none"/>
          <w:lang w:eastAsia="zh-CN"/>
        </w:rPr>
        <w:t>供应商</w:t>
      </w:r>
      <w:r>
        <w:rPr>
          <w:rFonts w:hint="eastAsia" w:ascii="宋体" w:hAnsi="宋体" w:eastAsia="宋体" w:cs="宋体"/>
          <w:b w:val="0"/>
          <w:bCs/>
          <w:color w:val="auto"/>
          <w:sz w:val="24"/>
          <w:highlight w:val="none"/>
          <w:u w:val="none"/>
          <w:lang w:val="zh-CN"/>
        </w:rPr>
        <w:t>在</w:t>
      </w:r>
      <w:r>
        <w:rPr>
          <w:rFonts w:hint="eastAsia" w:ascii="宋体" w:hAnsi="宋体" w:eastAsia="宋体" w:cs="宋体"/>
          <w:b w:val="0"/>
          <w:bCs/>
          <w:color w:val="auto"/>
          <w:sz w:val="24"/>
          <w:highlight w:val="none"/>
          <w:u w:val="none"/>
        </w:rPr>
        <w:t>解密开始时间后20分钟内完成解密工作（以网上开标系统解密倒计时为准），</w:t>
      </w:r>
      <w:r>
        <w:rPr>
          <w:rFonts w:hint="eastAsia" w:ascii="宋体" w:hAnsi="宋体" w:eastAsia="宋体" w:cs="宋体"/>
          <w:b w:val="0"/>
          <w:bCs/>
          <w:color w:val="auto"/>
          <w:sz w:val="24"/>
          <w:highlight w:val="none"/>
          <w:u w:val="none"/>
          <w:lang w:val="zh-CN"/>
        </w:rPr>
        <w:t>因</w:t>
      </w:r>
      <w:r>
        <w:rPr>
          <w:rFonts w:hint="eastAsia" w:ascii="宋体" w:hAnsi="宋体" w:eastAsia="宋体" w:cs="宋体"/>
          <w:b w:val="0"/>
          <w:bCs/>
          <w:color w:val="auto"/>
          <w:sz w:val="24"/>
          <w:highlight w:val="none"/>
          <w:u w:val="none"/>
          <w:lang w:eastAsia="zh-CN"/>
        </w:rPr>
        <w:t>投标人</w:t>
      </w:r>
      <w:r>
        <w:rPr>
          <w:rFonts w:hint="eastAsia" w:ascii="宋体" w:hAnsi="宋体" w:eastAsia="宋体" w:cs="宋体"/>
          <w:b w:val="0"/>
          <w:bCs/>
          <w:color w:val="auto"/>
          <w:sz w:val="24"/>
          <w:highlight w:val="none"/>
          <w:u w:val="none"/>
          <w:lang w:val="zh-CN"/>
        </w:rPr>
        <w:t>自身原因导致</w:t>
      </w:r>
      <w:r>
        <w:rPr>
          <w:rFonts w:hint="eastAsia" w:ascii="宋体" w:hAnsi="宋体" w:eastAsia="宋体" w:cs="宋体"/>
          <w:b w:val="0"/>
          <w:bCs/>
          <w:color w:val="auto"/>
          <w:sz w:val="24"/>
          <w:highlight w:val="none"/>
          <w:u w:val="none"/>
        </w:rPr>
        <w:t>未在规定时间内成功解密投标文件的，</w:t>
      </w:r>
      <w:r>
        <w:rPr>
          <w:rFonts w:hint="eastAsia" w:ascii="宋体" w:hAnsi="宋体" w:eastAsia="宋体" w:cs="宋体"/>
          <w:b w:val="0"/>
          <w:bCs/>
          <w:color w:val="auto"/>
          <w:sz w:val="24"/>
          <w:highlight w:val="none"/>
          <w:u w:val="none"/>
          <w:lang w:val="en-US" w:eastAsia="zh-CN"/>
        </w:rPr>
        <w:t>视为撤销其投标文件</w:t>
      </w:r>
      <w:r>
        <w:rPr>
          <w:rFonts w:hint="eastAsia" w:ascii="宋体" w:hAnsi="宋体" w:eastAsia="宋体" w:cs="宋体"/>
          <w:b w:val="0"/>
          <w:bCs/>
          <w:color w:val="auto"/>
          <w:sz w:val="24"/>
          <w:highlight w:val="none"/>
          <w:u w:val="none"/>
        </w:rPr>
        <w:t>。由于</w:t>
      </w:r>
      <w:r>
        <w:rPr>
          <w:rFonts w:hint="eastAsia" w:ascii="宋体" w:hAnsi="宋体" w:eastAsia="宋体" w:cs="宋体"/>
          <w:color w:val="auto"/>
          <w:sz w:val="24"/>
          <w:highlight w:val="none"/>
        </w:rPr>
        <w:t>供应商</w:t>
      </w:r>
      <w:r>
        <w:rPr>
          <w:rFonts w:hint="eastAsia" w:ascii="宋体" w:hAnsi="宋体" w:eastAsia="宋体" w:cs="宋体"/>
          <w:b w:val="0"/>
          <w:bCs/>
          <w:color w:val="auto"/>
          <w:sz w:val="24"/>
          <w:highlight w:val="none"/>
          <w:u w:val="none"/>
        </w:rPr>
        <w:t>的自身原因（包括但不限于以下情况：无 CA 锁相关插件，无网络，忘记 CA 锁密码、CA 锁过期、上传响应文件后更新 CA 锁等），在规定时间内解密不成功的，由此造成的一切后果均由各投标人自行承担。</w:t>
      </w:r>
    </w:p>
    <w:p>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3.网上开标具体操作请参考淄博市公共资源交易网→办事指南一服务指南-+淄博网上开标大厅操作手册(投标人)，技术咨询电话: 4</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val="en-US" w:eastAsia="zh-CN"/>
        </w:rPr>
        <w:t>98</w:t>
      </w:r>
      <w:r>
        <w:rPr>
          <w:rFonts w:hint="eastAsia" w:ascii="宋体" w:hAnsi="宋体" w:eastAsia="宋体" w:cs="宋体"/>
          <w:color w:val="auto"/>
          <w:sz w:val="24"/>
          <w:highlight w:val="none"/>
        </w:rPr>
        <w:t>-0000。</w:t>
      </w:r>
    </w:p>
    <w:p>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开评标全过程中，各供应商必须实时在线，参与远程交互的法人代表或授权委托人应始终为同一个人，中途不得更换，在废标、澄清、提疑、传送文件等特殊情况下需要交互时，供应商一端参与交互的人员将被视为本项目供应商的法人代表或授权委托人。</w:t>
      </w:r>
    </w:p>
    <w:p>
      <w:pPr>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本项目报名、下载、上传、开标均通过互联网操作，请各供应商充分考虑网络拥堵及平台操作所需时间等因素，根据“淄博网上开标大厅操作手册(投标人)”提前调试电脑，提前解决IE版本问题、插件安装问题等，保证在开评标期间电脑、网络、预留电话等能够正常使用。</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pPr>
      <w:r>
        <w:rPr>
          <w:rFonts w:hint="eastAsia" w:ascii="宋体" w:hAnsi="宋体" w:eastAsia="宋体" w:cs="宋体"/>
          <w:color w:val="auto"/>
          <w:sz w:val="24"/>
          <w:highlight w:val="none"/>
        </w:rPr>
        <w:t>6.各供应商在项目开标、评审期间应保持在线状态，代理机构将会随时通过网上开标系统发出询标信息，请各供应商在信息发出后15分钟内通过网上开标系统进行回复，未能按时答复的，评审委员会将视同其放弃澄清、说明、补正、二轮报价等。因上述等原因造成供应商无法按时参加开标活动而带来的所有损失由供应商自行</w:t>
      </w:r>
      <w:r>
        <w:rPr>
          <w:rFonts w:hint="eastAsia" w:ascii="宋体" w:hAnsi="宋体" w:eastAsia="宋体" w:cs="宋体"/>
          <w:color w:val="auto"/>
          <w:sz w:val="24"/>
          <w:highlight w:val="none"/>
          <w:lang w:eastAsia="zh-CN"/>
        </w:rPr>
        <w:t>承担。</w:t>
      </w:r>
    </w:p>
    <w:p>
      <w:pPr>
        <w:pageBreakBefore w:val="0"/>
        <w:widowControl w:val="0"/>
        <w:kinsoku/>
        <w:wordWrap/>
        <w:overflowPunct/>
        <w:topLinePunct w:val="0"/>
        <w:autoSpaceDE/>
        <w:autoSpaceDN/>
        <w:bidi w:val="0"/>
        <w:adjustRightInd/>
        <w:snapToGrid/>
        <w:spacing w:line="480" w:lineRule="exact"/>
        <w:ind w:left="0" w:leftChars="0" w:firstLine="482" w:firstLineChars="200"/>
        <w:textAlignment w:val="auto"/>
        <w:rPr>
          <w:rFonts w:hint="eastAsia" w:ascii="宋体" w:hAnsi="宋体" w:eastAsia="宋体" w:cs="宋体"/>
          <w:b/>
          <w:bCs/>
          <w:sz w:val="24"/>
          <w:szCs w:val="24"/>
        </w:rPr>
      </w:pPr>
      <w:bookmarkStart w:id="18" w:name="_Toc15555_WPSOffice_Level2"/>
      <w:r>
        <w:rPr>
          <w:rFonts w:hint="eastAsia" w:ascii="宋体" w:hAnsi="宋体" w:eastAsia="宋体" w:cs="宋体"/>
          <w:b/>
          <w:bCs/>
          <w:sz w:val="24"/>
          <w:szCs w:val="24"/>
        </w:rPr>
        <w:t>八、凡对本次采购提出询问，请按以下方式联系</w:t>
      </w:r>
      <w:bookmarkEnd w:id="18"/>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bookmarkStart w:id="19" w:name="_Toc30480_WPSOffice_Level3"/>
      <w:r>
        <w:rPr>
          <w:rFonts w:hint="eastAsia" w:ascii="宋体" w:hAnsi="宋体" w:eastAsia="宋体" w:cs="宋体"/>
          <w:sz w:val="24"/>
          <w:szCs w:val="24"/>
        </w:rPr>
        <w:t>1.采购人信息</w:t>
      </w:r>
      <w:bookmarkEnd w:id="19"/>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淄博市中医医院</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地  址：</w:t>
      </w:r>
      <w:r>
        <w:rPr>
          <w:rFonts w:hint="eastAsia" w:ascii="宋体" w:hAnsi="宋体" w:eastAsia="宋体" w:cs="宋体"/>
          <w:sz w:val="24"/>
          <w:szCs w:val="24"/>
          <w:lang w:eastAsia="zh-CN"/>
        </w:rPr>
        <w:t>周村区新建东路</w:t>
      </w:r>
      <w:r>
        <w:rPr>
          <w:rFonts w:hint="eastAsia" w:ascii="宋体" w:hAnsi="宋体" w:eastAsia="宋体" w:cs="宋体"/>
          <w:sz w:val="24"/>
          <w:szCs w:val="24"/>
          <w:lang w:val="en-US" w:eastAsia="zh-CN"/>
        </w:rPr>
        <w:t>1166号</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0533-6699309</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bookmarkStart w:id="20" w:name="_Toc9822_WPSOffice_Level3"/>
      <w:r>
        <w:rPr>
          <w:rFonts w:hint="eastAsia" w:ascii="宋体" w:hAnsi="宋体" w:eastAsia="宋体" w:cs="宋体"/>
          <w:sz w:val="24"/>
          <w:szCs w:val="24"/>
        </w:rPr>
        <w:t>2.采购代理机构信息</w:t>
      </w:r>
      <w:bookmarkEnd w:id="20"/>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  称：</w:t>
      </w:r>
      <w:r>
        <w:rPr>
          <w:rFonts w:hint="eastAsia" w:ascii="宋体" w:hAnsi="宋体" w:cs="宋体"/>
          <w:bCs/>
          <w:sz w:val="24"/>
          <w:szCs w:val="22"/>
          <w:highlight w:val="none"/>
        </w:rPr>
        <w:t>山东东成建设咨询有限公司</w:t>
      </w:r>
      <w:r>
        <w:rPr>
          <w:rFonts w:hint="eastAsia" w:ascii="宋体" w:hAnsi="宋体" w:cs="宋体"/>
          <w:kern w:val="0"/>
          <w:sz w:val="24"/>
          <w:szCs w:val="24"/>
          <w:highlight w:val="none"/>
          <w:lang w:bidi="ar"/>
        </w:rPr>
        <w:t>  </w:t>
      </w:r>
    </w:p>
    <w:p>
      <w:pPr>
        <w:keepNext w:val="0"/>
        <w:keepLines w:val="0"/>
        <w:pageBreakBefore w:val="0"/>
        <w:widowControl/>
        <w:tabs>
          <w:tab w:val="left" w:pos="3479"/>
        </w:tabs>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cs="宋体"/>
          <w:bCs/>
          <w:sz w:val="24"/>
          <w:highlight w:val="none"/>
        </w:rPr>
        <w:t>淄博高新区张桓路77号天行健大厦5楼</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0533-8039552</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bookmarkStart w:id="21" w:name="_Toc22642_WPSOffice_Level3"/>
      <w:r>
        <w:rPr>
          <w:rFonts w:hint="eastAsia" w:ascii="宋体" w:hAnsi="宋体" w:eastAsia="宋体" w:cs="宋体"/>
          <w:sz w:val="24"/>
          <w:szCs w:val="24"/>
        </w:rPr>
        <w:t>3.项目联系方式</w:t>
      </w:r>
      <w:bookmarkEnd w:id="21"/>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翟小丽</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电  话：</w:t>
      </w:r>
      <w:r>
        <w:rPr>
          <w:rFonts w:hint="eastAsia" w:ascii="宋体" w:hAnsi="宋体" w:eastAsia="宋体" w:cs="宋体"/>
          <w:sz w:val="24"/>
          <w:szCs w:val="24"/>
          <w:lang w:val="en-US" w:eastAsia="zh-CN"/>
        </w:rPr>
        <w:t>0533-8039552</w:t>
      </w:r>
    </w:p>
    <w:p>
      <w:pPr>
        <w:pStyle w:val="6"/>
        <w:pageBreakBefore w:val="0"/>
        <w:kinsoku/>
        <w:wordWrap/>
        <w:overflowPunct/>
        <w:topLinePunct w:val="0"/>
        <w:bidi w:val="0"/>
        <w:snapToGrid/>
        <w:spacing w:line="440" w:lineRule="exact"/>
        <w:textAlignment w:val="auto"/>
        <w:outlineLvl w:val="9"/>
        <w:rPr>
          <w:rFonts w:hint="eastAsia" w:ascii="宋体" w:hAnsi="宋体" w:eastAsia="宋体" w:cs="宋体"/>
          <w:sz w:val="24"/>
          <w:szCs w:val="24"/>
        </w:rPr>
      </w:pPr>
    </w:p>
    <w:p>
      <w:pPr>
        <w:rPr>
          <w:rFonts w:hint="eastAsia" w:ascii="宋体" w:hAnsi="宋体" w:eastAsia="宋体" w:cs="宋体"/>
          <w:sz w:val="24"/>
          <w:szCs w:val="24"/>
        </w:rPr>
      </w:pPr>
    </w:p>
    <w:p>
      <w:pPr>
        <w:keepNext/>
        <w:keepLines/>
        <w:pageBreakBefore w:val="0"/>
        <w:tabs>
          <w:tab w:val="left" w:pos="0"/>
        </w:tabs>
        <w:kinsoku/>
        <w:wordWrap/>
        <w:overflowPunct/>
        <w:topLinePunct w:val="0"/>
        <w:bidi w:val="0"/>
        <w:spacing w:line="560" w:lineRule="exact"/>
        <w:jc w:val="both"/>
        <w:textAlignment w:val="auto"/>
        <w:outlineLvl w:val="0"/>
        <w:rPr>
          <w:rFonts w:hint="eastAsia" w:ascii="宋体" w:hAnsi="宋体" w:eastAsia="宋体" w:cs="宋体"/>
          <w:b/>
          <w:color w:val="auto"/>
          <w:sz w:val="32"/>
          <w:highlight w:val="none"/>
        </w:rPr>
      </w:pPr>
    </w:p>
    <w:p>
      <w:pPr>
        <w:pStyle w:val="2"/>
        <w:rPr>
          <w:rFonts w:hint="eastAsia"/>
        </w:rPr>
      </w:pPr>
    </w:p>
    <w:p>
      <w:pPr>
        <w:rPr>
          <w:rFonts w:hint="eastAsia"/>
        </w:rPr>
      </w:pPr>
    </w:p>
    <w:p>
      <w:pPr>
        <w:pStyle w:val="9"/>
        <w:rPr>
          <w:rFonts w:hint="eastAsia"/>
        </w:rPr>
      </w:pPr>
    </w:p>
    <w:p>
      <w:pPr>
        <w:pStyle w:val="9"/>
        <w:rPr>
          <w:rFonts w:hint="eastAsia"/>
        </w:rPr>
      </w:pPr>
    </w:p>
    <w:p>
      <w:pPr>
        <w:keepNext/>
        <w:keepLines/>
        <w:pageBreakBefore w:val="0"/>
        <w:tabs>
          <w:tab w:val="left" w:pos="0"/>
        </w:tabs>
        <w:kinsoku/>
        <w:wordWrap/>
        <w:overflowPunct/>
        <w:topLinePunct w:val="0"/>
        <w:bidi w:val="0"/>
        <w:spacing w:line="560" w:lineRule="exact"/>
        <w:ind w:firstLine="2249" w:firstLineChars="700"/>
        <w:jc w:val="both"/>
        <w:textAlignment w:val="auto"/>
        <w:outlineLvl w:val="0"/>
        <w:rPr>
          <w:rFonts w:hint="eastAsia" w:ascii="宋体" w:hAnsi="宋体" w:eastAsia="宋体" w:cs="宋体"/>
          <w:b/>
          <w:color w:val="auto"/>
          <w:sz w:val="32"/>
          <w:highlight w:val="none"/>
        </w:rPr>
      </w:pPr>
    </w:p>
    <w:p>
      <w:pPr>
        <w:keepNext/>
        <w:keepLines/>
        <w:pageBreakBefore w:val="0"/>
        <w:tabs>
          <w:tab w:val="left" w:pos="0"/>
        </w:tabs>
        <w:kinsoku/>
        <w:wordWrap/>
        <w:overflowPunct/>
        <w:topLinePunct w:val="0"/>
        <w:bidi w:val="0"/>
        <w:spacing w:line="560" w:lineRule="exact"/>
        <w:jc w:val="both"/>
        <w:textAlignment w:val="auto"/>
        <w:outlineLvl w:val="0"/>
        <w:rPr>
          <w:rFonts w:hint="eastAsia" w:ascii="宋体" w:hAnsi="宋体" w:eastAsia="宋体" w:cs="宋体"/>
          <w:b/>
          <w:color w:val="auto"/>
          <w:sz w:val="32"/>
          <w:highlight w:val="none"/>
        </w:rPr>
      </w:pPr>
    </w:p>
    <w:p>
      <w:pPr>
        <w:pStyle w:val="9"/>
        <w:rPr>
          <w:rFonts w:hint="eastAsia"/>
        </w:rPr>
      </w:pPr>
    </w:p>
    <w:p>
      <w:pPr>
        <w:pStyle w:val="9"/>
        <w:rPr>
          <w:rFonts w:hint="eastAsia"/>
        </w:rPr>
      </w:pPr>
    </w:p>
    <w:p>
      <w:pPr>
        <w:rPr>
          <w:rFonts w:hint="eastAsia"/>
        </w:rPr>
      </w:pPr>
      <w:r>
        <w:rPr>
          <w:rFonts w:hint="eastAsia"/>
        </w:rPr>
        <w:br w:type="page"/>
      </w:r>
    </w:p>
    <w:p>
      <w:pPr>
        <w:keepNext/>
        <w:keepLines/>
        <w:pageBreakBefore w:val="0"/>
        <w:widowControl w:val="0"/>
        <w:tabs>
          <w:tab w:val="left" w:pos="0"/>
        </w:tabs>
        <w:kinsoku/>
        <w:wordWrap/>
        <w:overflowPunct/>
        <w:topLinePunct w:val="0"/>
        <w:autoSpaceDE/>
        <w:autoSpaceDN/>
        <w:bidi w:val="0"/>
        <w:adjustRightInd/>
        <w:snapToGrid/>
        <w:spacing w:line="500" w:lineRule="exact"/>
        <w:jc w:val="center"/>
        <w:textAlignment w:val="auto"/>
        <w:outlineLvl w:val="0"/>
        <w:rPr>
          <w:rFonts w:hint="eastAsia" w:ascii="宋体" w:hAnsi="宋体" w:eastAsia="宋体" w:cs="宋体"/>
          <w:b/>
          <w:color w:val="auto"/>
          <w:sz w:val="32"/>
          <w:szCs w:val="32"/>
          <w:highlight w:val="none"/>
        </w:rPr>
      </w:pPr>
      <w:bookmarkStart w:id="22" w:name="_Toc2972"/>
      <w:bookmarkStart w:id="23" w:name="_Toc6025"/>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二</w:t>
      </w:r>
      <w:r>
        <w:rPr>
          <w:rFonts w:hint="eastAsia" w:ascii="宋体" w:hAnsi="宋体" w:eastAsia="宋体" w:cs="宋体"/>
          <w:b/>
          <w:color w:val="auto"/>
          <w:sz w:val="32"/>
          <w:szCs w:val="32"/>
          <w:highlight w:val="none"/>
        </w:rPr>
        <w:t>章  供应商须知</w:t>
      </w:r>
      <w:bookmarkEnd w:id="22"/>
      <w:bookmarkEnd w:id="23"/>
    </w:p>
    <w:tbl>
      <w:tblPr>
        <w:tblStyle w:val="19"/>
        <w:tblW w:w="8744" w:type="dxa"/>
        <w:jc w:val="center"/>
        <w:shd w:val="clear" w:color="auto" w:fill="auto"/>
        <w:tblLayout w:type="fixed"/>
        <w:tblCellMar>
          <w:top w:w="0" w:type="dxa"/>
          <w:left w:w="10" w:type="dxa"/>
          <w:bottom w:w="0" w:type="dxa"/>
          <w:right w:w="10" w:type="dxa"/>
        </w:tblCellMar>
      </w:tblPr>
      <w:tblGrid>
        <w:gridCol w:w="1021"/>
        <w:gridCol w:w="7723"/>
      </w:tblGrid>
      <w:tr>
        <w:tblPrEx>
          <w:shd w:val="clear" w:color="auto" w:fill="auto"/>
          <w:tblCellMar>
            <w:top w:w="0" w:type="dxa"/>
            <w:left w:w="10" w:type="dxa"/>
            <w:bottom w:w="0" w:type="dxa"/>
            <w:right w:w="10" w:type="dxa"/>
          </w:tblCellMar>
        </w:tblPrEx>
        <w:trPr>
          <w:trHeight w:val="525" w:hRule="atLeast"/>
          <w:jc w:val="center"/>
        </w:trPr>
        <w:tc>
          <w:tcPr>
            <w:tcW w:w="8744" w:type="dxa"/>
            <w:gridSpan w:val="2"/>
            <w:tcBorders>
              <w:top w:val="single" w:color="000000" w:sz="12" w:space="0"/>
              <w:left w:val="single" w:color="000000" w:sz="12"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供应商须知资料表</w:t>
            </w:r>
          </w:p>
        </w:tc>
      </w:tr>
      <w:tr>
        <w:tblPrEx>
          <w:shd w:val="clear" w:color="auto" w:fill="auto"/>
          <w:tblCellMar>
            <w:top w:w="0" w:type="dxa"/>
            <w:left w:w="10" w:type="dxa"/>
            <w:bottom w:w="0" w:type="dxa"/>
            <w:right w:w="10" w:type="dxa"/>
          </w:tblCellMar>
        </w:tblPrEx>
        <w:trPr>
          <w:trHeight w:val="90" w:hRule="atLeast"/>
          <w:jc w:val="center"/>
        </w:trPr>
        <w:tc>
          <w:tcPr>
            <w:tcW w:w="1021" w:type="dxa"/>
            <w:tcBorders>
              <w:top w:val="single" w:color="000000" w:sz="12"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条款号</w:t>
            </w:r>
          </w:p>
        </w:tc>
        <w:tc>
          <w:tcPr>
            <w:tcW w:w="7723" w:type="dxa"/>
            <w:tcBorders>
              <w:top w:val="single" w:color="000000" w:sz="12"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b/>
                <w:color w:val="auto"/>
                <w:sz w:val="24"/>
                <w:highlight w:val="none"/>
              </w:rPr>
              <w:t>内      容</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1.1</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lang w:eastAsia="zh-CN"/>
              </w:rPr>
            </w:pPr>
            <w:r>
              <w:rPr>
                <w:rFonts w:hint="eastAsia" w:ascii="宋体" w:hAnsi="宋体"/>
                <w:color w:val="auto"/>
                <w:sz w:val="24"/>
                <w:highlight w:val="none"/>
              </w:rPr>
              <w:t>采购人：</w:t>
            </w:r>
            <w:r>
              <w:rPr>
                <w:rFonts w:hint="eastAsia" w:ascii="宋体" w:hAnsi="宋体"/>
                <w:color w:val="auto"/>
                <w:sz w:val="24"/>
                <w:highlight w:val="none"/>
                <w:lang w:eastAsia="zh-CN"/>
              </w:rPr>
              <w:t>淄博市中医医院</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lang w:val="en-US" w:eastAsia="zh-CN"/>
              </w:rPr>
            </w:pPr>
            <w:r>
              <w:rPr>
                <w:rFonts w:hint="eastAsia" w:ascii="宋体" w:hAnsi="宋体"/>
                <w:color w:val="auto"/>
                <w:sz w:val="24"/>
                <w:highlight w:val="none"/>
              </w:rPr>
              <w:t>地  址：</w:t>
            </w:r>
            <w:r>
              <w:rPr>
                <w:rFonts w:hint="eastAsia" w:ascii="宋体" w:hAnsi="宋体"/>
                <w:color w:val="auto"/>
                <w:sz w:val="24"/>
                <w:highlight w:val="none"/>
                <w:lang w:eastAsia="zh-CN"/>
              </w:rPr>
              <w:t>周村区新建东路</w:t>
            </w:r>
            <w:r>
              <w:rPr>
                <w:rFonts w:hint="eastAsia" w:ascii="宋体" w:hAnsi="宋体"/>
                <w:color w:val="auto"/>
                <w:sz w:val="24"/>
                <w:highlight w:val="none"/>
                <w:lang w:val="en-US" w:eastAsia="zh-CN"/>
              </w:rPr>
              <w:t>1166号</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cs="宋体" w:eastAsiaTheme="minorEastAsia"/>
                <w:b w:val="0"/>
                <w:bCs/>
                <w:color w:val="auto"/>
                <w:highlight w:val="none"/>
                <w:lang w:val="en-US" w:eastAsia="zh-CN"/>
              </w:rPr>
            </w:pPr>
            <w:r>
              <w:rPr>
                <w:rFonts w:hint="eastAsia" w:ascii="宋体" w:hAnsi="宋体"/>
                <w:color w:val="auto"/>
                <w:sz w:val="24"/>
                <w:highlight w:val="none"/>
              </w:rPr>
              <w:t>联系人</w:t>
            </w:r>
            <w:r>
              <w:rPr>
                <w:rFonts w:hint="eastAsia" w:ascii="宋体" w:hAnsi="宋体"/>
                <w:color w:val="auto"/>
                <w:sz w:val="24"/>
                <w:highlight w:val="none"/>
                <w:lang w:eastAsia="zh-CN"/>
              </w:rPr>
              <w:t>：姜先生</w:t>
            </w:r>
            <w:r>
              <w:rPr>
                <w:rFonts w:hint="eastAsia" w:ascii="宋体" w:hAnsi="宋体"/>
                <w:color w:val="auto"/>
                <w:sz w:val="24"/>
                <w:highlight w:val="none"/>
                <w:lang w:val="en-US" w:eastAsia="zh-CN"/>
              </w:rPr>
              <w:t xml:space="preserve">       </w:t>
            </w:r>
            <w:r>
              <w:rPr>
                <w:rFonts w:hint="eastAsia" w:ascii="宋体" w:hAnsi="宋体"/>
                <w:color w:val="auto"/>
                <w:sz w:val="24"/>
                <w:highlight w:val="none"/>
              </w:rPr>
              <w:t>电  话：</w:t>
            </w:r>
            <w:r>
              <w:rPr>
                <w:rFonts w:hint="eastAsia" w:ascii="宋体" w:hAnsi="宋体"/>
                <w:color w:val="auto"/>
                <w:sz w:val="24"/>
                <w:highlight w:val="none"/>
                <w:lang w:val="en-US" w:eastAsia="zh-CN"/>
              </w:rPr>
              <w:t>0533-6699309</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1.2</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u w:val="single"/>
              </w:rPr>
            </w:pPr>
            <w:r>
              <w:rPr>
                <w:rFonts w:hint="eastAsia" w:ascii="宋体" w:hAnsi="宋体"/>
                <w:color w:val="auto"/>
                <w:sz w:val="24"/>
                <w:highlight w:val="none"/>
              </w:rPr>
              <w:t>采购代理机构：</w:t>
            </w:r>
            <w:r>
              <w:rPr>
                <w:rFonts w:hint="eastAsia" w:ascii="宋体" w:hAnsi="宋体" w:cs="宋体"/>
                <w:bCs/>
                <w:sz w:val="24"/>
                <w:szCs w:val="22"/>
                <w:highlight w:val="none"/>
              </w:rPr>
              <w:t>山东东成建设咨询有限公司</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u w:val="single"/>
              </w:rPr>
            </w:pPr>
            <w:r>
              <w:rPr>
                <w:rFonts w:hint="eastAsia" w:ascii="宋体" w:hAnsi="宋体"/>
                <w:color w:val="auto"/>
                <w:sz w:val="24"/>
                <w:highlight w:val="none"/>
              </w:rPr>
              <w:t>地址：</w:t>
            </w:r>
            <w:r>
              <w:rPr>
                <w:rFonts w:hint="eastAsia" w:ascii="宋体" w:hAnsi="宋体" w:cs="宋体"/>
                <w:bCs/>
                <w:sz w:val="24"/>
                <w:highlight w:val="none"/>
              </w:rPr>
              <w:t>淄博高新区张桓路77号天行健大厦5楼</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val="0"/>
                <w:bCs/>
                <w:color w:val="auto"/>
                <w:highlight w:val="none"/>
              </w:rPr>
            </w:pPr>
            <w:r>
              <w:rPr>
                <w:rFonts w:hint="eastAsia" w:ascii="宋体" w:hAnsi="宋体"/>
                <w:color w:val="auto"/>
                <w:sz w:val="24"/>
                <w:highlight w:val="none"/>
              </w:rPr>
              <w:t>业务联系人：</w:t>
            </w:r>
            <w:r>
              <w:rPr>
                <w:rFonts w:hint="eastAsia" w:ascii="宋体" w:hAnsi="宋体"/>
                <w:color w:val="auto"/>
                <w:sz w:val="24"/>
                <w:highlight w:val="none"/>
                <w:lang w:eastAsia="zh-CN"/>
              </w:rPr>
              <w:t>翟小丽</w:t>
            </w:r>
            <w:r>
              <w:rPr>
                <w:rFonts w:hint="eastAsia" w:ascii="宋体" w:hAnsi="宋体"/>
                <w:color w:val="auto"/>
                <w:sz w:val="24"/>
                <w:highlight w:val="none"/>
                <w:lang w:val="en-US" w:eastAsia="zh-CN"/>
              </w:rPr>
              <w:t xml:space="preserve">   </w:t>
            </w:r>
            <w:r>
              <w:rPr>
                <w:rFonts w:hint="eastAsia" w:ascii="宋体" w:hAnsi="宋体"/>
                <w:color w:val="auto"/>
                <w:sz w:val="24"/>
                <w:highlight w:val="none"/>
              </w:rPr>
              <w:t>电话</w:t>
            </w:r>
            <w:r>
              <w:rPr>
                <w:rFonts w:hint="eastAsia" w:ascii="宋体" w:hAnsi="宋体"/>
                <w:color w:val="auto"/>
                <w:sz w:val="24"/>
                <w:highlight w:val="none"/>
                <w:lang w:eastAsia="zh-CN"/>
              </w:rPr>
              <w:t>：</w:t>
            </w:r>
            <w:r>
              <w:rPr>
                <w:rFonts w:hint="eastAsia" w:ascii="宋体" w:hAnsi="宋体" w:eastAsia="宋体" w:cs="宋体"/>
                <w:sz w:val="24"/>
                <w:szCs w:val="24"/>
                <w:lang w:val="en-US" w:eastAsia="zh-CN"/>
              </w:rPr>
              <w:t>0533-8039552</w:t>
            </w:r>
            <w:r>
              <w:rPr>
                <w:rFonts w:hint="eastAsia" w:ascii="宋体" w:hAnsi="宋体"/>
                <w:color w:val="auto"/>
                <w:sz w:val="24"/>
                <w:highlight w:val="none"/>
                <w:lang w:val="en-US" w:eastAsia="zh-CN"/>
              </w:rPr>
              <w:t xml:space="preserve">       </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rPr>
            </w:pPr>
            <w:r>
              <w:rPr>
                <w:rFonts w:hint="eastAsia" w:ascii="宋体" w:hAnsi="宋体"/>
                <w:color w:val="auto"/>
                <w:sz w:val="24"/>
                <w:highlight w:val="none"/>
              </w:rPr>
              <w:t>1.3.4</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rPr>
            </w:pPr>
            <w:r>
              <w:rPr>
                <w:rFonts w:hint="eastAsia" w:ascii="宋体" w:hAnsi="宋体"/>
                <w:color w:val="auto"/>
                <w:sz w:val="24"/>
                <w:highlight w:val="none"/>
              </w:rPr>
              <w:t>合格供应商的特定资格要求：</w:t>
            </w:r>
          </w:p>
          <w:p>
            <w:pPr>
              <w:keepNext w:val="0"/>
              <w:keepLines w:val="0"/>
              <w:pageBreakBefore w:val="0"/>
              <w:widowControl w:val="0"/>
              <w:kinsoku/>
              <w:wordWrap/>
              <w:overflowPunct/>
              <w:topLinePunct w:val="0"/>
              <w:autoSpaceDE/>
              <w:autoSpaceDN/>
              <w:bidi w:val="0"/>
              <w:adjustRightInd/>
              <w:snapToGrid/>
              <w:spacing w:line="420" w:lineRule="exact"/>
              <w:ind w:left="0" w:leftChars="0"/>
              <w:textAlignment w:val="auto"/>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rPr>
              <w:t>具有加载统一社会信用代码的《营业执照》有效证件；</w:t>
            </w:r>
          </w:p>
          <w:p>
            <w:pPr>
              <w:keepNext w:val="0"/>
              <w:keepLines w:val="0"/>
              <w:pageBreakBefore w:val="0"/>
              <w:widowControl w:val="0"/>
              <w:kinsoku/>
              <w:wordWrap/>
              <w:overflowPunct/>
              <w:topLinePunct w:val="0"/>
              <w:autoSpaceDE/>
              <w:autoSpaceDN/>
              <w:bidi w:val="0"/>
              <w:adjustRightInd/>
              <w:snapToGrid/>
              <w:spacing w:line="420" w:lineRule="exact"/>
              <w:ind w:left="0" w:leftChars="0"/>
              <w:textAlignment w:val="auto"/>
              <w:rPr>
                <w:rFonts w:hint="eastAsia" w:ascii="宋体" w:hAnsi="宋体" w:cs="宋体"/>
                <w:sz w:val="24"/>
                <w:szCs w:val="24"/>
                <w:lang w:val="en-US" w:eastAsia="zh-CN"/>
              </w:rPr>
            </w:pPr>
            <w:r>
              <w:rPr>
                <w:rFonts w:hint="eastAsia" w:ascii="宋体" w:hAnsi="宋体" w:cs="宋体"/>
                <w:sz w:val="24"/>
                <w:szCs w:val="24"/>
                <w:lang w:val="en-US" w:eastAsia="zh-CN"/>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p>
          <w:p>
            <w:pPr>
              <w:keepNext w:val="0"/>
              <w:keepLines w:val="0"/>
              <w:pageBreakBefore w:val="0"/>
              <w:widowControl w:val="0"/>
              <w:kinsoku/>
              <w:wordWrap/>
              <w:overflowPunct/>
              <w:topLinePunct w:val="0"/>
              <w:autoSpaceDE/>
              <w:autoSpaceDN/>
              <w:bidi w:val="0"/>
              <w:adjustRightInd/>
              <w:snapToGrid/>
              <w:spacing w:line="420" w:lineRule="exact"/>
              <w:ind w:left="0" w:leftChars="0"/>
              <w:textAlignment w:val="auto"/>
              <w:rPr>
                <w:rFonts w:hint="eastAsia"/>
              </w:rPr>
            </w:pPr>
            <w:r>
              <w:rPr>
                <w:rFonts w:hint="eastAsia" w:ascii="宋体"/>
                <w:color w:val="auto"/>
                <w:sz w:val="24"/>
                <w:szCs w:val="24"/>
                <w:highlight w:val="none"/>
                <w:lang w:val="zh-CN"/>
              </w:rPr>
              <w:t>（</w:t>
            </w:r>
            <w:r>
              <w:rPr>
                <w:rFonts w:hint="eastAsia" w:ascii="宋体"/>
                <w:color w:val="auto"/>
                <w:sz w:val="24"/>
                <w:szCs w:val="24"/>
                <w:highlight w:val="none"/>
                <w:lang w:val="en-US" w:eastAsia="zh-CN"/>
              </w:rPr>
              <w:t>2</w:t>
            </w:r>
            <w:r>
              <w:rPr>
                <w:rFonts w:hint="eastAsia" w:ascii="宋体"/>
                <w:color w:val="auto"/>
                <w:sz w:val="24"/>
                <w:szCs w:val="24"/>
                <w:highlight w:val="none"/>
                <w:lang w:val="zh-CN"/>
              </w:rPr>
              <w:t>）</w:t>
            </w:r>
            <w:r>
              <w:rPr>
                <w:rFonts w:hint="eastAsia" w:ascii="宋体" w:hAnsi="宋体"/>
                <w:sz w:val="24"/>
                <w:szCs w:val="24"/>
              </w:rPr>
              <w:t>参加政府采购活动前三年内（企业成立不足三年的提供自成立以来的），在经营活动中无重大违法记录和无行贿犯罪记录；</w:t>
            </w:r>
          </w:p>
          <w:p>
            <w:pPr>
              <w:keepNext w:val="0"/>
              <w:keepLines w:val="0"/>
              <w:pageBreakBefore w:val="0"/>
              <w:widowControl w:val="0"/>
              <w:kinsoku/>
              <w:wordWrap/>
              <w:overflowPunct/>
              <w:topLinePunct w:val="0"/>
              <w:autoSpaceDE/>
              <w:autoSpaceDN/>
              <w:bidi w:val="0"/>
              <w:adjustRightInd/>
              <w:snapToGrid/>
              <w:spacing w:line="420" w:lineRule="exact"/>
              <w:ind w:left="0" w:leftChars="0"/>
              <w:textAlignment w:val="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3</w:t>
            </w:r>
            <w:r>
              <w:rPr>
                <w:rFonts w:hint="eastAsia" w:ascii="宋体" w:hAnsi="宋体" w:cs="宋体"/>
                <w:sz w:val="24"/>
                <w:szCs w:val="24"/>
              </w:rPr>
              <w:t>）符合法律法规规定且应为未被列入“信用中国”网站（www.creditchina.gov.cn）、中国政府采购网（www.ccgp.gov.cn）信用记录失信被执行人、重大税收违法案件当事人名单、严重违法失信行为记录名单的供应商。</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rPr>
            </w:pPr>
            <w:r>
              <w:rPr>
                <w:rFonts w:hint="eastAsia" w:ascii="宋体" w:hAnsi="宋体" w:cs="宋体"/>
                <w:sz w:val="24"/>
                <w:szCs w:val="24"/>
              </w:rPr>
              <w:t>（</w:t>
            </w:r>
            <w:r>
              <w:rPr>
                <w:rFonts w:hint="eastAsia" w:ascii="宋体" w:hAnsi="宋体" w:cs="宋体"/>
                <w:sz w:val="24"/>
                <w:szCs w:val="24"/>
                <w:lang w:val="en-US" w:eastAsia="zh-CN"/>
              </w:rPr>
              <w:t>4</w:t>
            </w:r>
            <w:r>
              <w:rPr>
                <w:rFonts w:hint="eastAsia" w:ascii="宋体" w:hAnsi="宋体" w:cs="宋体"/>
                <w:sz w:val="24"/>
                <w:szCs w:val="24"/>
              </w:rPr>
              <w:t>）本项目不接受联合体投标。</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1.3.5</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rPr>
              <w:t>是否为专门面向中小企业采购：</w:t>
            </w:r>
            <w:r>
              <w:rPr>
                <w:rFonts w:hint="eastAsia" w:ascii="宋体" w:hAnsi="宋体"/>
                <w:color w:val="auto"/>
                <w:sz w:val="24"/>
                <w:highlight w:val="none"/>
              </w:rPr>
              <w:t>（是</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color w:val="auto"/>
                <w:sz w:val="24"/>
                <w:highlight w:val="none"/>
                <w:lang w:val="en-US" w:eastAsia="zh-CN"/>
              </w:rPr>
              <w:t>1.3.6</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highlight w:val="none"/>
              </w:rPr>
            </w:pPr>
            <w:r>
              <w:rPr>
                <w:rFonts w:hint="eastAsia" w:ascii="宋体" w:hAnsi="宋体" w:eastAsia="宋体" w:cs="Times New Roman"/>
                <w:b w:val="0"/>
                <w:color w:val="auto"/>
                <w:kern w:val="2"/>
                <w:sz w:val="24"/>
                <w:szCs w:val="24"/>
                <w:highlight w:val="none"/>
                <w:lang w:val="en-US" w:eastAsia="zh-CN" w:bidi="ar-SA"/>
              </w:rPr>
              <w:t>采购标的所属行业</w:t>
            </w:r>
            <w:r>
              <w:rPr>
                <w:rFonts w:hint="eastAsia" w:ascii="宋体" w:hAnsi="宋体" w:cs="Times New Roman"/>
                <w:b w:val="0"/>
                <w:color w:val="auto"/>
                <w:kern w:val="2"/>
                <w:sz w:val="24"/>
                <w:szCs w:val="24"/>
                <w:highlight w:val="none"/>
                <w:lang w:val="en-US" w:eastAsia="zh-CN" w:bidi="ar-SA"/>
              </w:rPr>
              <w:t>：服务业</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1.4</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rPr>
              <w:t>是否允许联合体</w:t>
            </w:r>
            <w:r>
              <w:rPr>
                <w:rFonts w:hint="eastAsia" w:ascii="宋体" w:hAnsi="宋体" w:eastAsia="宋体" w:cs="宋体"/>
                <w:b w:val="0"/>
                <w:bCs/>
                <w:color w:val="auto"/>
                <w:sz w:val="24"/>
                <w:highlight w:val="none"/>
                <w:lang w:val="en-US" w:eastAsia="zh-CN"/>
              </w:rPr>
              <w:t>响应</w:t>
            </w:r>
            <w:r>
              <w:rPr>
                <w:rFonts w:hint="eastAsia" w:ascii="宋体" w:hAnsi="宋体" w:eastAsia="宋体" w:cs="宋体"/>
                <w:b w:val="0"/>
                <w:bCs/>
                <w:color w:val="auto"/>
                <w:sz w:val="24"/>
                <w:highlight w:val="none"/>
              </w:rPr>
              <w:t>：</w:t>
            </w:r>
            <w:r>
              <w:rPr>
                <w:rFonts w:hint="eastAsia" w:ascii="宋体" w:hAnsi="宋体"/>
                <w:color w:val="auto"/>
                <w:sz w:val="24"/>
                <w:highlight w:val="none"/>
              </w:rPr>
              <w:t xml:space="preserve">（是 </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w:t>
            </w:r>
          </w:p>
        </w:tc>
      </w:tr>
      <w:tr>
        <w:tblPrEx>
          <w:shd w:val="clear" w:color="auto" w:fill="auto"/>
          <w:tblCellMar>
            <w:top w:w="0" w:type="dxa"/>
            <w:left w:w="10" w:type="dxa"/>
            <w:bottom w:w="0" w:type="dxa"/>
            <w:right w:w="10" w:type="dxa"/>
          </w:tblCellMar>
        </w:tblPrEx>
        <w:trPr>
          <w:trHeight w:val="555"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1.4.7</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4"/>
                <w:highlight w:val="none"/>
              </w:rPr>
              <w:t>联合体的其他资格要求：</w:t>
            </w:r>
            <w:r>
              <w:rPr>
                <w:rFonts w:hint="eastAsia" w:ascii="宋体" w:hAnsi="宋体" w:eastAsia="宋体" w:cs="宋体"/>
                <w:b w:val="0"/>
                <w:bCs/>
                <w:color w:val="auto"/>
                <w:sz w:val="24"/>
                <w:highlight w:val="none"/>
                <w:lang w:val="en-US" w:eastAsia="zh-CN"/>
              </w:rPr>
              <w:t>/</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2.2</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u w:val="single"/>
              </w:rPr>
            </w:pPr>
            <w:r>
              <w:rPr>
                <w:rFonts w:hint="eastAsia" w:ascii="宋体" w:hAnsi="宋体"/>
                <w:color w:val="auto"/>
                <w:sz w:val="24"/>
                <w:highlight w:val="none"/>
              </w:rPr>
              <w:t xml:space="preserve">是否有分包：是 </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color w:val="auto"/>
                <w:sz w:val="24"/>
                <w:highlight w:val="none"/>
              </w:rPr>
            </w:pPr>
            <w:r>
              <w:rPr>
                <w:rFonts w:hint="eastAsia" w:ascii="宋体" w:hAnsi="宋体"/>
                <w:color w:val="auto"/>
                <w:sz w:val="24"/>
                <w:highlight w:val="none"/>
                <w:u w:val="none"/>
                <w:lang w:val="en-US" w:eastAsia="zh-CN"/>
              </w:rPr>
              <w:t xml:space="preserve">本项目（本包）预算额：110.00万元 （一年预算费用）      </w:t>
            </w:r>
            <w:r>
              <w:rPr>
                <w:rFonts w:hint="eastAsia" w:ascii="宋体" w:hAnsi="宋体"/>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color w:val="auto"/>
                <w:sz w:val="24"/>
                <w:highlight w:val="none"/>
              </w:rPr>
            </w:pPr>
            <w:r>
              <w:rPr>
                <w:rFonts w:ascii="宋体" w:hAnsi="宋体"/>
                <w:color w:val="auto"/>
                <w:sz w:val="24"/>
                <w:highlight w:val="none"/>
              </w:rPr>
              <w:t>本项目预算属于以下情形：</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color w:val="auto"/>
                <w:sz w:val="24"/>
                <w:highlight w:val="none"/>
                <w:u w:val="none"/>
              </w:rPr>
            </w:pPr>
            <w:r>
              <w:rPr>
                <w:rFonts w:ascii="宋体" w:hAnsi="宋体"/>
                <w:color w:val="auto"/>
                <w:sz w:val="24"/>
                <w:highlight w:val="none"/>
              </w:rPr>
              <w:t>(</w:t>
            </w:r>
            <w:r>
              <w:rPr>
                <w:rFonts w:ascii="宋体" w:hAnsi="宋体"/>
                <w:color w:val="auto"/>
                <w:sz w:val="24"/>
                <w:highlight w:val="none"/>
                <w:u w:val="none"/>
              </w:rPr>
              <w:t>1)项目为非预采购项目</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u w:val="none"/>
              </w:rPr>
              <w:t xml:space="preserve">  </w:t>
            </w:r>
            <w:r>
              <w:rPr>
                <w:rFonts w:ascii="宋体" w:hAnsi="宋体"/>
                <w:color w:val="auto"/>
                <w:sz w:val="24"/>
                <w:highlight w:val="none"/>
                <w:u w:val="none"/>
              </w:rPr>
              <w:t>预采购项目</w:t>
            </w:r>
            <w:r>
              <w:rPr>
                <w:rFonts w:hint="eastAsia" w:ascii="仿宋_GB2312" w:hAnsi="仿宋_GB2312" w:eastAsia="仿宋_GB2312" w:cs="仿宋_GB2312"/>
                <w:b w:val="0"/>
                <w:bCs/>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Theme="minorEastAsia"/>
                <w:color w:val="auto"/>
                <w:sz w:val="24"/>
                <w:highlight w:val="none"/>
                <w:u w:val="none"/>
                <w:lang w:eastAsia="zh-CN"/>
              </w:rPr>
            </w:pPr>
            <w:r>
              <w:rPr>
                <w:rFonts w:ascii="宋体" w:hAnsi="宋体"/>
                <w:color w:val="auto"/>
                <w:sz w:val="24"/>
                <w:highlight w:val="none"/>
                <w:u w:val="none"/>
              </w:rPr>
              <w:t>(</w:t>
            </w:r>
            <w:r>
              <w:rPr>
                <w:rFonts w:hint="eastAsia" w:ascii="宋体" w:hAnsi="宋体"/>
                <w:color w:val="auto"/>
                <w:sz w:val="24"/>
                <w:highlight w:val="none"/>
                <w:u w:val="none"/>
              </w:rPr>
              <w:t>2</w:t>
            </w:r>
            <w:r>
              <w:rPr>
                <w:rFonts w:ascii="宋体" w:hAnsi="宋体"/>
                <w:color w:val="auto"/>
                <w:sz w:val="24"/>
                <w:highlight w:val="none"/>
                <w:u w:val="none"/>
              </w:rPr>
              <w:t>)项目为跨年度预采购项目，概算总金额</w:t>
            </w:r>
            <w:r>
              <w:rPr>
                <w:rFonts w:hint="eastAsia" w:ascii="宋体" w:hAnsi="宋体"/>
                <w:color w:val="auto"/>
                <w:sz w:val="24"/>
                <w:highlight w:val="none"/>
                <w:u w:val="none"/>
                <w:lang w:val="en-US" w:eastAsia="zh-CN"/>
              </w:rPr>
              <w:t>/万</w:t>
            </w:r>
            <w:r>
              <w:rPr>
                <w:rFonts w:ascii="宋体" w:hAnsi="宋体"/>
                <w:color w:val="auto"/>
                <w:sz w:val="24"/>
                <w:highlight w:val="none"/>
                <w:u w:val="none"/>
              </w:rPr>
              <w:t>元，采购年限为</w:t>
            </w:r>
            <w:r>
              <w:rPr>
                <w:rFonts w:hint="eastAsia" w:ascii="宋体" w:hAnsi="宋体"/>
                <w:color w:val="auto"/>
                <w:sz w:val="24"/>
                <w:highlight w:val="none"/>
                <w:u w:val="none"/>
                <w:lang w:val="en-US" w:eastAsia="zh-CN"/>
              </w:rPr>
              <w:t xml:space="preserve">   </w:t>
            </w:r>
            <w:r>
              <w:rPr>
                <w:rFonts w:ascii="宋体" w:hAnsi="宋体"/>
                <w:color w:val="auto"/>
                <w:sz w:val="24"/>
                <w:highlight w:val="none"/>
                <w:u w:val="none"/>
              </w:rPr>
              <w:t xml:space="preserve">    </w:t>
            </w:r>
            <w:r>
              <w:rPr>
                <w:rFonts w:hint="eastAsia" w:ascii="宋体" w:hAnsi="宋体"/>
                <w:color w:val="auto"/>
                <w:sz w:val="24"/>
                <w:highlight w:val="none"/>
                <w:u w:val="none"/>
                <w:lang w:val="en-US" w:eastAsia="zh-CN"/>
              </w:rPr>
              <w:t>/</w:t>
            </w:r>
            <w:r>
              <w:rPr>
                <w:rFonts w:ascii="宋体" w:hAnsi="宋体"/>
                <w:color w:val="auto"/>
                <w:sz w:val="24"/>
                <w:highlight w:val="none"/>
                <w:u w:val="none"/>
              </w:rPr>
              <w:t>年，当年安排数</w:t>
            </w:r>
            <w:r>
              <w:rPr>
                <w:rFonts w:hint="eastAsia" w:ascii="宋体" w:hAnsi="宋体"/>
                <w:color w:val="auto"/>
                <w:sz w:val="24"/>
                <w:highlight w:val="none"/>
                <w:u w:val="none"/>
                <w:lang w:val="en-US" w:eastAsia="zh-CN"/>
              </w:rPr>
              <w:t>/万</w:t>
            </w:r>
            <w:r>
              <w:rPr>
                <w:rFonts w:ascii="宋体" w:hAnsi="宋体"/>
                <w:color w:val="auto"/>
                <w:sz w:val="24"/>
                <w:highlight w:val="none"/>
                <w:u w:val="none"/>
              </w:rPr>
              <w:t>元</w:t>
            </w:r>
            <w:r>
              <w:rPr>
                <w:rFonts w:hint="eastAsia" w:ascii="宋体" w:hAnsi="宋体"/>
                <w:color w:val="auto"/>
                <w:sz w:val="24"/>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highlight w:val="none"/>
              </w:rPr>
            </w:pPr>
            <w:r>
              <w:rPr>
                <w:rFonts w:hint="eastAsia" w:ascii="宋体" w:hAnsi="宋体"/>
                <w:color w:val="auto"/>
                <w:sz w:val="24"/>
                <w:highlight w:val="none"/>
              </w:rPr>
              <w:t>根据《转发财政部关于做好政府采购信息公开工作的通知》（鲁财采</w:t>
            </w:r>
            <w:r>
              <w:rPr>
                <w:rFonts w:hint="eastAsia" w:ascii="宋体" w:hAnsi="宋体" w:cs="宋体"/>
                <w:bCs/>
                <w:color w:val="auto"/>
                <w:sz w:val="24"/>
                <w:highlight w:val="none"/>
              </w:rPr>
              <w:t>﹝2015﹞</w:t>
            </w:r>
            <w:r>
              <w:rPr>
                <w:rFonts w:ascii="宋体" w:hAnsi="宋体"/>
                <w:color w:val="auto"/>
                <w:sz w:val="24"/>
                <w:highlight w:val="none"/>
              </w:rPr>
              <w:t>33号）文件规定，预采购项目有取消和终止采购的可能。</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5.6</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rPr>
            </w:pPr>
            <w:r>
              <w:rPr>
                <w:rFonts w:hint="eastAsia" w:ascii="宋体" w:hAnsi="宋体"/>
                <w:color w:val="auto"/>
                <w:sz w:val="24"/>
                <w:highlight w:val="none"/>
              </w:rPr>
              <w:t>是否现场踏勘：（是</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u w:val="none"/>
              </w:rPr>
              <w:t xml:space="preserve"> </w:t>
            </w:r>
            <w:r>
              <w:rPr>
                <w:rFonts w:hint="eastAsia" w:ascii="宋体" w:hAnsi="宋体"/>
                <w:color w:val="auto"/>
                <w:sz w:val="24"/>
                <w:highlight w:val="none"/>
              </w:rPr>
              <w:t xml:space="preserve">  否</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u w:val="none"/>
              </w:rPr>
              <w:t xml:space="preserve"> </w:t>
            </w:r>
            <w:r>
              <w:rPr>
                <w:rFonts w:hint="eastAsia" w:ascii="宋体" w:hAnsi="宋体"/>
                <w:color w:val="auto"/>
                <w:sz w:val="24"/>
                <w:highlight w:val="none"/>
              </w:rPr>
              <w:t xml:space="preserve">  ）</w:t>
            </w:r>
          </w:p>
          <w:p>
            <w:pPr>
              <w:keepNext w:val="0"/>
              <w:keepLines w:val="0"/>
              <w:pageBreakBefore w:val="0"/>
              <w:kinsoku/>
              <w:wordWrap/>
              <w:overflowPunct/>
              <w:topLinePunct w:val="0"/>
              <w:autoSpaceDE/>
              <w:autoSpaceDN/>
              <w:bidi w:val="0"/>
              <w:adjustRightInd/>
              <w:snapToGrid/>
              <w:spacing w:line="440" w:lineRule="exact"/>
              <w:textAlignment w:val="auto"/>
              <w:rPr>
                <w:rFonts w:ascii="宋体" w:hAnsi="宋体"/>
                <w:color w:val="auto"/>
                <w:sz w:val="24"/>
                <w:highlight w:val="none"/>
                <w:u w:val="none"/>
              </w:rPr>
            </w:pPr>
            <w:r>
              <w:rPr>
                <w:rFonts w:hint="eastAsia" w:ascii="宋体" w:hAnsi="宋体"/>
                <w:color w:val="auto"/>
                <w:sz w:val="24"/>
                <w:highlight w:val="none"/>
              </w:rPr>
              <w:t>现场踏勘描述：</w:t>
            </w:r>
            <w:r>
              <w:rPr>
                <w:rFonts w:hint="eastAsia" w:ascii="宋体" w:hAnsi="宋体"/>
                <w:color w:val="auto"/>
                <w:sz w:val="24"/>
                <w:highlight w:val="none"/>
                <w:u w:val="none"/>
              </w:rPr>
              <w:t>统一现场考察</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u w:val="none"/>
              </w:rPr>
              <w:t xml:space="preserve">       自行踏勘</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u w:val="none"/>
              </w:rPr>
              <w:t xml:space="preserve"> </w:t>
            </w:r>
          </w:p>
          <w:p>
            <w:pPr>
              <w:pStyle w:val="33"/>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ascii="宋体" w:hAnsi="宋体"/>
                <w:color w:val="auto"/>
                <w:highlight w:val="none"/>
                <w:u w:val="none"/>
              </w:rPr>
            </w:pPr>
            <w:r>
              <w:rPr>
                <w:rFonts w:hint="eastAsia" w:ascii="宋体" w:hAnsi="宋体"/>
                <w:color w:val="auto"/>
                <w:highlight w:val="none"/>
                <w:u w:val="none"/>
              </w:rPr>
              <w:t>现场踏勘时间：</w:t>
            </w:r>
            <w:r>
              <w:rPr>
                <w:rFonts w:hint="eastAsia" w:ascii="宋体" w:hAnsi="宋体"/>
                <w:color w:val="auto"/>
                <w:highlight w:val="none"/>
                <w:u w:val="none"/>
                <w:lang w:val="en-US" w:eastAsia="zh-CN"/>
              </w:rPr>
              <w:t>/</w:t>
            </w:r>
            <w:r>
              <w:rPr>
                <w:rFonts w:hint="eastAsia" w:ascii="宋体" w:hAnsi="宋体"/>
                <w:color w:val="auto"/>
                <w:highlight w:val="none"/>
                <w:u w:val="none"/>
              </w:rPr>
              <w:t>年</w:t>
            </w:r>
            <w:r>
              <w:rPr>
                <w:rFonts w:hint="eastAsia" w:ascii="宋体" w:hAnsi="宋体"/>
                <w:color w:val="auto"/>
                <w:highlight w:val="none"/>
                <w:u w:val="none"/>
                <w:lang w:val="en-US" w:eastAsia="zh-CN"/>
              </w:rPr>
              <w:t>/</w:t>
            </w:r>
            <w:r>
              <w:rPr>
                <w:rFonts w:hint="eastAsia" w:ascii="宋体" w:hAnsi="宋体"/>
                <w:color w:val="auto"/>
                <w:highlight w:val="none"/>
                <w:u w:val="none"/>
              </w:rPr>
              <w:t>月</w:t>
            </w:r>
            <w:r>
              <w:rPr>
                <w:rFonts w:hint="eastAsia" w:ascii="宋体" w:hAnsi="宋体"/>
                <w:color w:val="auto"/>
                <w:highlight w:val="none"/>
                <w:u w:val="none"/>
                <w:lang w:val="en-US" w:eastAsia="zh-CN"/>
              </w:rPr>
              <w:t>/</w:t>
            </w:r>
            <w:r>
              <w:rPr>
                <w:rFonts w:hint="eastAsia" w:ascii="宋体" w:hAnsi="宋体"/>
                <w:color w:val="auto"/>
                <w:highlight w:val="none"/>
                <w:u w:val="none"/>
              </w:rPr>
              <w:t xml:space="preserve">日至 </w:t>
            </w:r>
            <w:r>
              <w:rPr>
                <w:rFonts w:hint="eastAsia" w:ascii="宋体" w:hAnsi="宋体"/>
                <w:color w:val="auto"/>
                <w:highlight w:val="none"/>
                <w:u w:val="none"/>
                <w:lang w:val="en-US" w:eastAsia="zh-CN"/>
              </w:rPr>
              <w:t>/</w:t>
            </w:r>
            <w:r>
              <w:rPr>
                <w:rFonts w:hint="eastAsia" w:ascii="宋体" w:hAnsi="宋体"/>
                <w:color w:val="auto"/>
                <w:highlight w:val="none"/>
                <w:u w:val="none"/>
              </w:rPr>
              <w:t>年</w:t>
            </w:r>
            <w:r>
              <w:rPr>
                <w:rFonts w:hint="eastAsia" w:ascii="宋体" w:hAnsi="宋体"/>
                <w:color w:val="auto"/>
                <w:highlight w:val="none"/>
                <w:u w:val="none"/>
                <w:lang w:val="en-US" w:eastAsia="zh-CN"/>
              </w:rPr>
              <w:t>/</w:t>
            </w:r>
            <w:r>
              <w:rPr>
                <w:rFonts w:hint="eastAsia" w:ascii="宋体" w:hAnsi="宋体"/>
                <w:color w:val="auto"/>
                <w:highlight w:val="none"/>
                <w:u w:val="none"/>
              </w:rPr>
              <w:t>月</w:t>
            </w:r>
            <w:r>
              <w:rPr>
                <w:rFonts w:hint="eastAsia" w:ascii="宋体" w:hAnsi="宋体"/>
                <w:color w:val="auto"/>
                <w:highlight w:val="none"/>
                <w:u w:val="none"/>
                <w:lang w:val="en-US" w:eastAsia="zh-CN"/>
              </w:rPr>
              <w:t>/</w:t>
            </w:r>
            <w:r>
              <w:rPr>
                <w:rFonts w:hint="eastAsia" w:ascii="宋体" w:hAnsi="宋体"/>
                <w:color w:val="auto"/>
                <w:highlight w:val="none"/>
                <w:u w:val="none"/>
              </w:rPr>
              <w:t>日</w:t>
            </w:r>
          </w:p>
          <w:p>
            <w:pPr>
              <w:pStyle w:val="33"/>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ascii="宋体" w:hAnsi="宋体"/>
                <w:color w:val="auto"/>
                <w:highlight w:val="none"/>
                <w:u w:val="single"/>
              </w:rPr>
            </w:pPr>
            <w:r>
              <w:rPr>
                <w:rFonts w:hint="eastAsia" w:ascii="宋体" w:hAnsi="宋体"/>
                <w:color w:val="auto"/>
                <w:highlight w:val="none"/>
                <w:u w:val="none"/>
              </w:rPr>
              <w:t>踏勘地点：</w:t>
            </w:r>
            <w:r>
              <w:rPr>
                <w:rFonts w:hint="eastAsia" w:ascii="宋体" w:hAnsi="宋体" w:eastAsia="宋体" w:cs="宋体"/>
                <w:kern w:val="0"/>
                <w:sz w:val="24"/>
                <w:szCs w:val="24"/>
                <w:highlight w:val="none"/>
                <w:lang w:val="en-GB" w:eastAsia="zh-CN" w:bidi="ar-SA"/>
              </w:rPr>
              <w:t>淄博市中医医院东院区、院本部、张店和平路院区以及皮防院院区</w:t>
            </w:r>
            <w:r>
              <w:rPr>
                <w:rFonts w:hint="eastAsia" w:ascii="宋体" w:hAnsi="宋体"/>
                <w:color w:val="auto"/>
                <w:highlight w:val="none"/>
                <w:u w:val="single"/>
              </w:rPr>
              <w:t xml:space="preserve">                                   </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rPr>
            </w:pPr>
            <w:r>
              <w:rPr>
                <w:rFonts w:hint="eastAsia" w:ascii="宋体" w:hAnsi="宋体"/>
                <w:color w:val="auto"/>
                <w:sz w:val="24"/>
                <w:highlight w:val="none"/>
              </w:rPr>
              <w:t>联系人：</w:t>
            </w:r>
            <w:r>
              <w:rPr>
                <w:rFonts w:hint="eastAsia" w:ascii="宋体" w:hAnsi="宋体"/>
                <w:color w:val="auto"/>
                <w:sz w:val="24"/>
                <w:highlight w:val="none"/>
                <w:lang w:eastAsia="zh-CN"/>
              </w:rPr>
              <w:t>姜主任</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lang w:val="en-US" w:eastAsia="zh-CN"/>
              </w:rPr>
              <w:t>0533-6699309</w:t>
            </w:r>
            <w:r>
              <w:rPr>
                <w:rFonts w:hint="eastAsia" w:ascii="宋体" w:hAnsi="宋体"/>
                <w:color w:val="auto"/>
                <w:sz w:val="24"/>
                <w:highlight w:val="none"/>
              </w:rPr>
              <w:t xml:space="preserve">   </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rPr>
            </w:pPr>
            <w:r>
              <w:rPr>
                <w:rFonts w:hint="eastAsia" w:ascii="宋体" w:hAnsi="宋体"/>
                <w:color w:val="auto"/>
                <w:sz w:val="24"/>
                <w:highlight w:val="none"/>
              </w:rPr>
              <w:t>是否答疑会：（是</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rPr>
              <w:t xml:space="preserve">  否</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eastAsiaTheme="minorEastAsia"/>
                <w:b w:val="0"/>
                <w:bCs/>
                <w:color w:val="auto"/>
                <w:highlight w:val="none"/>
                <w:lang w:val="en-US" w:eastAsia="zh-CN"/>
              </w:rPr>
            </w:pPr>
            <w:r>
              <w:rPr>
                <w:rFonts w:hint="eastAsia" w:ascii="宋体" w:hAnsi="宋体"/>
                <w:color w:val="auto"/>
                <w:sz w:val="24"/>
                <w:highlight w:val="none"/>
              </w:rPr>
              <w:t>答疑会描述：</w:t>
            </w:r>
            <w:r>
              <w:rPr>
                <w:rFonts w:hint="eastAsia" w:ascii="宋体" w:hAnsi="宋体"/>
                <w:color w:val="auto"/>
                <w:sz w:val="24"/>
                <w:highlight w:val="none"/>
                <w:lang w:val="en-US" w:eastAsia="zh-CN"/>
              </w:rPr>
              <w:t>/</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yellow"/>
                <w:lang w:eastAsia="zh-CN"/>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6</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rPr>
            </w:pPr>
            <w:r>
              <w:rPr>
                <w:rFonts w:ascii="宋体" w:hAnsi="宋体" w:cs="宋体"/>
                <w:color w:val="auto"/>
                <w:kern w:val="0"/>
                <w:position w:val="-2"/>
                <w:sz w:val="24"/>
                <w:highlight w:val="none"/>
              </w:rPr>
              <w:t>是否兼投不兼中</w:t>
            </w:r>
            <w:r>
              <w:rPr>
                <w:rFonts w:hint="eastAsia" w:ascii="宋体" w:hAnsi="宋体" w:cs="宋体"/>
                <w:color w:val="auto"/>
                <w:kern w:val="0"/>
                <w:position w:val="-2"/>
                <w:sz w:val="24"/>
                <w:highlight w:val="none"/>
              </w:rPr>
              <w:t>：</w:t>
            </w:r>
            <w:r>
              <w:rPr>
                <w:rFonts w:hint="eastAsia" w:ascii="宋体" w:hAnsi="宋体"/>
                <w:color w:val="auto"/>
                <w:sz w:val="24"/>
                <w:highlight w:val="none"/>
              </w:rPr>
              <w:t>（是</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rPr>
              <w:t xml:space="preserve">  否</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b w:val="0"/>
                <w:bCs/>
                <w:strike/>
                <w:dstrike w:val="0"/>
                <w:color w:val="auto"/>
                <w:sz w:val="24"/>
                <w:highlight w:val="yellow"/>
                <w:lang w:val="en-US" w:eastAsia="zh-CN"/>
              </w:rPr>
            </w:pPr>
            <w:r>
              <w:rPr>
                <w:rFonts w:hint="eastAsia" w:ascii="宋体" w:hAnsi="宋体" w:eastAsia="宋体" w:cs="宋体"/>
                <w:b w:val="0"/>
                <w:bCs/>
                <w:strike w:val="0"/>
                <w:dstrike w:val="0"/>
                <w:color w:val="auto"/>
                <w:sz w:val="24"/>
                <w:highlight w:val="none"/>
                <w:lang w:val="en-US" w:eastAsia="zh-CN"/>
              </w:rPr>
              <w:t>说明与要求：</w:t>
            </w:r>
            <w:r>
              <w:rPr>
                <w:rFonts w:hint="eastAsia" w:ascii="宋体" w:hAnsi="宋体" w:cs="宋体"/>
                <w:kern w:val="0"/>
                <w:position w:val="-2"/>
                <w:sz w:val="24"/>
                <w:szCs w:val="24"/>
              </w:rPr>
              <w:t>本项目共一个包。</w:t>
            </w:r>
          </w:p>
        </w:tc>
      </w:tr>
      <w:tr>
        <w:tblPrEx>
          <w:shd w:val="clear" w:color="auto" w:fill="auto"/>
          <w:tblCellMar>
            <w:top w:w="0" w:type="dxa"/>
            <w:left w:w="10" w:type="dxa"/>
            <w:bottom w:w="0" w:type="dxa"/>
            <w:right w:w="10" w:type="dxa"/>
          </w:tblCellMar>
        </w:tblPrEx>
        <w:trPr>
          <w:trHeight w:val="548"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snapToGrid/>
              <w:spacing w:line="440" w:lineRule="exact"/>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b w:val="0"/>
                <w:bCs w:val="0"/>
                <w:color w:val="auto"/>
                <w:sz w:val="24"/>
                <w:szCs w:val="24"/>
                <w:highlight w:val="none"/>
              </w:rPr>
            </w:pPr>
            <w:r>
              <w:rPr>
                <w:rFonts w:hint="eastAsia" w:ascii="宋体" w:hAnsi="宋体"/>
                <w:color w:val="auto"/>
                <w:sz w:val="24"/>
                <w:highlight w:val="none"/>
                <w:lang w:val="en-US" w:eastAsia="zh-CN"/>
              </w:rPr>
              <w:t>报价说明:</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(1)所有投标均以人民币报价，投标价格</w:t>
            </w:r>
            <w:r>
              <w:rPr>
                <w:rFonts w:hint="eastAsia" w:asciiTheme="minorEastAsia" w:hAnsiTheme="minorEastAsia" w:cstheme="minorEastAsia"/>
                <w:b w:val="0"/>
                <w:bCs w:val="0"/>
                <w:color w:val="auto"/>
                <w:sz w:val="24"/>
                <w:szCs w:val="24"/>
                <w:highlight w:val="none"/>
                <w:lang w:val="en-US" w:eastAsia="zh-CN"/>
              </w:rPr>
              <w:t>一</w:t>
            </w:r>
            <w:r>
              <w:rPr>
                <w:rFonts w:hint="eastAsia" w:asciiTheme="minorEastAsia" w:hAnsiTheme="minorEastAsia" w:eastAsiaTheme="minorEastAsia" w:cstheme="minorEastAsia"/>
                <w:b w:val="0"/>
                <w:bCs w:val="0"/>
                <w:color w:val="auto"/>
                <w:sz w:val="24"/>
                <w:szCs w:val="24"/>
                <w:highlight w:val="none"/>
              </w:rPr>
              <w:t>次性报定。</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(2)供应商要按报价明细表(统一格式)的内容填写并由法定代表人或授权代表签署。</w:t>
            </w:r>
          </w:p>
          <w:p>
            <w:pPr>
              <w:pStyle w:val="17"/>
              <w:keepNext w:val="0"/>
              <w:keepLines w:val="0"/>
              <w:pageBreakBefore w:val="0"/>
              <w:widowControl w:val="0"/>
              <w:kinsoku/>
              <w:wordWrap/>
              <w:overflowPunct/>
              <w:topLinePunct w:val="0"/>
              <w:autoSpaceDE/>
              <w:autoSpaceDN/>
              <w:bidi w:val="0"/>
              <w:snapToGrid/>
              <w:spacing w:line="440" w:lineRule="exact"/>
              <w:textAlignment w:val="auto"/>
              <w:rPr>
                <w:rFonts w:hint="eastAsia" w:cs="宋体"/>
                <w:sz w:val="24"/>
              </w:rPr>
            </w:pPr>
            <w:r>
              <w:rPr>
                <w:rFonts w:hint="eastAsia" w:asciiTheme="minorEastAsia" w:hAnsiTheme="minorEastAsia" w:eastAsiaTheme="minorEastAsia" w:cstheme="minorEastAsia"/>
                <w:b w:val="0"/>
                <w:bCs w:val="0"/>
                <w:color w:val="auto"/>
                <w:sz w:val="24"/>
                <w:szCs w:val="24"/>
                <w:highlight w:val="none"/>
              </w:rPr>
              <w:t>(3)</w:t>
            </w:r>
            <w:r>
              <w:rPr>
                <w:rFonts w:hint="eastAsia" w:asciiTheme="minorEastAsia" w:hAnsiTheme="minorEastAsia" w:eastAsiaTheme="minorEastAsia" w:cstheme="minorEastAsia"/>
                <w:b w:val="0"/>
                <w:bCs w:val="0"/>
                <w:color w:val="auto"/>
                <w:kern w:val="2"/>
                <w:sz w:val="24"/>
                <w:szCs w:val="24"/>
                <w:highlight w:val="none"/>
                <w:lang w:val="en-US" w:eastAsia="zh-CN" w:bidi="ar-SA"/>
              </w:rPr>
              <w:t>本次报价为固定总价报价，为</w:t>
            </w:r>
            <w:r>
              <w:rPr>
                <w:rFonts w:hint="eastAsia" w:cs="宋体"/>
                <w:sz w:val="24"/>
              </w:rPr>
              <w:t>供应商一年的服务费用，应包含完成本项目服务所需的全部含税费用;供应商报价时应按人员岗位报单价和合价，所报价格为</w:t>
            </w:r>
            <w:r>
              <w:rPr>
                <w:rFonts w:hint="eastAsia" w:cs="宋体"/>
                <w:sz w:val="24"/>
                <w:lang w:val="en-US" w:eastAsia="zh-CN"/>
              </w:rPr>
              <w:t>本次</w:t>
            </w:r>
            <w:r>
              <w:rPr>
                <w:rFonts w:hint="eastAsia" w:cs="宋体"/>
                <w:sz w:val="24"/>
              </w:rPr>
              <w:t>服务阶段全过程包含的全部含税费用，包含但不限于人员劳务费、办公费、管理费、培训费、交通费、车辆设备费、工具费、员工工资、工装、设备设施及易耗品等所有装备费用、节假日补助、重大活动误餐费及补助费、各种保险费、所有税费、企业利润、不可预见费等所有费用，不因物价变动而调整。投标报价须充分考虑企业自身实力和承受风险的能力。采购人对此而发生的一切后果不负任何责任。</w:t>
            </w:r>
          </w:p>
          <w:p>
            <w:pPr>
              <w:pStyle w:val="17"/>
              <w:keepNext w:val="0"/>
              <w:keepLines w:val="0"/>
              <w:pageBreakBefore w:val="0"/>
              <w:widowControl w:val="0"/>
              <w:kinsoku/>
              <w:wordWrap/>
              <w:overflowPunct/>
              <w:topLinePunct w:val="0"/>
              <w:autoSpaceDE/>
              <w:autoSpaceDN/>
              <w:bidi w:val="0"/>
              <w:snapToGrid/>
              <w:spacing w:line="440" w:lineRule="exact"/>
              <w:textAlignment w:val="auto"/>
              <w:rPr>
                <w:rFonts w:hint="eastAsia" w:ascii="宋体" w:hAnsi="宋体"/>
                <w:sz w:val="24"/>
              </w:rPr>
            </w:pPr>
            <w:r>
              <w:rPr>
                <w:rFonts w:hint="eastAsia" w:cs="宋体"/>
                <w:sz w:val="24"/>
                <w:lang w:eastAsia="zh-CN"/>
              </w:rPr>
              <w:t>（</w:t>
            </w:r>
            <w:r>
              <w:rPr>
                <w:rFonts w:hint="eastAsia" w:cs="宋体"/>
                <w:sz w:val="24"/>
                <w:lang w:val="en-US" w:eastAsia="zh-CN"/>
              </w:rPr>
              <w:t>4</w:t>
            </w:r>
            <w:r>
              <w:rPr>
                <w:rFonts w:hint="eastAsia" w:cs="宋体"/>
                <w:sz w:val="24"/>
                <w:lang w:eastAsia="zh-CN"/>
              </w:rPr>
              <w:t>）</w:t>
            </w:r>
            <w:r>
              <w:rPr>
                <w:rFonts w:hint="eastAsia" w:cs="宋体"/>
                <w:sz w:val="24"/>
                <w:szCs w:val="24"/>
              </w:rPr>
              <w:t>供应商应根据市场价格、自身技术装备、管理水平及资金条件、预期利润等情况自行报价，由此进行的测算和报价采购人不承担任何责任。报价时应充分考虑所有可能影响到报价的价格因素，如发生漏、缺、少项，都将被认为是中标人的报价让利行为，损失自负</w:t>
            </w:r>
            <w:r>
              <w:rPr>
                <w:rFonts w:hint="eastAsia" w:ascii="宋体" w:hAnsi="宋体"/>
                <w:sz w:val="24"/>
              </w:rPr>
              <w:t>。</w:t>
            </w:r>
          </w:p>
          <w:p>
            <w:pPr>
              <w:pStyle w:val="17"/>
              <w:keepNext w:val="0"/>
              <w:keepLines w:val="0"/>
              <w:pageBreakBefore w:val="0"/>
              <w:widowControl w:val="0"/>
              <w:kinsoku/>
              <w:wordWrap/>
              <w:overflowPunct/>
              <w:topLinePunct w:val="0"/>
              <w:autoSpaceDE/>
              <w:autoSpaceDN/>
              <w:bidi w:val="0"/>
              <w:snapToGrid/>
              <w:spacing w:line="440" w:lineRule="exact"/>
              <w:textAlignment w:val="auto"/>
              <w:rPr>
                <w:rFonts w:hint="eastAsia" w:ascii="宋体" w:hAnsi="宋体"/>
                <w:sz w:val="24"/>
              </w:rPr>
            </w:pPr>
            <w:r>
              <w:rPr>
                <w:rFonts w:hint="eastAsia" w:ascii="宋体" w:hAnsi="宋体"/>
                <w:sz w:val="24"/>
                <w:lang w:eastAsia="zh-CN"/>
              </w:rPr>
              <w:t>（</w:t>
            </w:r>
            <w:r>
              <w:rPr>
                <w:rFonts w:hint="eastAsia" w:ascii="宋体" w:hAnsi="宋体"/>
                <w:sz w:val="24"/>
                <w:lang w:val="en-US" w:eastAsia="zh-CN"/>
              </w:rPr>
              <w:t>5</w:t>
            </w:r>
            <w:r>
              <w:rPr>
                <w:rFonts w:hint="eastAsia" w:ascii="宋体" w:hAnsi="宋体"/>
                <w:sz w:val="24"/>
                <w:lang w:eastAsia="zh-CN"/>
              </w:rPr>
              <w:t>）</w:t>
            </w:r>
            <w:r>
              <w:rPr>
                <w:rFonts w:hint="eastAsia" w:ascii="宋体" w:hAnsi="宋体"/>
                <w:sz w:val="24"/>
              </w:rPr>
              <w:t>若各投标人的投标报价均超出采购人的采购预算，采购人有权否决所有报价。</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（6）</w:t>
            </w:r>
            <w:r>
              <w:rPr>
                <w:rFonts w:hint="eastAsia" w:asciiTheme="minorEastAsia" w:hAnsiTheme="minorEastAsia" w:eastAsiaTheme="minorEastAsia" w:cstheme="minorEastAsia"/>
                <w:b w:val="0"/>
                <w:bCs w:val="0"/>
                <w:color w:val="auto"/>
                <w:sz w:val="24"/>
                <w:szCs w:val="24"/>
                <w:highlight w:val="none"/>
              </w:rPr>
              <w:t>采购人不接受任何选择报价，只允许提供-一个方案和-一个报价。多个报价和方案将作为无效投标。</w:t>
            </w:r>
          </w:p>
          <w:p>
            <w:pPr>
              <w:keepNext w:val="0"/>
              <w:keepLines w:val="0"/>
              <w:pageBreakBefore w:val="0"/>
              <w:widowControl w:val="0"/>
              <w:kinsoku/>
              <w:wordWrap/>
              <w:overflowPunct/>
              <w:topLinePunct w:val="0"/>
              <w:autoSpaceDE/>
              <w:autoSpaceDN/>
              <w:bidi w:val="0"/>
              <w:snapToGrid/>
              <w:spacing w:line="440" w:lineRule="exact"/>
              <w:jc w:val="left"/>
              <w:textAlignment w:val="auto"/>
              <w:rPr>
                <w:rFonts w:hint="eastAsia" w:ascii="宋体" w:hAnsi="宋体" w:eastAsia="宋体" w:cs="宋体"/>
                <w:b w:val="0"/>
                <w:bCs/>
                <w:color w:val="auto"/>
                <w:sz w:val="24"/>
                <w:highlight w:val="none"/>
              </w:rPr>
            </w:pPr>
            <w:r>
              <w:rPr>
                <w:rFonts w:hint="eastAsia" w:asciiTheme="minorEastAsia" w:hAnsiTheme="minorEastAsia" w:cstheme="minorEastAsia"/>
                <w:b w:val="0"/>
                <w:bCs w:val="0"/>
                <w:color w:val="auto"/>
                <w:sz w:val="24"/>
                <w:szCs w:val="24"/>
                <w:highlight w:val="none"/>
                <w:lang w:eastAsia="zh-CN"/>
              </w:rPr>
              <w:t>（</w:t>
            </w:r>
            <w:r>
              <w:rPr>
                <w:rFonts w:hint="eastAsia" w:asciiTheme="minorEastAsia" w:hAnsiTheme="minorEastAsia" w:cstheme="minorEastAsia"/>
                <w:b w:val="0"/>
                <w:bCs w:val="0"/>
                <w:color w:val="auto"/>
                <w:sz w:val="24"/>
                <w:szCs w:val="24"/>
                <w:highlight w:val="none"/>
                <w:lang w:val="en-US" w:eastAsia="zh-CN"/>
              </w:rPr>
              <w:t>7</w:t>
            </w:r>
            <w:r>
              <w:rPr>
                <w:rFonts w:hint="eastAsia" w:asciiTheme="minorEastAsia" w:hAnsi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最低报价不能作为中标的保证。</w:t>
            </w:r>
          </w:p>
        </w:tc>
      </w:tr>
      <w:tr>
        <w:tblPrEx>
          <w:shd w:val="clear" w:color="auto" w:fill="auto"/>
          <w:tblCellMar>
            <w:top w:w="0" w:type="dxa"/>
            <w:left w:w="10" w:type="dxa"/>
            <w:bottom w:w="0" w:type="dxa"/>
            <w:right w:w="10" w:type="dxa"/>
          </w:tblCellMar>
        </w:tblPrEx>
        <w:trPr>
          <w:trHeight w:val="531"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highlight w:val="none"/>
              </w:rPr>
            </w:pPr>
            <w:r>
              <w:rPr>
                <w:rFonts w:hint="eastAsia" w:ascii="宋体" w:hAnsi="宋体" w:eastAsia="宋体" w:cs="宋体"/>
                <w:b w:val="0"/>
                <w:bCs/>
                <w:color w:val="auto"/>
                <w:sz w:val="24"/>
                <w:highlight w:val="none"/>
                <w:lang w:eastAsia="zh-CN"/>
              </w:rPr>
              <w:t>投标</w:t>
            </w:r>
            <w:r>
              <w:rPr>
                <w:rFonts w:hint="eastAsia" w:ascii="宋体" w:hAnsi="宋体" w:eastAsia="宋体" w:cs="宋体"/>
                <w:b w:val="0"/>
                <w:bCs/>
                <w:color w:val="auto"/>
                <w:sz w:val="24"/>
                <w:highlight w:val="none"/>
              </w:rPr>
              <w:t>有效期：</w:t>
            </w:r>
            <w:r>
              <w:rPr>
                <w:rFonts w:hint="eastAsia" w:ascii="宋体" w:hAnsi="宋体" w:eastAsia="宋体" w:cs="宋体"/>
                <w:b w:val="0"/>
                <w:bCs/>
                <w:color w:val="auto"/>
                <w:sz w:val="24"/>
                <w:highlight w:val="none"/>
                <w:u w:val="single"/>
                <w:lang w:val="en-US" w:eastAsia="zh-CN"/>
              </w:rPr>
              <w:t>60</w:t>
            </w:r>
            <w:r>
              <w:rPr>
                <w:rFonts w:hint="eastAsia" w:ascii="宋体" w:hAnsi="宋体" w:eastAsia="宋体" w:cs="宋体"/>
                <w:b w:val="0"/>
                <w:bCs/>
                <w:color w:val="auto"/>
                <w:sz w:val="24"/>
                <w:highlight w:val="none"/>
              </w:rPr>
              <w:t>日历日</w:t>
            </w:r>
          </w:p>
        </w:tc>
      </w:tr>
      <w:tr>
        <w:tblPrEx>
          <w:shd w:val="clear" w:color="auto" w:fill="auto"/>
          <w:tblCellMar>
            <w:top w:w="0" w:type="dxa"/>
            <w:left w:w="10" w:type="dxa"/>
            <w:bottom w:w="0" w:type="dxa"/>
            <w:right w:w="10" w:type="dxa"/>
          </w:tblCellMar>
        </w:tblPrEx>
        <w:trPr>
          <w:trHeight w:val="531"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需自行上传的文件：加密电子响应文件</w:t>
            </w:r>
            <w:r>
              <w:rPr>
                <w:rFonts w:hint="eastAsia" w:ascii="宋体" w:hAnsi="宋体" w:eastAsia="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份。</w:t>
            </w:r>
          </w:p>
        </w:tc>
      </w:tr>
      <w:tr>
        <w:tblPrEx>
          <w:shd w:val="clear" w:color="auto" w:fill="auto"/>
          <w:tblCellMar>
            <w:top w:w="0" w:type="dxa"/>
            <w:left w:w="10" w:type="dxa"/>
            <w:bottom w:w="0" w:type="dxa"/>
            <w:right w:w="10" w:type="dxa"/>
          </w:tblCellMar>
        </w:tblPrEx>
        <w:trPr>
          <w:trHeight w:val="531"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.1</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递交</w:t>
            </w:r>
            <w:r>
              <w:rPr>
                <w:rFonts w:hint="eastAsia" w:ascii="宋体" w:hAnsi="宋体" w:eastAsia="宋体" w:cs="宋体"/>
                <w:b w:val="0"/>
                <w:bCs/>
                <w:color w:val="auto"/>
                <w:sz w:val="24"/>
                <w:highlight w:val="none"/>
              </w:rPr>
              <w:t>响应文件</w:t>
            </w:r>
            <w:r>
              <w:rPr>
                <w:rFonts w:hint="eastAsia" w:ascii="宋体" w:hAnsi="宋体" w:eastAsia="宋体" w:cs="宋体"/>
                <w:b w:val="0"/>
                <w:bCs/>
                <w:color w:val="auto"/>
                <w:sz w:val="24"/>
                <w:highlight w:val="none"/>
                <w:lang w:val="en-US" w:eastAsia="zh-CN"/>
              </w:rPr>
              <w:t>截止</w:t>
            </w:r>
            <w:r>
              <w:rPr>
                <w:rFonts w:hint="eastAsia" w:ascii="宋体" w:hAnsi="宋体" w:eastAsia="宋体" w:cs="宋体"/>
                <w:b w:val="0"/>
                <w:bCs/>
                <w:color w:val="auto"/>
                <w:sz w:val="24"/>
                <w:highlight w:val="none"/>
              </w:rPr>
              <w:t>时间：</w:t>
            </w:r>
            <w:r>
              <w:rPr>
                <w:rFonts w:hint="eastAsia" w:ascii="宋体" w:hAnsi="宋体" w:eastAsia="宋体" w:cs="宋体"/>
                <w:b w:val="0"/>
                <w:bCs/>
                <w:color w:val="auto"/>
                <w:sz w:val="24"/>
                <w:highlight w:val="none"/>
                <w:lang w:val="en-US" w:eastAsia="zh-CN"/>
              </w:rPr>
              <w:t>2022年8月11日09时00分（北京时间）</w:t>
            </w:r>
          </w:p>
          <w:p>
            <w:pPr>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lang w:eastAsia="zh-CN"/>
              </w:rPr>
              <w:t>地点：</w:t>
            </w:r>
            <w:r>
              <w:rPr>
                <w:rFonts w:hint="default" w:ascii="宋体" w:hAnsi="宋体" w:eastAsia="宋体" w:cs="宋体"/>
                <w:color w:val="auto"/>
                <w:spacing w:val="-6"/>
                <w:sz w:val="24"/>
                <w:highlight w:val="none"/>
                <w:lang w:val="en-US" w:eastAsia="zh-CN"/>
              </w:rPr>
              <w:t>将加密的电子投标文件在截止时间前通过淄博市公共资源交易网 “上传投标文件”栏目上传完成。①拟参加本项目的供应商须办理并取得数字证书（电子签章）后，方可加密生成及上传电子响应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w:t>
            </w:r>
            <w:bookmarkStart w:id="347" w:name="_GoBack"/>
            <w:bookmarkEnd w:id="347"/>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19.1</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开启</w:t>
            </w:r>
            <w:r>
              <w:rPr>
                <w:rFonts w:hint="eastAsia" w:ascii="宋体" w:hAnsi="宋体" w:eastAsia="宋体" w:cs="宋体"/>
                <w:b w:val="0"/>
                <w:bCs/>
                <w:color w:val="auto"/>
                <w:sz w:val="24"/>
                <w:highlight w:val="none"/>
              </w:rPr>
              <w:t>时间：</w:t>
            </w:r>
            <w:r>
              <w:rPr>
                <w:rFonts w:hint="eastAsia" w:ascii="宋体" w:hAnsi="宋体" w:eastAsia="宋体" w:cs="宋体"/>
                <w:b w:val="0"/>
                <w:bCs/>
                <w:color w:val="auto"/>
                <w:sz w:val="24"/>
                <w:highlight w:val="none"/>
                <w:lang w:val="en-US" w:eastAsia="zh-CN"/>
              </w:rPr>
              <w:t>2022年8月11日09时00分（北京时间）</w:t>
            </w:r>
          </w:p>
          <w:p>
            <w:pPr>
              <w:keepNext w:val="0"/>
              <w:keepLines w:val="0"/>
              <w:pageBreakBefore w:val="0"/>
              <w:widowControl w:val="0"/>
              <w:kinsoku/>
              <w:wordWrap/>
              <w:overflowPunct/>
              <w:topLinePunct w:val="0"/>
              <w:autoSpaceDE/>
              <w:autoSpaceDN/>
              <w:bidi w:val="0"/>
              <w:adjustRightInd/>
              <w:snapToGrid/>
              <w:spacing w:before="0" w:after="0" w:line="440" w:lineRule="exact"/>
              <w:textAlignment w:val="auto"/>
              <w:outlineLvl w:val="9"/>
              <w:rPr>
                <w:rFonts w:hint="eastAsia" w:ascii="宋体" w:hAnsi="宋体" w:eastAsia="宋体" w:cs="宋体"/>
                <w:b/>
                <w:strike/>
                <w:color w:val="auto"/>
                <w:sz w:val="24"/>
                <w:highlight w:val="none"/>
              </w:rPr>
            </w:pPr>
            <w:r>
              <w:rPr>
                <w:rFonts w:hint="eastAsia" w:ascii="宋体" w:hAnsi="宋体" w:eastAsia="宋体" w:cs="宋体"/>
                <w:b w:val="0"/>
                <w:bCs/>
                <w:color w:val="auto"/>
                <w:kern w:val="2"/>
                <w:sz w:val="24"/>
                <w:szCs w:val="22"/>
                <w:highlight w:val="none"/>
                <w:u w:val="none"/>
                <w:lang w:val="en-US" w:eastAsia="zh-CN" w:bidi="ar-SA"/>
              </w:rPr>
              <w:t xml:space="preserve">地点：网上开标大厅。请各投标人在开标前登录网上开标大厅（http://ggzyjy.zibo.gov.cn:8188/BidOpening/bidopeninghallaction/hall/login）,在线准时参加开标活动并进行投标文件解密、答疑、澄清等。   </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19.4</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4"/>
                <w:highlight w:val="none"/>
                <w:lang w:val="en-US"/>
              </w:rPr>
            </w:pPr>
            <w:r>
              <w:rPr>
                <w:rFonts w:hint="eastAsia" w:ascii="宋体" w:hAnsi="宋体" w:eastAsia="宋体" w:cs="宋体"/>
                <w:b w:val="0"/>
                <w:bCs/>
                <w:snapToGrid w:val="0"/>
                <w:color w:val="auto"/>
                <w:sz w:val="24"/>
                <w:highlight w:val="none"/>
              </w:rPr>
              <w:t>首次响应文件是否唱价：</w:t>
            </w:r>
            <w:r>
              <w:rPr>
                <w:rFonts w:hint="eastAsia" w:ascii="宋体" w:hAnsi="宋体"/>
                <w:color w:val="auto"/>
                <w:sz w:val="24"/>
                <w:highlight w:val="none"/>
              </w:rPr>
              <w:t xml:space="preserve">（是 </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highlight w:val="yellow"/>
              </w:rPr>
            </w:pPr>
            <w:r>
              <w:rPr>
                <w:rFonts w:hint="eastAsia" w:ascii="宋体" w:hAnsi="宋体" w:eastAsia="宋体" w:cs="宋体"/>
                <w:color w:val="auto"/>
                <w:sz w:val="24"/>
                <w:highlight w:val="none"/>
              </w:rPr>
              <w:t>20.2</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采购人或采购代理机构查询投标人信用记录时间：投标截止时间后评标会议开始前查询投标人信用记录。对列入失信被执行人、重大税收违法案件当事人名单、政府采购严重违法失信行为记录名单及其他不符合《中华人民共和国政府采购法》第二十二条规定条件的投标人，将拒绝其参与本次采购活动。</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（1）查询渠道：“信用中国”网站（www.creditchina.gov.cn）、中国政府采购网（www.ccgp.gov.cn）渠道。</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查询的时间节点包含：投标截止时间前三年内、确认中标前、签订合同前。财政部门、采购人、采购代理机构将按照前述时间节点，分别查询各投标人的信用记录信息，信用记录不合格视为资格审查不通过。</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rPr>
            </w:pPr>
            <w:r>
              <w:rPr>
                <w:rFonts w:hint="eastAsia" w:ascii="宋体" w:hAnsi="宋体" w:eastAsia="宋体" w:cs="宋体"/>
                <w:b w:val="0"/>
                <w:bCs/>
                <w:color w:val="auto"/>
                <w:sz w:val="24"/>
                <w:highlight w:val="none"/>
              </w:rPr>
              <w:t>（3）信用信息查询记录（网站截图）将与本次政府采购活动的采购文件一并进行保存。</w:t>
            </w:r>
          </w:p>
        </w:tc>
      </w:tr>
      <w:tr>
        <w:tblPrEx>
          <w:shd w:val="clear" w:color="auto" w:fill="auto"/>
          <w:tblCellMar>
            <w:top w:w="0" w:type="dxa"/>
            <w:left w:w="10" w:type="dxa"/>
            <w:bottom w:w="0" w:type="dxa"/>
            <w:right w:w="10" w:type="dxa"/>
          </w:tblCellMar>
        </w:tblPrEx>
        <w:trPr>
          <w:trHeight w:val="600" w:hRule="atLeast"/>
          <w:jc w:val="center"/>
        </w:trPr>
        <w:tc>
          <w:tcPr>
            <w:tcW w:w="1021" w:type="dxa"/>
            <w:vMerge w:val="restart"/>
            <w:tcBorders>
              <w:top w:val="single" w:color="000000" w:sz="6" w:space="0"/>
              <w:left w:val="single" w:color="000000" w:sz="12"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30</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rPr>
              <w:t>采购人是否委托磋商小组直接确定成交供应商：是</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 xml:space="preserve"> 否□</w:t>
            </w:r>
          </w:p>
        </w:tc>
      </w:tr>
      <w:tr>
        <w:tblPrEx>
          <w:shd w:val="clear" w:color="auto" w:fill="auto"/>
          <w:tblCellMar>
            <w:top w:w="0" w:type="dxa"/>
            <w:left w:w="10" w:type="dxa"/>
            <w:bottom w:w="0" w:type="dxa"/>
            <w:right w:w="10" w:type="dxa"/>
          </w:tblCellMar>
        </w:tblPrEx>
        <w:trPr>
          <w:trHeight w:val="600" w:hRule="atLeast"/>
          <w:jc w:val="center"/>
        </w:trPr>
        <w:tc>
          <w:tcPr>
            <w:tcW w:w="1021" w:type="dxa"/>
            <w:vMerge w:val="continue"/>
            <w:tcBorders>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lang w:val="en-US" w:eastAsia="zh-CN"/>
              </w:rPr>
            </w:pP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rPr>
            </w:pPr>
            <w:r>
              <w:rPr>
                <w:rFonts w:hint="eastAsia" w:ascii="宋体" w:hAnsi="宋体" w:eastAsia="宋体" w:cs="宋体"/>
                <w:b w:val="0"/>
                <w:bCs/>
                <w:color w:val="auto"/>
                <w:sz w:val="24"/>
                <w:highlight w:val="none"/>
              </w:rPr>
              <w:t>推荐成交</w:t>
            </w:r>
            <w:r>
              <w:rPr>
                <w:rFonts w:hint="eastAsia" w:ascii="宋体" w:hAnsi="宋体" w:eastAsia="宋体" w:cs="宋体"/>
                <w:b w:val="0"/>
                <w:bCs/>
                <w:color w:val="auto"/>
                <w:sz w:val="24"/>
                <w:highlight w:val="none"/>
                <w:lang w:eastAsia="zh-CN"/>
              </w:rPr>
              <w:t>候选人</w:t>
            </w:r>
            <w:r>
              <w:rPr>
                <w:rFonts w:hint="eastAsia" w:ascii="宋体" w:hAnsi="宋体" w:eastAsia="宋体" w:cs="宋体"/>
                <w:b w:val="0"/>
                <w:bCs/>
                <w:color w:val="auto"/>
                <w:sz w:val="24"/>
                <w:highlight w:val="none"/>
              </w:rPr>
              <w:t>的数量：</w:t>
            </w:r>
            <w:r>
              <w:rPr>
                <w:rFonts w:hint="eastAsia" w:ascii="宋体" w:hAnsi="宋体" w:eastAsia="宋体" w:cs="宋体"/>
                <w:b w:val="0"/>
                <w:bCs/>
                <w:color w:val="auto"/>
                <w:sz w:val="24"/>
                <w:highlight w:val="none"/>
                <w:lang w:val="en-US" w:eastAsia="zh-CN"/>
              </w:rPr>
              <w:t>/</w:t>
            </w:r>
            <w:r>
              <w:rPr>
                <w:rFonts w:hint="eastAsia" w:ascii="宋体" w:hAnsi="宋体" w:eastAsia="宋体" w:cs="宋体"/>
                <w:b/>
                <w:color w:val="auto"/>
                <w:sz w:val="24"/>
                <w:highlight w:val="none"/>
              </w:rPr>
              <w:t>　</w:t>
            </w:r>
          </w:p>
        </w:tc>
      </w:tr>
      <w:tr>
        <w:tblPrEx>
          <w:shd w:val="clear" w:color="auto" w:fill="auto"/>
          <w:tblCellMar>
            <w:top w:w="0" w:type="dxa"/>
            <w:left w:w="10" w:type="dxa"/>
            <w:bottom w:w="0" w:type="dxa"/>
            <w:right w:w="10" w:type="dxa"/>
          </w:tblCellMar>
        </w:tblPrEx>
        <w:trPr>
          <w:trHeight w:val="195" w:hRule="atLeast"/>
          <w:jc w:val="center"/>
        </w:trPr>
        <w:tc>
          <w:tcPr>
            <w:tcW w:w="1021" w:type="dxa"/>
            <w:vMerge w:val="restart"/>
            <w:tcBorders>
              <w:top w:val="single" w:color="000000" w:sz="6" w:space="0"/>
              <w:left w:val="single" w:color="000000" w:sz="12"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34</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highlight w:val="none"/>
                <w:u w:val="single"/>
              </w:rPr>
            </w:pPr>
            <w:r>
              <w:rPr>
                <w:rFonts w:hint="eastAsia" w:ascii="宋体" w:hAnsi="宋体"/>
                <w:color w:val="auto"/>
                <w:sz w:val="24"/>
                <w:highlight w:val="none"/>
              </w:rPr>
              <w:t>是否</w:t>
            </w:r>
            <w:r>
              <w:rPr>
                <w:rFonts w:hint="eastAsia" w:ascii="宋体" w:hAnsi="宋体"/>
                <w:color w:val="auto"/>
                <w:sz w:val="24"/>
                <w:highlight w:val="none"/>
                <w:lang w:val="en-US" w:eastAsia="zh-CN"/>
              </w:rPr>
              <w:t>提交</w:t>
            </w:r>
            <w:r>
              <w:rPr>
                <w:rFonts w:hint="eastAsia" w:ascii="宋体" w:hAnsi="宋体"/>
                <w:color w:val="auto"/>
                <w:sz w:val="24"/>
                <w:highlight w:val="none"/>
              </w:rPr>
              <w:t>履约保证：是</w:t>
            </w:r>
            <w:r>
              <w:rPr>
                <w:rFonts w:ascii="宋体" w:hAnsi="宋体"/>
                <w:color w:val="auto"/>
                <w:sz w:val="24"/>
                <w:highlight w:val="none"/>
              </w:rPr>
              <w:t>□</w:t>
            </w:r>
            <w:r>
              <w:rPr>
                <w:rFonts w:hint="eastAsia" w:ascii="宋体" w:hAnsi="宋体"/>
                <w:color w:val="auto"/>
                <w:sz w:val="40"/>
                <w:highlight w:val="none"/>
              </w:rPr>
              <w:t xml:space="preserve"> </w:t>
            </w:r>
            <w:r>
              <w:rPr>
                <w:rFonts w:hint="eastAsia" w:ascii="宋体" w:hAnsi="宋体"/>
                <w:color w:val="auto"/>
                <w:sz w:val="24"/>
                <w:highlight w:val="none"/>
              </w:rPr>
              <w:t>否</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tc>
      </w:tr>
      <w:tr>
        <w:tblPrEx>
          <w:shd w:val="clear" w:color="auto" w:fill="auto"/>
          <w:tblCellMar>
            <w:top w:w="0" w:type="dxa"/>
            <w:left w:w="10" w:type="dxa"/>
            <w:bottom w:w="0" w:type="dxa"/>
            <w:right w:w="10" w:type="dxa"/>
          </w:tblCellMar>
        </w:tblPrEx>
        <w:trPr>
          <w:trHeight w:val="195" w:hRule="atLeast"/>
          <w:jc w:val="center"/>
        </w:trPr>
        <w:tc>
          <w:tcPr>
            <w:tcW w:w="1021" w:type="dxa"/>
            <w:vMerge w:val="continue"/>
            <w:tcBorders>
              <w:left w:val="single" w:color="000000" w:sz="12"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color w:val="auto"/>
                <w:highlight w:val="none"/>
              </w:rPr>
            </w:pP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u w:val="none"/>
              </w:rPr>
            </w:pPr>
            <w:r>
              <w:rPr>
                <w:rFonts w:hint="eastAsia" w:ascii="宋体" w:hAnsi="宋体"/>
                <w:color w:val="auto"/>
                <w:sz w:val="24"/>
                <w:highlight w:val="none"/>
              </w:rPr>
              <w:t>履约保证</w:t>
            </w:r>
            <w:r>
              <w:rPr>
                <w:rFonts w:hint="eastAsia" w:ascii="宋体" w:hAnsi="宋体"/>
                <w:color w:val="auto"/>
                <w:sz w:val="24"/>
                <w:highlight w:val="none"/>
                <w:lang w:val="en-US" w:eastAsia="zh-CN"/>
              </w:rPr>
              <w:t>的</w:t>
            </w:r>
            <w:r>
              <w:rPr>
                <w:rFonts w:hint="eastAsia" w:ascii="宋体" w:hAnsi="宋体"/>
                <w:color w:val="auto"/>
                <w:sz w:val="24"/>
                <w:highlight w:val="none"/>
              </w:rPr>
              <w:t>形式：</w:t>
            </w:r>
            <w:r>
              <w:rPr>
                <w:rFonts w:hint="eastAsia" w:ascii="宋体" w:hAnsi="宋体"/>
                <w:color w:val="auto"/>
                <w:sz w:val="24"/>
                <w:highlight w:val="none"/>
                <w:u w:val="none"/>
                <w:lang w:val="en-US" w:eastAsia="zh-CN"/>
              </w:rPr>
              <w:t>履约保证金（非现金形式）</w:t>
            </w:r>
            <w:r>
              <w:rPr>
                <w:rFonts w:hint="eastAsia" w:ascii="宋体" w:hAnsi="宋体"/>
                <w:color w:val="auto"/>
                <w:sz w:val="24"/>
                <w:highlight w:val="none"/>
                <w:u w:val="none"/>
              </w:rPr>
              <w:t>、</w:t>
            </w:r>
            <w:r>
              <w:rPr>
                <w:rFonts w:hint="eastAsia" w:ascii="宋体" w:hAnsi="宋体"/>
                <w:color w:val="auto"/>
                <w:sz w:val="24"/>
                <w:highlight w:val="none"/>
                <w:u w:val="none"/>
                <w:lang w:val="en-US" w:eastAsia="zh-CN"/>
              </w:rPr>
              <w:t>履约</w:t>
            </w:r>
            <w:r>
              <w:rPr>
                <w:rFonts w:hint="eastAsia" w:ascii="宋体" w:hAnsi="宋体"/>
                <w:color w:val="auto"/>
                <w:sz w:val="24"/>
                <w:highlight w:val="none"/>
                <w:u w:val="none"/>
              </w:rPr>
              <w:t>保函、</w:t>
            </w:r>
            <w:r>
              <w:rPr>
                <w:rFonts w:hint="eastAsia" w:ascii="宋体" w:hAnsi="宋体"/>
                <w:color w:val="auto"/>
                <w:sz w:val="24"/>
                <w:highlight w:val="none"/>
                <w:u w:val="none"/>
                <w:lang w:val="en-US" w:eastAsia="zh-CN"/>
              </w:rPr>
              <w:t>履约担保函</w:t>
            </w:r>
            <w:r>
              <w:rPr>
                <w:rFonts w:hint="eastAsia" w:ascii="宋体" w:hAnsi="宋体"/>
                <w:color w:val="auto"/>
                <w:sz w:val="24"/>
                <w:highlight w:val="none"/>
                <w:u w:val="none"/>
              </w:rPr>
              <w:t>。</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eastAsiaTheme="minorEastAsia"/>
                <w:color w:val="auto"/>
                <w:sz w:val="24"/>
                <w:highlight w:val="none"/>
                <w:u w:val="single"/>
                <w:lang w:val="en-US" w:eastAsia="zh-CN"/>
              </w:rPr>
            </w:pPr>
            <w:r>
              <w:rPr>
                <w:rFonts w:hint="eastAsia" w:ascii="宋体" w:hAnsi="宋体"/>
                <w:color w:val="auto"/>
                <w:sz w:val="24"/>
                <w:highlight w:val="none"/>
                <w:u w:val="none"/>
              </w:rPr>
              <w:t>提交履约保证的时间：</w:t>
            </w:r>
            <w:r>
              <w:rPr>
                <w:rFonts w:hint="eastAsia" w:ascii="宋体" w:hAnsi="宋体"/>
                <w:color w:val="auto"/>
                <w:sz w:val="24"/>
                <w:highlight w:val="none"/>
                <w:u w:val="none"/>
                <w:lang w:val="en-US" w:eastAsia="zh-CN"/>
              </w:rPr>
              <w:t>/</w:t>
            </w:r>
          </w:p>
        </w:tc>
      </w:tr>
      <w:tr>
        <w:tblPrEx>
          <w:shd w:val="clear" w:color="auto" w:fill="auto"/>
          <w:tblCellMar>
            <w:top w:w="0" w:type="dxa"/>
            <w:left w:w="10" w:type="dxa"/>
            <w:bottom w:w="0" w:type="dxa"/>
            <w:right w:w="10" w:type="dxa"/>
          </w:tblCellMar>
        </w:tblPrEx>
        <w:trPr>
          <w:trHeight w:val="195" w:hRule="atLeast"/>
          <w:jc w:val="center"/>
        </w:trPr>
        <w:tc>
          <w:tcPr>
            <w:tcW w:w="1021" w:type="dxa"/>
            <w:vMerge w:val="continue"/>
            <w:tcBorders>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highlight w:val="none"/>
                <w:u w:val="single"/>
              </w:rPr>
            </w:pP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highlight w:val="none"/>
                <w:u w:val="single"/>
              </w:rPr>
            </w:pPr>
            <w:r>
              <w:rPr>
                <w:rFonts w:hint="eastAsia" w:ascii="宋体" w:hAnsi="宋体"/>
                <w:color w:val="auto"/>
                <w:sz w:val="24"/>
                <w:highlight w:val="none"/>
              </w:rPr>
              <w:t>履约保证金额：</w:t>
            </w:r>
            <w:r>
              <w:rPr>
                <w:rFonts w:hint="eastAsia" w:ascii="宋体" w:hAnsi="宋体" w:eastAsia="宋体" w:cs="宋体"/>
                <w:color w:val="auto"/>
                <w:sz w:val="24"/>
                <w:highlight w:val="none"/>
              </w:rPr>
              <w:t>合同总价的</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（不得超过政府采购合同金额的10%）</w:t>
            </w:r>
          </w:p>
        </w:tc>
      </w:tr>
      <w:tr>
        <w:tblPrEx>
          <w:shd w:val="clear" w:color="auto" w:fill="auto"/>
          <w:tblCellMar>
            <w:top w:w="0" w:type="dxa"/>
            <w:left w:w="10" w:type="dxa"/>
            <w:bottom w:w="0" w:type="dxa"/>
            <w:right w:w="10" w:type="dxa"/>
          </w:tblCellMar>
        </w:tblPrEx>
        <w:trPr>
          <w:trHeight w:val="446"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highlight w:val="yellow"/>
                <w:lang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highlight w:val="yellow"/>
              </w:rPr>
            </w:pPr>
            <w:r>
              <w:rPr>
                <w:rFonts w:hint="eastAsia" w:ascii="宋体" w:hAnsi="宋体"/>
                <w:color w:val="auto"/>
                <w:sz w:val="24"/>
                <w:highlight w:val="none"/>
                <w:lang w:val="en-US" w:eastAsia="zh-CN"/>
              </w:rPr>
              <w:t>是否支付预付款：</w:t>
            </w:r>
            <w:r>
              <w:rPr>
                <w:rFonts w:hint="eastAsia" w:ascii="宋体" w:hAnsi="宋体"/>
                <w:color w:val="auto"/>
                <w:sz w:val="24"/>
                <w:highlight w:val="none"/>
              </w:rPr>
              <w:t>否</w:t>
            </w:r>
            <w:r>
              <w:rPr>
                <w:rFonts w:hint="eastAsia" w:ascii="宋体" w:hAnsi="宋体"/>
                <w:color w:val="auto"/>
                <w:sz w:val="24"/>
                <w:highlight w:val="none"/>
                <w:lang w:eastAsia="zh-CN"/>
              </w:rPr>
              <w:t>☑</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是</w:t>
            </w:r>
            <w:r>
              <w:rPr>
                <w:rFonts w:hint="eastAsia" w:ascii="宋体" w:hAnsi="宋体"/>
                <w:color w:val="auto"/>
                <w:sz w:val="24"/>
                <w:highlight w:val="none"/>
                <w:lang w:eastAsia="zh-CN"/>
              </w:rPr>
              <w:t>□</w:t>
            </w:r>
            <w:r>
              <w:rPr>
                <w:rFonts w:hint="eastAsia" w:ascii="宋体" w:hAnsi="宋体"/>
                <w:color w:val="auto"/>
                <w:sz w:val="24"/>
                <w:highlight w:val="none"/>
              </w:rPr>
              <w:t xml:space="preserve"> </w:t>
            </w:r>
            <w:r>
              <w:rPr>
                <w:rFonts w:hint="eastAsia" w:ascii="宋体" w:hAnsi="宋体" w:eastAsia="宋体" w:cs="宋体"/>
                <w:color w:val="auto"/>
                <w:sz w:val="24"/>
                <w:highlight w:val="none"/>
                <w:u w:val="single"/>
              </w:rPr>
              <w:t xml:space="preserve">           </w:t>
            </w:r>
          </w:p>
        </w:tc>
      </w:tr>
      <w:tr>
        <w:tblPrEx>
          <w:shd w:val="clear" w:color="auto" w:fill="auto"/>
          <w:tblCellMar>
            <w:top w:w="0" w:type="dxa"/>
            <w:left w:w="10" w:type="dxa"/>
            <w:bottom w:w="0" w:type="dxa"/>
            <w:right w:w="10" w:type="dxa"/>
          </w:tblCellMar>
        </w:tblPrEx>
        <w:trPr>
          <w:trHeight w:val="446"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.3</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反腐倡廉监督电话/邮箱：</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rPr>
              <w:t xml:space="preserve">           </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rPr>
            </w:pPr>
            <w:r>
              <w:rPr>
                <w:rFonts w:hint="eastAsia" w:ascii="宋体" w:hAnsi="宋体" w:eastAsia="宋体" w:cs="宋体"/>
                <w:color w:val="auto"/>
                <w:sz w:val="24"/>
                <w:highlight w:val="none"/>
              </w:rPr>
              <w:t>质</w:t>
            </w:r>
            <w:r>
              <w:rPr>
                <w:rFonts w:hint="eastAsia" w:ascii="宋体" w:hAnsi="宋体"/>
                <w:color w:val="auto"/>
                <w:sz w:val="24"/>
                <w:highlight w:val="none"/>
              </w:rPr>
              <w:t>疑函接收部门、联系电话和通讯地址：</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Theme="minorEastAsia"/>
                <w:color w:val="auto"/>
                <w:sz w:val="24"/>
                <w:highlight w:val="none"/>
                <w:lang w:eastAsia="zh-CN"/>
              </w:rPr>
            </w:pPr>
            <w:r>
              <w:rPr>
                <w:rFonts w:hint="eastAsia" w:ascii="宋体" w:hAnsi="宋体"/>
                <w:color w:val="auto"/>
                <w:sz w:val="24"/>
                <w:highlight w:val="none"/>
              </w:rPr>
              <w:t>联系部门:淄博市</w:t>
            </w:r>
            <w:r>
              <w:rPr>
                <w:rFonts w:hint="eastAsia" w:ascii="宋体" w:hAnsi="宋体"/>
                <w:color w:val="auto"/>
                <w:sz w:val="24"/>
                <w:highlight w:val="none"/>
                <w:lang w:eastAsia="zh-CN"/>
              </w:rPr>
              <w:t>中医医院</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Theme="minorEastAsia"/>
                <w:color w:val="auto"/>
                <w:sz w:val="24"/>
                <w:highlight w:val="none"/>
                <w:lang w:val="en-US" w:eastAsia="zh-CN"/>
              </w:rPr>
            </w:pPr>
            <w:r>
              <w:rPr>
                <w:rFonts w:hint="eastAsia" w:ascii="宋体" w:hAnsi="宋体"/>
                <w:color w:val="auto"/>
                <w:sz w:val="24"/>
                <w:highlight w:val="none"/>
              </w:rPr>
              <w:t xml:space="preserve">联系电话: </w:t>
            </w:r>
            <w:r>
              <w:rPr>
                <w:rFonts w:hint="eastAsia" w:ascii="宋体" w:hAnsi="宋体"/>
                <w:color w:val="auto"/>
                <w:sz w:val="24"/>
                <w:highlight w:val="none"/>
                <w:lang w:val="en-US" w:eastAsia="zh-CN"/>
              </w:rPr>
              <w:t>0533-6699309</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color w:val="auto"/>
                <w:sz w:val="24"/>
                <w:highlight w:val="none"/>
                <w:lang w:val="en-US" w:eastAsia="zh-CN"/>
              </w:rPr>
            </w:pPr>
            <w:r>
              <w:rPr>
                <w:rFonts w:hint="eastAsia" w:ascii="宋体" w:hAnsi="宋体"/>
                <w:color w:val="auto"/>
                <w:sz w:val="24"/>
                <w:highlight w:val="none"/>
              </w:rPr>
              <w:t>通讯地址:淄博市</w:t>
            </w:r>
            <w:r>
              <w:rPr>
                <w:rFonts w:hint="eastAsia" w:ascii="宋体" w:hAnsi="宋体"/>
                <w:color w:val="auto"/>
                <w:sz w:val="24"/>
                <w:highlight w:val="none"/>
                <w:lang w:eastAsia="zh-CN"/>
              </w:rPr>
              <w:t>周村区新建东路</w:t>
            </w:r>
            <w:r>
              <w:rPr>
                <w:rFonts w:hint="eastAsia" w:ascii="宋体" w:hAnsi="宋体"/>
                <w:color w:val="auto"/>
                <w:sz w:val="24"/>
                <w:highlight w:val="none"/>
                <w:lang w:val="en-US" w:eastAsia="zh-CN"/>
              </w:rPr>
              <w:t>1166号</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rPr>
            </w:pPr>
            <w:r>
              <w:rPr>
                <w:rFonts w:hint="eastAsia" w:ascii="宋体" w:hAnsi="宋体"/>
                <w:color w:val="auto"/>
                <w:sz w:val="24"/>
                <w:highlight w:val="none"/>
              </w:rPr>
              <w:t>受理单位:山东东成建设咨询有限公司</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 w:val="24"/>
                <w:highlight w:val="none"/>
              </w:rPr>
            </w:pPr>
            <w:r>
              <w:rPr>
                <w:rFonts w:hint="eastAsia" w:ascii="宋体" w:hAnsi="宋体"/>
                <w:color w:val="auto"/>
                <w:sz w:val="24"/>
                <w:highlight w:val="none"/>
              </w:rPr>
              <w:t>通讯地址:淄博高新区张桓路77号天行健大厦5楼</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Theme="minorEastAsia"/>
                <w:color w:val="auto"/>
                <w:sz w:val="24"/>
                <w:highlight w:val="none"/>
                <w:lang w:eastAsia="zh-CN"/>
              </w:rPr>
            </w:pPr>
            <w:r>
              <w:rPr>
                <w:rFonts w:hint="eastAsia" w:ascii="宋体" w:hAnsi="宋体"/>
                <w:color w:val="auto"/>
                <w:sz w:val="24"/>
                <w:highlight w:val="none"/>
              </w:rPr>
              <w:t>联系人:</w:t>
            </w:r>
            <w:r>
              <w:rPr>
                <w:rFonts w:hint="eastAsia" w:ascii="宋体" w:hAnsi="宋体"/>
                <w:color w:val="auto"/>
                <w:sz w:val="24"/>
                <w:highlight w:val="none"/>
                <w:lang w:eastAsia="zh-CN"/>
              </w:rPr>
              <w:t>翟女士</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Theme="minorEastAsia"/>
                <w:color w:val="auto"/>
                <w:sz w:val="24"/>
                <w:highlight w:val="none"/>
                <w:lang w:val="en-US" w:eastAsia="zh-CN"/>
              </w:rPr>
            </w:pPr>
            <w:r>
              <w:rPr>
                <w:rFonts w:hint="eastAsia" w:ascii="宋体" w:hAnsi="宋体"/>
                <w:color w:val="auto"/>
                <w:sz w:val="24"/>
                <w:highlight w:val="none"/>
              </w:rPr>
              <w:t xml:space="preserve">联系方式: </w:t>
            </w:r>
            <w:r>
              <w:rPr>
                <w:rFonts w:hint="eastAsia" w:ascii="宋体" w:hAnsi="宋体" w:eastAsia="宋体" w:cs="宋体"/>
                <w:sz w:val="24"/>
                <w:szCs w:val="24"/>
                <w:lang w:val="en-US" w:eastAsia="zh-CN"/>
              </w:rPr>
              <w:t>0533-8039552</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rPr>
            </w:pPr>
            <w:r>
              <w:rPr>
                <w:rFonts w:hint="eastAsia" w:ascii="宋体" w:hAnsi="宋体"/>
                <w:color w:val="auto"/>
                <w:sz w:val="24"/>
                <w:highlight w:val="none"/>
              </w:rPr>
              <w:t xml:space="preserve">联系邮箱: sddczbfgs@163. com        </w:t>
            </w:r>
            <w:r>
              <w:rPr>
                <w:rFonts w:hint="eastAsia" w:ascii="宋体" w:hAnsi="宋体" w:eastAsia="宋体" w:cs="宋体"/>
                <w:b/>
                <w:color w:val="auto"/>
                <w:sz w:val="24"/>
                <w:highlight w:val="none"/>
              </w:rPr>
              <w:t xml:space="preserve">            </w:t>
            </w:r>
          </w:p>
        </w:tc>
      </w:tr>
      <w:tr>
        <w:tblPrEx>
          <w:shd w:val="clear" w:color="auto" w:fill="auto"/>
          <w:tblCellMar>
            <w:top w:w="0" w:type="dxa"/>
            <w:left w:w="10" w:type="dxa"/>
            <w:bottom w:w="0" w:type="dxa"/>
            <w:right w:w="10" w:type="dxa"/>
          </w:tblCellMar>
        </w:tblPrEx>
        <w:trPr>
          <w:trHeight w:val="90"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40</w:t>
            </w:r>
            <w:r>
              <w:rPr>
                <w:rFonts w:hint="eastAsia" w:ascii="宋体" w:hAnsi="宋体" w:eastAsia="宋体" w:cs="宋体"/>
                <w:color w:val="auto"/>
                <w:sz w:val="24"/>
                <w:highlight w:val="none"/>
              </w:rPr>
              <w:t>.1</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highlight w:val="none"/>
              </w:rPr>
            </w:pPr>
            <w:r>
              <w:rPr>
                <w:rFonts w:hint="eastAsia" w:ascii="宋体" w:hAnsi="宋体"/>
                <w:color w:val="auto"/>
                <w:sz w:val="24"/>
                <w:highlight w:val="none"/>
                <w:lang w:val="en-US" w:eastAsia="zh-CN"/>
              </w:rPr>
              <w:t>成交</w:t>
            </w:r>
            <w:r>
              <w:rPr>
                <w:rFonts w:hint="eastAsia" w:ascii="宋体" w:hAnsi="宋体"/>
                <w:color w:val="auto"/>
                <w:sz w:val="24"/>
                <w:highlight w:val="none"/>
              </w:rPr>
              <w:t>服务费：采购代理机构向成交供应商收取代理服务费，</w:t>
            </w:r>
            <w:r>
              <w:rPr>
                <w:rFonts w:hint="eastAsia" w:ascii="宋体" w:hAnsi="宋体"/>
                <w:color w:val="auto"/>
                <w:sz w:val="24"/>
                <w:highlight w:val="none"/>
                <w:lang w:eastAsia="zh-CN"/>
              </w:rPr>
              <w:t>定额贰万元整</w:t>
            </w:r>
            <w:r>
              <w:rPr>
                <w:rFonts w:hint="eastAsia" w:ascii="宋体" w:hAnsi="宋体"/>
                <w:color w:val="auto"/>
                <w:sz w:val="24"/>
                <w:highlight w:val="none"/>
              </w:rPr>
              <w:t>，</w:t>
            </w:r>
            <w:r>
              <w:rPr>
                <w:rFonts w:hint="eastAsia" w:ascii="宋体" w:hAnsi="宋体" w:cs="宋体"/>
                <w:bCs/>
                <w:sz w:val="24"/>
                <w:szCs w:val="24"/>
                <w:highlight w:val="none"/>
              </w:rPr>
              <w:t>代理服务费由成交供应商支付</w:t>
            </w:r>
            <w:r>
              <w:rPr>
                <w:rFonts w:hint="eastAsia" w:ascii="宋体" w:hAnsi="宋体"/>
                <w:color w:val="auto"/>
                <w:sz w:val="24"/>
                <w:highlight w:val="none"/>
              </w:rPr>
              <w:t>。</w:t>
            </w:r>
          </w:p>
          <w:p>
            <w:pPr>
              <w:pStyle w:val="36"/>
              <w:keepNext w:val="0"/>
              <w:keepLines w:val="0"/>
              <w:pageBreakBefore w:val="0"/>
              <w:tabs>
                <w:tab w:val="left" w:pos="2314"/>
              </w:tabs>
              <w:kinsoku/>
              <w:wordWrap/>
              <w:overflowPunct/>
              <w:topLinePunct w:val="0"/>
              <w:bidi w:val="0"/>
              <w:spacing w:line="440" w:lineRule="exact"/>
              <w:ind w:left="0" w:left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支付形式：</w:t>
            </w:r>
            <w:r>
              <w:rPr>
                <w:rFonts w:hint="eastAsia" w:ascii="宋体" w:hAnsi="宋体" w:eastAsia="宋体" w:cs="宋体"/>
                <w:bCs/>
                <w:sz w:val="24"/>
                <w:szCs w:val="24"/>
                <w:lang w:val="en-US" w:eastAsia="zh-CN"/>
              </w:rPr>
              <w:t>电汇（单位账户缴纳）或现金</w:t>
            </w:r>
            <w:r>
              <w:rPr>
                <w:rFonts w:hint="eastAsia" w:ascii="宋体" w:hAnsi="宋体" w:eastAsia="宋体" w:cs="宋体"/>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Times New Roman"/>
                <w:color w:val="auto"/>
                <w:sz w:val="24"/>
                <w:highlight w:val="none"/>
                <w:lang w:val="en-US" w:eastAsia="zh-CN"/>
              </w:rPr>
            </w:pPr>
            <w:r>
              <w:rPr>
                <w:rFonts w:hint="eastAsia"/>
                <w:sz w:val="24"/>
                <w:szCs w:val="24"/>
              </w:rPr>
              <w:t>收款单位：</w:t>
            </w:r>
            <w:r>
              <w:rPr>
                <w:rFonts w:hint="eastAsia" w:ascii="宋体" w:hAnsi="宋体" w:eastAsia="宋体" w:cs="Times New Roman"/>
                <w:color w:val="auto"/>
                <w:sz w:val="24"/>
                <w:highlight w:val="none"/>
                <w:lang w:val="en-US" w:eastAsia="zh-CN"/>
              </w:rPr>
              <w:t>山东东成建设咨询有限公司淄博分公司</w:t>
            </w:r>
          </w:p>
          <w:p>
            <w:pPr>
              <w:pStyle w:val="17"/>
              <w:keepNext w:val="0"/>
              <w:keepLines w:val="0"/>
              <w:pageBreakBefore w:val="0"/>
              <w:widowControl w:val="0"/>
              <w:kinsoku/>
              <w:wordWrap/>
              <w:overflowPunct/>
              <w:topLinePunct w:val="0"/>
              <w:autoSpaceDE/>
              <w:autoSpaceDN/>
              <w:bidi w:val="0"/>
              <w:spacing w:line="440" w:lineRule="exact"/>
              <w:textAlignment w:val="auto"/>
              <w:rPr>
                <w:rFonts w:hint="eastAsia" w:ascii="宋体" w:hAnsi="宋体" w:eastAsia="宋体" w:cs="Times New Roman"/>
                <w:color w:val="auto"/>
                <w:sz w:val="24"/>
                <w:highlight w:val="none"/>
                <w:lang w:val="en-US" w:eastAsia="zh-CN"/>
              </w:rPr>
            </w:pPr>
            <w:r>
              <w:rPr>
                <w:rFonts w:hint="eastAsia"/>
                <w:sz w:val="24"/>
                <w:szCs w:val="24"/>
              </w:rPr>
              <w:t>开户行：</w:t>
            </w:r>
            <w:r>
              <w:rPr>
                <w:rFonts w:hint="eastAsia" w:ascii="宋体" w:hAnsi="宋体" w:eastAsia="宋体" w:cs="Times New Roman"/>
                <w:color w:val="auto"/>
                <w:sz w:val="24"/>
                <w:highlight w:val="none"/>
                <w:lang w:val="en-US" w:eastAsia="zh-CN"/>
              </w:rPr>
              <w:t>建设银行淄博分行张店支行</w:t>
            </w:r>
          </w:p>
          <w:p>
            <w:pPr>
              <w:pStyle w:val="17"/>
              <w:keepNext w:val="0"/>
              <w:keepLines w:val="0"/>
              <w:pageBreakBefore w:val="0"/>
              <w:widowControl w:val="0"/>
              <w:kinsoku/>
              <w:wordWrap/>
              <w:overflowPunct/>
              <w:topLinePunct w:val="0"/>
              <w:autoSpaceDE/>
              <w:autoSpaceDN/>
              <w:bidi w:val="0"/>
              <w:spacing w:line="440" w:lineRule="exact"/>
              <w:textAlignment w:val="auto"/>
              <w:rPr>
                <w:sz w:val="24"/>
                <w:szCs w:val="24"/>
              </w:rPr>
            </w:pPr>
            <w:r>
              <w:rPr>
                <w:rFonts w:hint="eastAsia"/>
                <w:sz w:val="24"/>
                <w:szCs w:val="24"/>
              </w:rPr>
              <w:t>账号：</w:t>
            </w:r>
            <w:r>
              <w:rPr>
                <w:rFonts w:hint="eastAsia" w:ascii="宋体" w:hAnsi="宋体" w:eastAsia="宋体" w:cs="Times New Roman"/>
                <w:color w:val="auto"/>
                <w:sz w:val="24"/>
                <w:highlight w:val="none"/>
                <w:lang w:val="en-US" w:eastAsia="zh-CN"/>
              </w:rPr>
              <w:t>37001636141050149633</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rPr>
            </w:pPr>
            <w:r>
              <w:rPr>
                <w:rFonts w:hint="eastAsia" w:ascii="宋体" w:hAnsi="宋体" w:eastAsia="宋体" w:cs="宋体"/>
                <w:bCs/>
                <w:kern w:val="2"/>
                <w:sz w:val="24"/>
                <w:szCs w:val="24"/>
                <w:lang w:val="en-US" w:eastAsia="zh-CN" w:bidi="ar-SA"/>
              </w:rPr>
              <w:t>支付时间：本项目代理服务费在确</w:t>
            </w:r>
            <w:r>
              <w:rPr>
                <w:rFonts w:hint="eastAsia" w:ascii="宋体" w:hAnsi="宋体" w:cs="宋体"/>
                <w:sz w:val="24"/>
                <w:szCs w:val="24"/>
              </w:rPr>
              <w:t>定中标供应商</w:t>
            </w:r>
            <w:r>
              <w:rPr>
                <w:rFonts w:hint="eastAsia" w:ascii="宋体" w:hAnsi="宋体" w:cs="宋体"/>
                <w:sz w:val="24"/>
                <w:szCs w:val="24"/>
                <w:lang w:val="en-US" w:eastAsia="zh-CN"/>
              </w:rPr>
              <w:t>5</w:t>
            </w:r>
            <w:r>
              <w:rPr>
                <w:rFonts w:hint="eastAsia" w:ascii="宋体" w:hAnsi="宋体" w:cs="宋体"/>
                <w:sz w:val="24"/>
                <w:szCs w:val="24"/>
              </w:rPr>
              <w:t>日内，由中标供应商汇至采购代理机构指定账号。未按规定缴纳代理服务费的，采购代理机构将向采购监督部门反映将其失信行为纳入诚信记录。</w:t>
            </w:r>
            <w:r>
              <w:rPr>
                <w:rFonts w:hint="eastAsia" w:ascii="宋体" w:hAnsi="宋体" w:cs="宋体"/>
                <w:sz w:val="24"/>
                <w:szCs w:val="24"/>
                <w:u w:val="single"/>
              </w:rPr>
              <w:t xml:space="preserve"> </w:t>
            </w:r>
            <w:r>
              <w:rPr>
                <w:rFonts w:hint="eastAsia" w:ascii="宋体" w:hAnsi="宋体" w:eastAsia="宋体" w:cs="宋体"/>
                <w:color w:val="auto"/>
                <w:sz w:val="24"/>
                <w:highlight w:val="none"/>
                <w:u w:val="single"/>
              </w:rPr>
              <w:t xml:space="preserve">               </w:t>
            </w:r>
          </w:p>
        </w:tc>
      </w:tr>
      <w:tr>
        <w:tblPrEx>
          <w:shd w:val="clear" w:color="auto" w:fill="auto"/>
          <w:tblCellMar>
            <w:top w:w="0" w:type="dxa"/>
            <w:left w:w="10" w:type="dxa"/>
            <w:bottom w:w="0" w:type="dxa"/>
            <w:right w:w="10" w:type="dxa"/>
          </w:tblCellMar>
        </w:tblPrEx>
        <w:trPr>
          <w:trHeight w:val="423" w:hRule="atLeast"/>
          <w:jc w:val="center"/>
        </w:trPr>
        <w:tc>
          <w:tcPr>
            <w:tcW w:w="1021" w:type="dxa"/>
            <w:tcBorders>
              <w:top w:val="single" w:color="000000" w:sz="6" w:space="0"/>
              <w:left w:val="single" w:color="000000" w:sz="12" w:space="0"/>
              <w:bottom w:val="single" w:color="000000" w:sz="6" w:space="0"/>
              <w:right w:val="single" w:color="000000" w:sz="6"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44</w:t>
            </w:r>
          </w:p>
        </w:tc>
        <w:tc>
          <w:tcPr>
            <w:tcW w:w="7723" w:type="dxa"/>
            <w:tcBorders>
              <w:top w:val="single" w:color="000000" w:sz="6" w:space="0"/>
              <w:left w:val="single" w:color="000000" w:sz="6" w:space="0"/>
              <w:bottom w:val="single" w:color="000000" w:sz="6"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ind w:left="710" w:leftChars="-23" w:hanging="758" w:hangingChars="31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解释权：</w:t>
            </w:r>
            <w:r>
              <w:rPr>
                <w:rFonts w:hint="eastAsia" w:ascii="宋体" w:hAnsi="宋体" w:cs="宋体"/>
                <w:sz w:val="24"/>
                <w:szCs w:val="24"/>
              </w:rPr>
              <w:t>本采购文件解释权归采购人及采购代理机构所有</w:t>
            </w:r>
            <w:r>
              <w:rPr>
                <w:rFonts w:hint="eastAsia" w:ascii="宋体" w:hAnsi="宋体"/>
                <w:sz w:val="24"/>
              </w:rPr>
              <w:t>。</w:t>
            </w:r>
          </w:p>
        </w:tc>
      </w:tr>
      <w:tr>
        <w:tblPrEx>
          <w:shd w:val="clear" w:color="auto" w:fill="auto"/>
          <w:tblCellMar>
            <w:top w:w="0" w:type="dxa"/>
            <w:left w:w="10" w:type="dxa"/>
            <w:bottom w:w="0" w:type="dxa"/>
            <w:right w:w="10" w:type="dxa"/>
          </w:tblCellMar>
        </w:tblPrEx>
        <w:trPr>
          <w:trHeight w:val="354" w:hRule="atLeast"/>
          <w:jc w:val="center"/>
        </w:trPr>
        <w:tc>
          <w:tcPr>
            <w:tcW w:w="8744" w:type="dxa"/>
            <w:gridSpan w:val="2"/>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ind w:firstLine="72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适用于本供应商须知的额外增加的变动</w:t>
            </w:r>
          </w:p>
        </w:tc>
      </w:tr>
      <w:tr>
        <w:tblPrEx>
          <w:shd w:val="clear" w:color="auto" w:fill="auto"/>
          <w:tblCellMar>
            <w:top w:w="0" w:type="dxa"/>
            <w:left w:w="10" w:type="dxa"/>
            <w:bottom w:w="0" w:type="dxa"/>
            <w:right w:w="10" w:type="dxa"/>
          </w:tblCellMar>
        </w:tblPrEx>
        <w:trPr>
          <w:trHeight w:val="2825"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7723"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r>
              <w:rPr>
                <w:rFonts w:hint="eastAsia"/>
                <w:sz w:val="24"/>
                <w:szCs w:val="24"/>
              </w:rPr>
              <w:t>供应商资格条件（提供以下资料</w:t>
            </w:r>
            <w:r>
              <w:rPr>
                <w:rFonts w:hint="eastAsia"/>
                <w:sz w:val="24"/>
                <w:szCs w:val="24"/>
                <w:lang w:eastAsia="zh-CN"/>
              </w:rPr>
              <w:t>扫描件</w:t>
            </w:r>
            <w:r>
              <w:rPr>
                <w:rFonts w:hint="eastAsia"/>
                <w:sz w:val="24"/>
                <w:szCs w:val="24"/>
              </w:rPr>
              <w:t>）：</w:t>
            </w:r>
          </w:p>
          <w:p>
            <w:pPr>
              <w:keepNext w:val="0"/>
              <w:keepLines w:val="0"/>
              <w:pageBreakBefore w:val="0"/>
              <w:widowControl w:val="0"/>
              <w:numPr>
                <w:ilvl w:val="0"/>
                <w:numId w:val="2"/>
              </w:numPr>
              <w:kinsoku/>
              <w:wordWrap/>
              <w:overflowPunct/>
              <w:topLinePunct w:val="0"/>
              <w:autoSpaceDE/>
              <w:autoSpaceDN/>
              <w:bidi w:val="0"/>
              <w:adjustRightInd/>
              <w:snapToGrid/>
              <w:spacing w:line="440" w:lineRule="exact"/>
              <w:textAlignment w:val="auto"/>
              <w:rPr>
                <w:rFonts w:hint="eastAsia"/>
                <w:sz w:val="24"/>
                <w:szCs w:val="24"/>
                <w:highlight w:val="none"/>
              </w:rPr>
            </w:pPr>
            <w:r>
              <w:rPr>
                <w:rFonts w:hint="eastAsia" w:ascii="宋体"/>
                <w:color w:val="auto"/>
                <w:sz w:val="24"/>
                <w:szCs w:val="24"/>
                <w:highlight w:val="none"/>
                <w:lang w:val="zh-CN"/>
              </w:rPr>
              <w:t>具有统一社会信用代码的《营业执照》或其他组织有效证件</w:t>
            </w:r>
            <w:r>
              <w:rPr>
                <w:rFonts w:hint="eastAsia"/>
                <w:sz w:val="24"/>
                <w:szCs w:val="24"/>
                <w:highlight w:val="none"/>
              </w:rPr>
              <w:t>原件扫描件；</w:t>
            </w:r>
          </w:p>
          <w:p>
            <w:pPr>
              <w:keepNext w:val="0"/>
              <w:keepLines w:val="0"/>
              <w:pageBreakBefore w:val="0"/>
              <w:kinsoku/>
              <w:wordWrap/>
              <w:overflowPunct/>
              <w:topLinePunct w:val="0"/>
              <w:bidi w:val="0"/>
              <w:spacing w:line="440" w:lineRule="exact"/>
              <w:ind w:left="0" w:leftChars="0"/>
              <w:textAlignment w:val="auto"/>
              <w:rPr>
                <w:rFonts w:hint="eastAsia"/>
              </w:rPr>
            </w:pPr>
            <w:r>
              <w:rPr>
                <w:rFonts w:hint="eastAsia" w:ascii="宋体" w:hAnsi="宋体" w:cs="宋体"/>
                <w:sz w:val="24"/>
                <w:szCs w:val="24"/>
                <w:lang w:val="en-US" w:eastAsia="zh-CN"/>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 等有行业特殊情况的除外）；</w:t>
            </w:r>
            <w:r>
              <w:rPr>
                <w:rFonts w:hint="eastAsia" w:ascii="宋体" w:hAnsi="宋体" w:eastAsia="宋体" w:cs="宋体"/>
                <w:color w:val="000000"/>
                <w:kern w:val="0"/>
                <w:sz w:val="24"/>
                <w:szCs w:val="24"/>
                <w:lang w:val="en-US" w:eastAsia="zh-CN" w:bidi="ar"/>
              </w:rPr>
              <w:t xml:space="preserve"> </w:t>
            </w:r>
          </w:p>
          <w:p>
            <w:pPr>
              <w:keepNext w:val="0"/>
              <w:keepLines w:val="0"/>
              <w:pageBreakBefore w:val="0"/>
              <w:widowControl w:val="0"/>
              <w:kinsoku/>
              <w:wordWrap/>
              <w:overflowPunct/>
              <w:topLinePunct w:val="0"/>
              <w:bidi w:val="0"/>
              <w:adjustRightInd w:val="0"/>
              <w:snapToGrid w:val="0"/>
              <w:spacing w:line="440" w:lineRule="exact"/>
              <w:ind w:left="0" w:leftChars="0"/>
              <w:jc w:val="left"/>
              <w:textAlignment w:val="auto"/>
              <w:rPr>
                <w:rFonts w:hint="eastAsia"/>
                <w:sz w:val="24"/>
                <w:szCs w:val="24"/>
              </w:rPr>
            </w:pPr>
            <w:r>
              <w:rPr>
                <w:rFonts w:hint="eastAsia"/>
                <w:sz w:val="24"/>
                <w:szCs w:val="24"/>
                <w:lang w:val="en-US" w:eastAsia="zh-CN"/>
              </w:rPr>
              <w:t>2、</w:t>
            </w:r>
            <w:r>
              <w:rPr>
                <w:rFonts w:hint="eastAsia" w:ascii="宋体" w:hAnsi="宋体" w:cs="宋体"/>
                <w:bCs/>
                <w:sz w:val="24"/>
                <w:szCs w:val="24"/>
              </w:rPr>
              <w:t>如法定代表人参加会议，须提供①“法定代表人身份证明书”原件</w:t>
            </w:r>
            <w:r>
              <w:rPr>
                <w:rFonts w:hint="eastAsia" w:ascii="宋体" w:hAnsi="宋体" w:cs="宋体"/>
                <w:bCs/>
                <w:sz w:val="24"/>
                <w:szCs w:val="24"/>
                <w:lang w:eastAsia="zh-CN"/>
              </w:rPr>
              <w:t>扫描件</w:t>
            </w:r>
            <w:r>
              <w:rPr>
                <w:rFonts w:hint="eastAsia" w:ascii="宋体" w:hAnsi="宋体" w:cs="宋体"/>
                <w:bCs/>
                <w:sz w:val="24"/>
                <w:szCs w:val="24"/>
              </w:rPr>
              <w:t>，②法定代表人身份证原件</w:t>
            </w:r>
            <w:r>
              <w:rPr>
                <w:rFonts w:hint="eastAsia" w:ascii="宋体" w:hAnsi="宋体" w:cs="宋体"/>
                <w:bCs/>
                <w:sz w:val="24"/>
                <w:szCs w:val="24"/>
                <w:lang w:eastAsia="zh-CN"/>
              </w:rPr>
              <w:t>扫描件</w:t>
            </w:r>
            <w:r>
              <w:rPr>
                <w:rFonts w:hint="eastAsia" w:ascii="宋体" w:hAnsi="宋体" w:cs="宋体"/>
                <w:bCs/>
                <w:sz w:val="24"/>
                <w:szCs w:val="24"/>
              </w:rPr>
              <w:t>；如被授权代表参加会议，须提供①“法定代表人授权委托书”原件</w:t>
            </w:r>
            <w:r>
              <w:rPr>
                <w:rFonts w:hint="eastAsia" w:ascii="宋体" w:hAnsi="宋体" w:cs="宋体"/>
                <w:bCs/>
                <w:sz w:val="24"/>
                <w:szCs w:val="24"/>
                <w:lang w:eastAsia="zh-CN"/>
              </w:rPr>
              <w:t>扫描件；</w:t>
            </w:r>
            <w:r>
              <w:rPr>
                <w:rFonts w:hint="eastAsia" w:ascii="宋体" w:hAnsi="宋体" w:cs="宋体"/>
                <w:bCs/>
                <w:sz w:val="24"/>
                <w:szCs w:val="24"/>
                <w:lang w:val="en-US" w:eastAsia="zh-CN"/>
              </w:rPr>
              <w:t>②被授权人身份证原件扫描件</w:t>
            </w:r>
            <w:r>
              <w:rPr>
                <w:rFonts w:hint="eastAsia"/>
                <w:sz w:val="24"/>
                <w:szCs w:val="24"/>
              </w:rPr>
              <w:t>；</w:t>
            </w:r>
          </w:p>
          <w:p>
            <w:pPr>
              <w:pStyle w:val="36"/>
              <w:keepNext w:val="0"/>
              <w:keepLines w:val="0"/>
              <w:pageBreakBefore w:val="0"/>
              <w:widowControl w:val="0"/>
              <w:tabs>
                <w:tab w:val="left" w:pos="975"/>
              </w:tabs>
              <w:kinsoku/>
              <w:wordWrap/>
              <w:overflowPunct/>
              <w:topLinePunct w:val="0"/>
              <w:bidi w:val="0"/>
              <w:spacing w:line="440" w:lineRule="exact"/>
              <w:ind w:left="0" w:leftChars="0"/>
              <w:textAlignment w:val="auto"/>
              <w:rPr>
                <w:rFonts w:hint="default" w:ascii="宋体" w:hAnsi="宋体" w:cs="宋体"/>
                <w:b w:val="0"/>
                <w:bCs/>
                <w:sz w:val="24"/>
                <w:szCs w:val="24"/>
                <w:lang w:val="en-US" w:eastAsia="zh-CN"/>
              </w:rPr>
            </w:pPr>
            <w:r>
              <w:rPr>
                <w:rFonts w:hint="eastAsia"/>
                <w:sz w:val="24"/>
                <w:szCs w:val="24"/>
                <w:lang w:val="en-US" w:eastAsia="zh-CN"/>
              </w:rPr>
              <w:t>3、</w:t>
            </w:r>
            <w:r>
              <w:rPr>
                <w:rFonts w:hint="eastAsia" w:ascii="宋体" w:hAnsi="宋体" w:cs="宋体"/>
                <w:bCs/>
                <w:sz w:val="24"/>
                <w:szCs w:val="24"/>
              </w:rPr>
              <w:t>政府采购供应商信用承诺书</w:t>
            </w:r>
            <w:r>
              <w:rPr>
                <w:rFonts w:hint="eastAsia" w:ascii="宋体" w:hAnsi="宋体" w:cs="宋体"/>
                <w:bCs/>
                <w:sz w:val="24"/>
                <w:szCs w:val="24"/>
                <w:lang w:eastAsia="zh-CN"/>
              </w:rPr>
              <w:t>原件扫描件</w:t>
            </w:r>
            <w:r>
              <w:rPr>
                <w:rFonts w:hint="eastAsia" w:ascii="宋体" w:hAnsi="宋体" w:cs="宋体"/>
                <w:bCs/>
                <w:sz w:val="24"/>
                <w:szCs w:val="24"/>
                <w:lang w:val="en-US" w:eastAsia="zh-CN"/>
              </w:rPr>
              <w:t>.</w:t>
            </w:r>
          </w:p>
          <w:p>
            <w:pPr>
              <w:numPr>
                <w:ilvl w:val="0"/>
                <w:numId w:val="0"/>
              </w:numPr>
              <w:spacing w:line="480" w:lineRule="exact"/>
              <w:ind w:leftChars="0"/>
              <w:rPr>
                <w:rFonts w:hint="eastAsia" w:ascii="宋体" w:hAnsi="宋体" w:eastAsia="宋体" w:cs="宋体"/>
                <w:b/>
                <w:bCs w:val="0"/>
                <w:kern w:val="2"/>
                <w:sz w:val="24"/>
                <w:szCs w:val="24"/>
                <w:highlight w:val="none"/>
                <w:lang w:val="en-US" w:eastAsia="zh-CN" w:bidi="ar-SA"/>
              </w:rPr>
            </w:pPr>
            <w:r>
              <w:rPr>
                <w:rFonts w:hint="eastAsia" w:ascii="宋体" w:hAnsi="宋体" w:eastAsia="宋体" w:cs="宋体"/>
                <w:b/>
                <w:bCs w:val="0"/>
                <w:kern w:val="2"/>
                <w:sz w:val="24"/>
                <w:szCs w:val="24"/>
                <w:lang w:val="en-US" w:eastAsia="zh-CN" w:bidi="ar-SA"/>
              </w:rPr>
              <w:t>注：①未按上述要求提供原件扫描件或提供原件扫描件不全者，则资格审查不合格，取消其报价资格。②若因年检等原因造成证件不全时，须持市级及以上受理机关出具的证明材料，</w:t>
            </w:r>
            <w:r>
              <w:rPr>
                <w:rFonts w:hint="eastAsia" w:ascii="宋体" w:hAnsi="宋体" w:eastAsia="宋体" w:cs="宋体"/>
                <w:b/>
                <w:bCs w:val="0"/>
                <w:kern w:val="2"/>
                <w:sz w:val="24"/>
                <w:szCs w:val="24"/>
                <w:highlight w:val="none"/>
                <w:lang w:val="en-US" w:eastAsia="zh-CN" w:bidi="ar-SA"/>
              </w:rPr>
              <w:t xml:space="preserve">其资格视为有效。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lang w:val="en-US" w:eastAsia="zh-CN"/>
              </w:rPr>
            </w:pPr>
            <w:r>
              <w:rPr>
                <w:rFonts w:hint="eastAsia" w:ascii="宋体" w:hAnsi="宋体" w:eastAsia="宋体" w:cs="宋体"/>
                <w:b/>
                <w:bCs w:val="0"/>
                <w:kern w:val="2"/>
                <w:sz w:val="24"/>
                <w:szCs w:val="24"/>
                <w:lang w:val="en-US" w:eastAsia="zh-CN" w:bidi="ar-SA"/>
              </w:rPr>
              <w:t>本项目实行网上资格审查，各供应商在制作响应文件时，务必在响应文件中资格审查材料部分准备资格审查材料原件扫描件用于资格审查，若因此造成的资格审查材料不全等问题，由供应商自行承担。</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7723"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是否允许供应商将项目非主体、非关键性工作交由他人完成：</w:t>
            </w:r>
            <w:r>
              <w:rPr>
                <w:rFonts w:hint="eastAsia" w:ascii="宋体" w:hAnsi="宋体" w:eastAsia="宋体" w:cs="宋体"/>
                <w:b w:val="0"/>
                <w:bCs/>
                <w:color w:val="auto"/>
                <w:sz w:val="24"/>
                <w:highlight w:val="none"/>
              </w:rPr>
              <w:t>是□ 否</w:t>
            </w:r>
            <w:r>
              <w:rPr>
                <w:rFonts w:hint="eastAsia" w:ascii="宋体" w:hAnsi="宋体" w:eastAsia="宋体" w:cs="宋体"/>
                <w:b w:val="0"/>
                <w:bCs/>
                <w:color w:val="auto"/>
                <w:sz w:val="24"/>
                <w:highlight w:val="none"/>
                <w:lang w:eastAsia="zh-CN"/>
              </w:rPr>
              <w:t>☑</w:t>
            </w:r>
          </w:p>
        </w:tc>
      </w:tr>
      <w:tr>
        <w:tblPrEx>
          <w:shd w:val="clear" w:color="auto" w:fill="auto"/>
          <w:tblCellMar>
            <w:top w:w="0" w:type="dxa"/>
            <w:left w:w="10" w:type="dxa"/>
            <w:bottom w:w="0" w:type="dxa"/>
            <w:right w:w="10" w:type="dxa"/>
          </w:tblCellMar>
        </w:tblPrEx>
        <w:trPr>
          <w:trHeight w:val="467" w:hRule="atLeast"/>
          <w:jc w:val="center"/>
        </w:trPr>
        <w:tc>
          <w:tcPr>
            <w:tcW w:w="8744" w:type="dxa"/>
            <w:gridSpan w:val="2"/>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其他</w:t>
            </w:r>
          </w:p>
        </w:tc>
      </w:tr>
      <w:tr>
        <w:tblPrEx>
          <w:shd w:val="clear" w:color="auto" w:fill="auto"/>
          <w:tblCellMar>
            <w:top w:w="0" w:type="dxa"/>
            <w:left w:w="10" w:type="dxa"/>
            <w:bottom w:w="0" w:type="dxa"/>
            <w:right w:w="10" w:type="dxa"/>
          </w:tblCellMar>
        </w:tblPrEx>
        <w:trPr>
          <w:trHeight w:val="42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7723"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付款途径：</w:t>
            </w:r>
            <w:r>
              <w:rPr>
                <w:rFonts w:hint="eastAsia" w:ascii="宋体" w:hAnsi="宋体" w:eastAsia="宋体" w:cs="宋体"/>
                <w:color w:val="auto"/>
                <w:sz w:val="24"/>
                <w:highlight w:val="none"/>
                <w:lang w:val="en-US" w:eastAsia="zh-CN"/>
              </w:rPr>
              <w:t>电汇</w:t>
            </w:r>
          </w:p>
        </w:tc>
      </w:tr>
      <w:tr>
        <w:tblPrEx>
          <w:shd w:val="clear" w:color="auto" w:fill="auto"/>
          <w:tblCellMar>
            <w:top w:w="0" w:type="dxa"/>
            <w:left w:w="10" w:type="dxa"/>
            <w:bottom w:w="0" w:type="dxa"/>
            <w:right w:w="10" w:type="dxa"/>
          </w:tblCellMar>
        </w:tblPrEx>
        <w:trPr>
          <w:trHeight w:val="60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2</w:t>
            </w:r>
          </w:p>
        </w:tc>
        <w:tc>
          <w:tcPr>
            <w:tcW w:w="7723"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eastAsia="宋体"/>
                <w:lang w:eastAsia="zh-CN"/>
              </w:rPr>
            </w:pPr>
            <w:r>
              <w:rPr>
                <w:rFonts w:hint="eastAsia"/>
                <w:b/>
                <w:bCs/>
                <w:sz w:val="24"/>
                <w:szCs w:val="24"/>
                <w:highlight w:val="none"/>
              </w:rPr>
              <w:t>付</w:t>
            </w:r>
            <w:r>
              <w:rPr>
                <w:rFonts w:hint="eastAsia" w:ascii="宋体" w:hAnsi="宋体" w:eastAsia="宋体" w:cs="宋体"/>
                <w:b/>
                <w:bCs/>
                <w:color w:val="auto"/>
                <w:sz w:val="24"/>
                <w:szCs w:val="24"/>
                <w:highlight w:val="none"/>
              </w:rPr>
              <w:t>款</w:t>
            </w:r>
            <w:r>
              <w:rPr>
                <w:rFonts w:hint="eastAsia" w:ascii="宋体" w:hAnsi="宋体" w:eastAsia="宋体" w:cs="宋体"/>
                <w:b/>
                <w:bCs/>
                <w:color w:val="auto"/>
                <w:sz w:val="24"/>
                <w:highlight w:val="none"/>
              </w:rPr>
              <w:t>方式：</w:t>
            </w:r>
            <w:r>
              <w:rPr>
                <w:rFonts w:hint="eastAsia" w:ascii="宋体" w:hAnsi="宋体" w:eastAsia="宋体" w:cs="宋体"/>
                <w:color w:val="auto"/>
                <w:sz w:val="24"/>
                <w:highlight w:val="none"/>
              </w:rPr>
              <w:t>甲方按月支付给乙方费用，次月</w:t>
            </w:r>
            <w:r>
              <w:rPr>
                <w:rFonts w:hint="eastAsia" w:ascii="宋体" w:hAnsi="宋体" w:eastAsia="宋体" w:cs="宋体"/>
                <w:color w:val="auto"/>
                <w:sz w:val="24"/>
                <w:highlight w:val="none"/>
                <w:lang w:val="en-US" w:eastAsia="zh-CN"/>
              </w:rPr>
              <w:t>10号前</w:t>
            </w:r>
            <w:r>
              <w:rPr>
                <w:rFonts w:hint="eastAsia" w:ascii="宋体" w:hAnsi="宋体" w:eastAsia="宋体" w:cs="宋体"/>
                <w:color w:val="auto"/>
                <w:sz w:val="24"/>
                <w:highlight w:val="none"/>
              </w:rPr>
              <w:t>支付上月费用，具体支付金额，由本合同条款及</w:t>
            </w:r>
            <w:r>
              <w:rPr>
                <w:rFonts w:hint="eastAsia" w:ascii="宋体" w:hAnsi="宋体" w:eastAsia="宋体" w:cs="宋体"/>
                <w:color w:val="auto"/>
                <w:sz w:val="24"/>
                <w:highlight w:val="none"/>
                <w:lang w:val="en-US" w:eastAsia="zh-CN"/>
              </w:rPr>
              <w:t>服务单位</w:t>
            </w:r>
            <w:r>
              <w:rPr>
                <w:rFonts w:hint="eastAsia" w:ascii="宋体" w:hAnsi="宋体" w:eastAsia="宋体" w:cs="宋体"/>
                <w:color w:val="auto"/>
                <w:sz w:val="24"/>
                <w:highlight w:val="none"/>
              </w:rPr>
              <w:t>服务工作质量考核办法共同确定。甲方付款前，乙方须向甲方开具与合同业务相符的增值税普通发票。</w:t>
            </w:r>
          </w:p>
        </w:tc>
      </w:tr>
      <w:tr>
        <w:tblPrEx>
          <w:shd w:val="clear" w:color="auto" w:fill="auto"/>
          <w:tblCellMar>
            <w:top w:w="0" w:type="dxa"/>
            <w:left w:w="10" w:type="dxa"/>
            <w:bottom w:w="0" w:type="dxa"/>
            <w:right w:w="10" w:type="dxa"/>
          </w:tblCellMar>
        </w:tblPrEx>
        <w:trPr>
          <w:trHeight w:val="47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3</w:t>
            </w:r>
          </w:p>
        </w:tc>
        <w:tc>
          <w:tcPr>
            <w:tcW w:w="7723"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highlight w:val="none"/>
                <w:lang w:val="en-US" w:eastAsia="zh-CN"/>
              </w:rPr>
            </w:pPr>
            <w:r>
              <w:rPr>
                <w:rFonts w:hint="eastAsia" w:ascii="宋体" w:hAnsi="宋体" w:eastAsia="宋体" w:cs="宋体"/>
                <w:color w:val="auto"/>
                <w:sz w:val="24"/>
                <w:highlight w:val="none"/>
              </w:rPr>
              <w:t>服务期限：</w:t>
            </w:r>
            <w:r>
              <w:rPr>
                <w:rFonts w:hint="eastAsia" w:ascii="宋体" w:hAnsi="宋体" w:eastAsia="宋体" w:cs="宋体"/>
                <w:color w:val="auto"/>
                <w:sz w:val="24"/>
                <w:highlight w:val="none"/>
                <w:lang w:val="en-US" w:eastAsia="zh-CN"/>
              </w:rPr>
              <w:t>自合同签订之日起3年，合同一年一签。</w:t>
            </w:r>
          </w:p>
        </w:tc>
      </w:tr>
      <w:tr>
        <w:tblPrEx>
          <w:tblCellMar>
            <w:top w:w="0" w:type="dxa"/>
            <w:left w:w="10" w:type="dxa"/>
            <w:bottom w:w="0" w:type="dxa"/>
            <w:right w:w="10" w:type="dxa"/>
          </w:tblCellMar>
        </w:tblPrEx>
        <w:trPr>
          <w:trHeight w:val="470" w:hRule="atLeast"/>
          <w:jc w:val="center"/>
        </w:trPr>
        <w:tc>
          <w:tcPr>
            <w:tcW w:w="1021"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4</w:t>
            </w:r>
          </w:p>
        </w:tc>
        <w:tc>
          <w:tcPr>
            <w:tcW w:w="7723" w:type="dxa"/>
            <w:tcBorders>
              <w:top w:val="single" w:color="000000" w:sz="12" w:space="0"/>
              <w:left w:val="single" w:color="000000" w:sz="12" w:space="0"/>
              <w:bottom w:val="single" w:color="000000" w:sz="12" w:space="0"/>
              <w:right w:val="single" w:color="000000" w:sz="12" w:space="0"/>
            </w:tcBorders>
            <w:shd w:val="clear" w:color="auto" w:fill="auto"/>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highlight w:val="none"/>
                <w:lang w:val="en-US" w:eastAsia="zh-CN"/>
              </w:rPr>
            </w:pPr>
            <w:r>
              <w:rPr>
                <w:rFonts w:hint="eastAsia" w:ascii="宋体" w:hAnsi="宋体" w:eastAsia="宋体" w:cs="宋体"/>
                <w:color w:val="auto"/>
                <w:sz w:val="24"/>
                <w:highlight w:val="none"/>
              </w:rPr>
              <w:t>交付地点：</w:t>
            </w:r>
            <w:r>
              <w:rPr>
                <w:rFonts w:hint="eastAsia" w:ascii="宋体" w:hAnsi="宋体" w:eastAsia="宋体" w:cs="宋体"/>
                <w:color w:val="auto"/>
                <w:sz w:val="24"/>
                <w:highlight w:val="none"/>
                <w:lang w:val="en-US" w:eastAsia="zh-CN"/>
              </w:rPr>
              <w:t>采购人制定地点</w:t>
            </w:r>
          </w:p>
        </w:tc>
      </w:tr>
    </w:tbl>
    <w:p>
      <w:pPr>
        <w:keepNext/>
        <w:keepLines/>
        <w:pageBreakBefore w:val="0"/>
        <w:kinsoku/>
        <w:wordWrap/>
        <w:overflowPunct/>
        <w:topLinePunct w:val="0"/>
        <w:bidi w:val="0"/>
        <w:spacing w:line="560" w:lineRule="exact"/>
        <w:jc w:val="both"/>
        <w:textAlignment w:val="auto"/>
        <w:rPr>
          <w:rFonts w:ascii="宋体" w:hAnsi="宋体" w:eastAsia="宋体" w:cs="宋体"/>
          <w:b/>
          <w:color w:val="auto"/>
          <w:sz w:val="28"/>
          <w:highlight w:val="none"/>
        </w:rPr>
      </w:pPr>
    </w:p>
    <w:p>
      <w:r>
        <w:rPr>
          <w:rFonts w:ascii="宋体" w:hAnsi="宋体" w:eastAsia="宋体" w:cs="宋体"/>
          <w:b/>
          <w:color w:val="auto"/>
          <w:sz w:val="28"/>
          <w:highlight w:val="none"/>
        </w:rPr>
        <w:br w:type="page"/>
      </w:r>
    </w:p>
    <w:p>
      <w:pPr>
        <w:keepNext/>
        <w:keepLines/>
        <w:pageBreakBefore w:val="0"/>
        <w:kinsoku/>
        <w:wordWrap/>
        <w:overflowPunct/>
        <w:topLinePunct w:val="0"/>
        <w:bidi w:val="0"/>
        <w:spacing w:line="560" w:lineRule="exact"/>
        <w:jc w:val="center"/>
        <w:textAlignment w:val="auto"/>
        <w:outlineLvl w:val="1"/>
        <w:rPr>
          <w:rFonts w:ascii="宋体" w:hAnsi="宋体" w:eastAsia="宋体" w:cs="宋体"/>
          <w:b/>
          <w:color w:val="auto"/>
          <w:sz w:val="28"/>
          <w:highlight w:val="none"/>
        </w:rPr>
      </w:pPr>
      <w:bookmarkStart w:id="24" w:name="_Toc19716"/>
      <w:r>
        <w:rPr>
          <w:rFonts w:ascii="宋体" w:hAnsi="宋体" w:eastAsia="宋体" w:cs="宋体"/>
          <w:b/>
          <w:color w:val="auto"/>
          <w:sz w:val="28"/>
          <w:highlight w:val="none"/>
        </w:rPr>
        <w:t>一</w:t>
      </w:r>
      <w:r>
        <w:rPr>
          <w:rFonts w:hint="eastAsia" w:ascii="宋体" w:hAnsi="宋体" w:eastAsia="宋体" w:cs="宋体"/>
          <w:b/>
          <w:color w:val="auto"/>
          <w:sz w:val="28"/>
          <w:highlight w:val="none"/>
          <w:lang w:eastAsia="zh-CN"/>
        </w:rPr>
        <w:t>、</w:t>
      </w:r>
      <w:r>
        <w:rPr>
          <w:rFonts w:ascii="宋体" w:hAnsi="宋体" w:eastAsia="宋体" w:cs="宋体"/>
          <w:b/>
          <w:color w:val="auto"/>
          <w:sz w:val="28"/>
          <w:highlight w:val="none"/>
        </w:rPr>
        <w:t>总 则</w:t>
      </w:r>
      <w:bookmarkEnd w:id="24"/>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25" w:name="_Toc12510"/>
      <w:r>
        <w:rPr>
          <w:rFonts w:ascii="宋体" w:hAnsi="宋体" w:eastAsia="宋体" w:cs="宋体"/>
          <w:b/>
          <w:color w:val="auto"/>
          <w:sz w:val="24"/>
          <w:highlight w:val="none"/>
        </w:rPr>
        <w:t>1.采购人、采购代理机构及供应商</w:t>
      </w:r>
      <w:bookmarkEnd w:id="25"/>
    </w:p>
    <w:p>
      <w:pPr>
        <w:pageBreakBefore w:val="0"/>
        <w:widowControl w:val="0"/>
        <w:tabs>
          <w:tab w:val="left" w:pos="0"/>
        </w:tabs>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1.1采购人：是指依法开展政府采购活动的国家机关、事业单位、团体组织。</w:t>
      </w:r>
    </w:p>
    <w:p>
      <w:pPr>
        <w:pageBreakBefore w:val="0"/>
        <w:widowControl w:val="0"/>
        <w:tabs>
          <w:tab w:val="left" w:pos="0"/>
        </w:tabs>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本项目的采购人见</w:t>
      </w:r>
      <w:r>
        <w:rPr>
          <w:rFonts w:hint="eastAsia" w:ascii="宋体" w:hAnsi="宋体"/>
          <w:b w:val="0"/>
          <w:bCs w:val="0"/>
          <w:color w:val="auto"/>
          <w:sz w:val="24"/>
          <w:highlight w:val="none"/>
          <w:u w:val="single"/>
        </w:rPr>
        <w:t>供应商须知资料表</w:t>
      </w:r>
      <w:r>
        <w:rPr>
          <w:rFonts w:hint="eastAsia" w:ascii="宋体" w:hAnsi="宋体"/>
          <w:b w:val="0"/>
          <w:bCs w:val="0"/>
          <w:color w:val="auto"/>
          <w:sz w:val="24"/>
          <w:highlight w:val="none"/>
        </w:rPr>
        <w:t>。</w:t>
      </w:r>
    </w:p>
    <w:p>
      <w:pPr>
        <w:pageBreakBefore w:val="0"/>
        <w:widowControl w:val="0"/>
        <w:tabs>
          <w:tab w:val="left" w:pos="0"/>
        </w:tabs>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1.2采购代理机构：是指集中采购机构或从事采购代理业务的社会中介机构。本项目的采购代理机构见</w:t>
      </w:r>
      <w:r>
        <w:rPr>
          <w:rFonts w:hint="eastAsia" w:ascii="宋体" w:hAnsi="宋体"/>
          <w:b w:val="0"/>
          <w:bCs w:val="0"/>
          <w:color w:val="auto"/>
          <w:sz w:val="24"/>
          <w:highlight w:val="none"/>
          <w:u w:val="single"/>
        </w:rPr>
        <w:t>供应商须知资料表</w:t>
      </w:r>
      <w:r>
        <w:rPr>
          <w:rFonts w:hint="eastAsia" w:ascii="宋体" w:hAnsi="宋体"/>
          <w:b w:val="0"/>
          <w:bCs w:val="0"/>
          <w:color w:val="auto"/>
          <w:sz w:val="24"/>
          <w:highlight w:val="none"/>
        </w:rPr>
        <w:t>。</w:t>
      </w:r>
    </w:p>
    <w:p>
      <w:pPr>
        <w:pageBreakBefore w:val="0"/>
        <w:widowControl w:val="0"/>
        <w:tabs>
          <w:tab w:val="left" w:pos="0"/>
        </w:tabs>
        <w:kinsoku/>
        <w:wordWrap/>
        <w:overflowPunct/>
        <w:topLinePunct w:val="0"/>
        <w:bidi w:val="0"/>
        <w:snapToGrid/>
        <w:spacing w:line="500" w:lineRule="exact"/>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rPr>
        <w:t>1.3供应商</w:t>
      </w:r>
      <w:r>
        <w:rPr>
          <w:rFonts w:ascii="宋体" w:hAnsi="宋体"/>
          <w:b w:val="0"/>
          <w:bCs w:val="0"/>
          <w:color w:val="auto"/>
          <w:sz w:val="24"/>
          <w:highlight w:val="none"/>
        </w:rPr>
        <w:t>：是指</w:t>
      </w:r>
      <w:r>
        <w:rPr>
          <w:rFonts w:hint="eastAsia" w:ascii="宋体" w:hAnsi="宋体"/>
          <w:b w:val="0"/>
          <w:bCs w:val="0"/>
          <w:color w:val="auto"/>
          <w:sz w:val="24"/>
          <w:highlight w:val="none"/>
          <w:lang w:val="en-US" w:eastAsia="zh-CN"/>
        </w:rPr>
        <w:t>参加响应的</w:t>
      </w:r>
      <w:r>
        <w:rPr>
          <w:rFonts w:ascii="宋体" w:hAnsi="宋体"/>
          <w:b w:val="0"/>
          <w:bCs w:val="0"/>
          <w:color w:val="auto"/>
          <w:sz w:val="24"/>
          <w:highlight w:val="none"/>
        </w:rPr>
        <w:t>法人、其他组织或者自然人。</w:t>
      </w:r>
      <w:r>
        <w:rPr>
          <w:rFonts w:hint="eastAsia" w:ascii="宋体" w:hAnsi="宋体"/>
          <w:b w:val="0"/>
          <w:bCs w:val="0"/>
          <w:color w:val="auto"/>
          <w:sz w:val="24"/>
          <w:highlight w:val="none"/>
        </w:rPr>
        <w:t>潜在供应商</w:t>
      </w:r>
      <w:r>
        <w:rPr>
          <w:rFonts w:ascii="宋体" w:hAnsi="宋体"/>
          <w:b w:val="0"/>
          <w:bCs w:val="0"/>
          <w:color w:val="auto"/>
          <w:sz w:val="24"/>
          <w:highlight w:val="none"/>
        </w:rPr>
        <w:t>：</w:t>
      </w:r>
      <w:r>
        <w:rPr>
          <w:rFonts w:hint="eastAsia" w:ascii="宋体" w:hAnsi="宋体"/>
          <w:b w:val="0"/>
          <w:bCs w:val="0"/>
          <w:color w:val="auto"/>
          <w:sz w:val="24"/>
          <w:highlight w:val="none"/>
        </w:rPr>
        <w:t>以</w:t>
      </w:r>
      <w:r>
        <w:rPr>
          <w:rFonts w:hint="eastAsia" w:ascii="宋体" w:hAnsi="宋体"/>
          <w:b w:val="0"/>
          <w:bCs w:val="0"/>
          <w:color w:val="auto"/>
          <w:sz w:val="24"/>
          <w:highlight w:val="none"/>
          <w:lang w:eastAsia="zh-CN"/>
        </w:rPr>
        <w:t>采购文件</w:t>
      </w:r>
      <w:r>
        <w:rPr>
          <w:rFonts w:hint="eastAsia" w:ascii="宋体" w:hAnsi="宋体"/>
          <w:b w:val="0"/>
          <w:bCs w:val="0"/>
          <w:color w:val="auto"/>
          <w:sz w:val="24"/>
          <w:highlight w:val="none"/>
        </w:rPr>
        <w:t>规定</w:t>
      </w:r>
      <w:r>
        <w:rPr>
          <w:rFonts w:ascii="宋体" w:hAnsi="宋体"/>
          <w:b w:val="0"/>
          <w:bCs w:val="0"/>
          <w:color w:val="auto"/>
          <w:sz w:val="24"/>
          <w:highlight w:val="none"/>
        </w:rPr>
        <w:t>的方式</w:t>
      </w:r>
      <w:r>
        <w:rPr>
          <w:rFonts w:hint="eastAsia" w:ascii="宋体" w:hAnsi="宋体"/>
          <w:b w:val="0"/>
          <w:bCs w:val="0"/>
          <w:color w:val="auto"/>
          <w:sz w:val="24"/>
          <w:highlight w:val="none"/>
        </w:rPr>
        <w:t>获取本项目</w:t>
      </w:r>
      <w:r>
        <w:rPr>
          <w:rFonts w:hint="eastAsia" w:ascii="宋体" w:hAnsi="宋体"/>
          <w:b w:val="0"/>
          <w:bCs w:val="0"/>
          <w:color w:val="auto"/>
          <w:sz w:val="24"/>
          <w:highlight w:val="none"/>
          <w:lang w:val="en-US" w:eastAsia="zh-CN"/>
        </w:rPr>
        <w:t>采购文件</w:t>
      </w:r>
      <w:r>
        <w:rPr>
          <w:rFonts w:ascii="宋体" w:hAnsi="宋体"/>
          <w:b w:val="0"/>
          <w:bCs w:val="0"/>
          <w:color w:val="auto"/>
          <w:sz w:val="24"/>
          <w:highlight w:val="none"/>
        </w:rPr>
        <w:t>的法人、其他组织或者自然人。</w:t>
      </w:r>
    </w:p>
    <w:p>
      <w:pPr>
        <w:pageBreakBefore w:val="0"/>
        <w:widowControl w:val="0"/>
        <w:kinsoku/>
        <w:wordWrap/>
        <w:overflowPunct/>
        <w:topLinePunct w:val="0"/>
        <w:bidi w:val="0"/>
        <w:snapToGrid/>
        <w:spacing w:line="500" w:lineRule="exact"/>
        <w:ind w:left="420" w:left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rPr>
        <w:t>本项目</w:t>
      </w:r>
      <w:r>
        <w:rPr>
          <w:rFonts w:ascii="宋体" w:hAnsi="宋体"/>
          <w:b w:val="0"/>
          <w:bCs w:val="0"/>
          <w:color w:val="auto"/>
          <w:sz w:val="24"/>
          <w:highlight w:val="none"/>
        </w:rPr>
        <w:t>的</w:t>
      </w:r>
      <w:r>
        <w:rPr>
          <w:rFonts w:hint="eastAsia" w:ascii="宋体" w:hAnsi="宋体"/>
          <w:b w:val="0"/>
          <w:bCs w:val="0"/>
          <w:color w:val="auto"/>
          <w:sz w:val="24"/>
          <w:highlight w:val="none"/>
        </w:rPr>
        <w:t>供应商须满足以下条件：</w:t>
      </w:r>
    </w:p>
    <w:p>
      <w:pPr>
        <w:pageBreakBefore w:val="0"/>
        <w:widowControl w:val="0"/>
        <w:tabs>
          <w:tab w:val="left" w:pos="0"/>
        </w:tabs>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1.3.1在中华人民共和国境内注册，能够独立承担民事责任，有生产或供应能力的本国供应商。</w:t>
      </w:r>
    </w:p>
    <w:p>
      <w:pPr>
        <w:pageBreakBefore w:val="0"/>
        <w:widowControl w:val="0"/>
        <w:tabs>
          <w:tab w:val="left" w:pos="0"/>
        </w:tabs>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1.3.2具备《中华人民共和国政府采购法》第二十二条关于供应商条件的规定，遵守本项目采购人本级和上级财政部门政府采购的有关规定。</w:t>
      </w:r>
    </w:p>
    <w:p>
      <w:pPr>
        <w:pageBreakBefore w:val="0"/>
        <w:widowControl w:val="0"/>
        <w:tabs>
          <w:tab w:val="left" w:pos="0"/>
        </w:tabs>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1.3.3以</w:t>
      </w:r>
      <w:r>
        <w:rPr>
          <w:rFonts w:hint="eastAsia" w:ascii="宋体" w:hAnsi="宋体"/>
          <w:b w:val="0"/>
          <w:bCs w:val="0"/>
          <w:color w:val="auto"/>
          <w:sz w:val="24"/>
          <w:highlight w:val="none"/>
          <w:lang w:val="en-US" w:eastAsia="zh-CN"/>
        </w:rPr>
        <w:t>采购文件</w:t>
      </w:r>
      <w:r>
        <w:rPr>
          <w:rFonts w:hint="eastAsia" w:ascii="宋体" w:hAnsi="宋体"/>
          <w:b w:val="0"/>
          <w:bCs w:val="0"/>
          <w:color w:val="auto"/>
          <w:sz w:val="24"/>
          <w:highlight w:val="none"/>
        </w:rPr>
        <w:t>规定的方式获得了本项目的</w:t>
      </w:r>
      <w:r>
        <w:rPr>
          <w:rFonts w:hint="eastAsia" w:ascii="宋体" w:hAnsi="宋体"/>
          <w:b w:val="0"/>
          <w:bCs w:val="0"/>
          <w:color w:val="auto"/>
          <w:sz w:val="24"/>
          <w:highlight w:val="none"/>
          <w:lang w:val="en-US" w:eastAsia="zh-CN"/>
        </w:rPr>
        <w:t>采购文件</w:t>
      </w:r>
      <w:r>
        <w:rPr>
          <w:rFonts w:hint="eastAsia" w:ascii="宋体" w:hAnsi="宋体"/>
          <w:b w:val="0"/>
          <w:bCs w:val="0"/>
          <w:color w:val="auto"/>
          <w:sz w:val="24"/>
          <w:highlight w:val="none"/>
        </w:rPr>
        <w:t>。</w:t>
      </w:r>
    </w:p>
    <w:p>
      <w:pPr>
        <w:pageBreakBefore w:val="0"/>
        <w:widowControl w:val="0"/>
        <w:kinsoku/>
        <w:wordWrap/>
        <w:overflowPunct/>
        <w:topLinePunct w:val="0"/>
        <w:bidi w:val="0"/>
        <w:snapToGrid/>
        <w:spacing w:line="500" w:lineRule="exact"/>
        <w:ind w:left="1320" w:leftChars="200" w:hanging="900" w:hangingChars="375"/>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w:t>
      </w:r>
      <w:r>
        <w:rPr>
          <w:rFonts w:ascii="宋体" w:hAnsi="宋体"/>
          <w:b w:val="0"/>
          <w:bCs w:val="0"/>
          <w:color w:val="auto"/>
          <w:sz w:val="24"/>
          <w:highlight w:val="none"/>
        </w:rPr>
        <w:t>3</w:t>
      </w:r>
      <w:r>
        <w:rPr>
          <w:rFonts w:hint="eastAsia" w:ascii="宋体" w:hAnsi="宋体"/>
          <w:b w:val="0"/>
          <w:bCs w:val="0"/>
          <w:color w:val="auto"/>
          <w:sz w:val="24"/>
          <w:highlight w:val="none"/>
        </w:rPr>
        <w:t>.</w:t>
      </w:r>
      <w:r>
        <w:rPr>
          <w:rFonts w:ascii="宋体" w:hAnsi="宋体"/>
          <w:b w:val="0"/>
          <w:bCs w:val="0"/>
          <w:color w:val="auto"/>
          <w:sz w:val="24"/>
          <w:highlight w:val="none"/>
        </w:rPr>
        <w:t>4</w:t>
      </w:r>
      <w:r>
        <w:rPr>
          <w:rFonts w:hint="eastAsia" w:ascii="宋体" w:hAnsi="宋体"/>
          <w:b w:val="0"/>
          <w:bCs w:val="0"/>
          <w:color w:val="auto"/>
          <w:sz w:val="24"/>
          <w:highlight w:val="none"/>
        </w:rPr>
        <w:t>符合</w:t>
      </w:r>
      <w:r>
        <w:rPr>
          <w:rFonts w:hint="eastAsia" w:ascii="宋体" w:hAnsi="宋体"/>
          <w:b w:val="0"/>
          <w:bCs w:val="0"/>
          <w:color w:val="auto"/>
          <w:sz w:val="24"/>
          <w:highlight w:val="none"/>
          <w:u w:val="single"/>
        </w:rPr>
        <w:t>供应商须知资料表</w:t>
      </w:r>
      <w:r>
        <w:rPr>
          <w:rFonts w:hint="eastAsia" w:ascii="宋体" w:hAnsi="宋体"/>
          <w:b w:val="0"/>
          <w:bCs w:val="0"/>
          <w:color w:val="auto"/>
          <w:sz w:val="24"/>
          <w:highlight w:val="none"/>
        </w:rPr>
        <w:t>中规定的其他</w:t>
      </w:r>
      <w:r>
        <w:rPr>
          <w:rFonts w:hint="eastAsia" w:ascii="宋体" w:hAnsi="宋体"/>
          <w:b w:val="0"/>
          <w:bCs w:val="0"/>
          <w:color w:val="auto"/>
          <w:sz w:val="24"/>
          <w:highlight w:val="none"/>
          <w:lang w:val="en-US" w:eastAsia="zh-CN"/>
        </w:rPr>
        <w:t>资格</w:t>
      </w:r>
      <w:r>
        <w:rPr>
          <w:rFonts w:hint="eastAsia" w:ascii="宋体" w:hAnsi="宋体"/>
          <w:b w:val="0"/>
          <w:bCs w:val="0"/>
          <w:color w:val="auto"/>
          <w:sz w:val="24"/>
          <w:highlight w:val="none"/>
        </w:rPr>
        <w:t>要求。</w:t>
      </w:r>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1.3.5若供应商须知资料表中写明专门面向中小企业采购的，如供应商为非中小企业且所投产品为非中小企业产品，将被认定为</w:t>
      </w:r>
      <w:r>
        <w:rPr>
          <w:rFonts w:hint="eastAsia" w:ascii="宋体" w:hAnsi="宋体"/>
          <w:color w:val="auto"/>
          <w:sz w:val="24"/>
          <w:highlight w:val="none"/>
          <w:lang w:eastAsia="zh-CN"/>
        </w:rPr>
        <w:t>响应无效</w:t>
      </w:r>
      <w:r>
        <w:rPr>
          <w:rFonts w:hint="eastAsia" w:ascii="宋体" w:hAnsi="宋体"/>
          <w:color w:val="auto"/>
          <w:sz w:val="24"/>
          <w:highlight w:val="none"/>
        </w:rPr>
        <w:t>。</w:t>
      </w:r>
    </w:p>
    <w:p>
      <w:pPr>
        <w:pageBreakBefore w:val="0"/>
        <w:widowControl w:val="0"/>
        <w:kinsoku/>
        <w:wordWrap/>
        <w:overflowPunct/>
        <w:topLinePunct w:val="0"/>
        <w:bidi w:val="0"/>
        <w:snapToGrid/>
        <w:spacing w:line="500" w:lineRule="exact"/>
        <w:ind w:firstLine="480" w:firstLineChars="200"/>
        <w:jc w:val="left"/>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1.3.6 本次采购标的所属行业详见供应商须知资料表。</w:t>
      </w:r>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1.4如</w:t>
      </w:r>
      <w:r>
        <w:rPr>
          <w:rFonts w:hint="eastAsia" w:ascii="宋体" w:hAnsi="宋体"/>
          <w:color w:val="auto"/>
          <w:sz w:val="24"/>
          <w:highlight w:val="none"/>
          <w:u w:val="single"/>
        </w:rPr>
        <w:t>供应商须知资料表</w:t>
      </w:r>
      <w:r>
        <w:rPr>
          <w:rFonts w:hint="eastAsia" w:ascii="宋体" w:hAnsi="宋体"/>
          <w:color w:val="auto"/>
          <w:sz w:val="24"/>
          <w:highlight w:val="none"/>
        </w:rPr>
        <w:t>中允许联合体</w:t>
      </w:r>
      <w:r>
        <w:rPr>
          <w:rFonts w:hint="eastAsia" w:ascii="宋体" w:hAnsi="宋体"/>
          <w:color w:val="auto"/>
          <w:sz w:val="24"/>
          <w:highlight w:val="none"/>
          <w:lang w:val="en-US" w:eastAsia="zh-CN"/>
        </w:rPr>
        <w:t>响应</w:t>
      </w:r>
      <w:r>
        <w:rPr>
          <w:rFonts w:hint="eastAsia" w:ascii="宋体" w:hAnsi="宋体"/>
          <w:color w:val="auto"/>
          <w:sz w:val="24"/>
          <w:highlight w:val="none"/>
        </w:rPr>
        <w:t>，对联合体规定如下：</w:t>
      </w:r>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1.4.1两个以上供应商可以组成一个联合体，以一个供应商的身份</w:t>
      </w:r>
      <w:r>
        <w:rPr>
          <w:rFonts w:hint="eastAsia" w:ascii="宋体" w:hAnsi="宋体"/>
          <w:color w:val="auto"/>
          <w:sz w:val="24"/>
          <w:highlight w:val="none"/>
          <w:lang w:val="en-US" w:eastAsia="zh-CN"/>
        </w:rPr>
        <w:t>响应</w:t>
      </w:r>
      <w:r>
        <w:rPr>
          <w:rFonts w:hint="eastAsia" w:ascii="宋体" w:hAnsi="宋体"/>
          <w:color w:val="auto"/>
          <w:sz w:val="24"/>
          <w:highlight w:val="none"/>
        </w:rPr>
        <w:t>。</w:t>
      </w:r>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hint="eastAsia" w:ascii="宋体" w:hAnsi="宋体"/>
          <w:color w:val="auto"/>
          <w:sz w:val="24"/>
          <w:highlight w:val="none"/>
        </w:rPr>
        <w:t>1.4.2</w:t>
      </w:r>
      <w:r>
        <w:rPr>
          <w:rFonts w:hint="eastAsia" w:ascii="宋体" w:hAnsi="宋体"/>
          <w:b w:val="0"/>
          <w:bCs w:val="0"/>
          <w:color w:val="auto"/>
          <w:sz w:val="24"/>
          <w:highlight w:val="none"/>
        </w:rPr>
        <w:t>联合体各方均应符合本须知1.3.2规定。</w:t>
      </w:r>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1.4</w:t>
      </w:r>
      <w:r>
        <w:rPr>
          <w:rFonts w:ascii="宋体" w:hAnsi="宋体"/>
          <w:b w:val="0"/>
          <w:bCs w:val="0"/>
          <w:color w:val="auto"/>
          <w:sz w:val="24"/>
          <w:highlight w:val="none"/>
        </w:rPr>
        <w:t>.</w:t>
      </w:r>
      <w:r>
        <w:rPr>
          <w:rFonts w:hint="eastAsia" w:ascii="宋体" w:hAnsi="宋体"/>
          <w:b w:val="0"/>
          <w:bCs w:val="0"/>
          <w:color w:val="auto"/>
          <w:sz w:val="24"/>
          <w:highlight w:val="none"/>
        </w:rPr>
        <w:t>3采购人根据采购项目对供应商的特殊要求，联合体中至少应当有一方符合相关规定。</w:t>
      </w:r>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1.4</w:t>
      </w:r>
      <w:r>
        <w:rPr>
          <w:rFonts w:ascii="宋体" w:hAnsi="宋体"/>
          <w:b w:val="0"/>
          <w:bCs w:val="0"/>
          <w:color w:val="auto"/>
          <w:sz w:val="24"/>
          <w:highlight w:val="none"/>
        </w:rPr>
        <w:t>.</w:t>
      </w:r>
      <w:r>
        <w:rPr>
          <w:rFonts w:hint="eastAsia" w:ascii="宋体" w:hAnsi="宋体"/>
          <w:b w:val="0"/>
          <w:bCs w:val="0"/>
          <w:color w:val="auto"/>
          <w:sz w:val="24"/>
          <w:highlight w:val="none"/>
        </w:rPr>
        <w:t>4联合体各方应签订共同</w:t>
      </w:r>
      <w:r>
        <w:rPr>
          <w:rFonts w:hint="eastAsia" w:ascii="宋体" w:hAnsi="宋体"/>
          <w:b w:val="0"/>
          <w:bCs w:val="0"/>
          <w:color w:val="auto"/>
          <w:sz w:val="24"/>
          <w:highlight w:val="none"/>
          <w:lang w:val="en-US" w:eastAsia="zh-CN"/>
        </w:rPr>
        <w:t>响应</w:t>
      </w:r>
      <w:r>
        <w:rPr>
          <w:rFonts w:hint="eastAsia" w:ascii="宋体" w:hAnsi="宋体"/>
          <w:b w:val="0"/>
          <w:bCs w:val="0"/>
          <w:color w:val="auto"/>
          <w:sz w:val="24"/>
          <w:highlight w:val="none"/>
        </w:rPr>
        <w:t>协议，明确约定联合体各方承担的工作和相应的责任，并将共同</w:t>
      </w:r>
      <w:r>
        <w:rPr>
          <w:rFonts w:hint="eastAsia" w:ascii="宋体" w:hAnsi="宋体"/>
          <w:b w:val="0"/>
          <w:bCs w:val="0"/>
          <w:color w:val="auto"/>
          <w:sz w:val="24"/>
          <w:highlight w:val="none"/>
          <w:lang w:val="en-US" w:eastAsia="zh-CN"/>
        </w:rPr>
        <w:t>响应</w:t>
      </w:r>
      <w:r>
        <w:rPr>
          <w:rFonts w:hint="eastAsia" w:ascii="宋体" w:hAnsi="宋体"/>
          <w:b w:val="0"/>
          <w:bCs w:val="0"/>
          <w:color w:val="auto"/>
          <w:sz w:val="24"/>
          <w:highlight w:val="none"/>
        </w:rPr>
        <w:t>协议连同</w:t>
      </w:r>
      <w:r>
        <w:rPr>
          <w:rFonts w:hint="eastAsia" w:ascii="宋体" w:hAnsi="宋体"/>
          <w:b w:val="0"/>
          <w:bCs w:val="0"/>
          <w:color w:val="auto"/>
          <w:sz w:val="24"/>
          <w:highlight w:val="none"/>
          <w:lang w:val="en-US" w:eastAsia="zh-CN"/>
        </w:rPr>
        <w:t>响应</w:t>
      </w:r>
      <w:r>
        <w:rPr>
          <w:rFonts w:hint="eastAsia" w:ascii="宋体" w:hAnsi="宋体"/>
          <w:b w:val="0"/>
          <w:bCs w:val="0"/>
          <w:color w:val="auto"/>
          <w:sz w:val="24"/>
          <w:highlight w:val="none"/>
        </w:rPr>
        <w:t>文件一并提交，否则将被认定为</w:t>
      </w:r>
      <w:r>
        <w:rPr>
          <w:rFonts w:hint="eastAsia" w:ascii="宋体" w:hAnsi="宋体"/>
          <w:b w:val="0"/>
          <w:bCs w:val="0"/>
          <w:color w:val="auto"/>
          <w:sz w:val="24"/>
          <w:highlight w:val="none"/>
          <w:lang w:eastAsia="zh-CN"/>
        </w:rPr>
        <w:t>响应无效</w:t>
      </w:r>
      <w:r>
        <w:rPr>
          <w:rFonts w:hint="eastAsia" w:ascii="宋体" w:hAnsi="宋体"/>
          <w:b w:val="0"/>
          <w:bCs w:val="0"/>
          <w:color w:val="auto"/>
          <w:sz w:val="24"/>
          <w:highlight w:val="none"/>
        </w:rPr>
        <w:t>。</w:t>
      </w:r>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hint="eastAsia" w:ascii="宋体" w:hAnsi="宋体"/>
          <w:b w:val="0"/>
          <w:bCs w:val="0"/>
          <w:color w:val="auto"/>
          <w:sz w:val="24"/>
          <w:highlight w:val="none"/>
        </w:rPr>
        <w:t>1.4.5</w:t>
      </w:r>
      <w:r>
        <w:rPr>
          <w:rFonts w:ascii="宋体" w:hAnsi="宋体"/>
          <w:b w:val="0"/>
          <w:bCs w:val="0"/>
          <w:color w:val="auto"/>
          <w:sz w:val="24"/>
          <w:highlight w:val="none"/>
        </w:rPr>
        <w:t>大中型企业</w:t>
      </w:r>
      <w:r>
        <w:rPr>
          <w:rFonts w:hint="eastAsia" w:ascii="宋体" w:hAnsi="宋体"/>
          <w:b w:val="0"/>
          <w:bCs w:val="0"/>
          <w:color w:val="auto"/>
          <w:sz w:val="24"/>
          <w:highlight w:val="none"/>
        </w:rPr>
        <w:t>、</w:t>
      </w:r>
      <w:r>
        <w:rPr>
          <w:rFonts w:ascii="宋体" w:hAnsi="宋体"/>
          <w:b w:val="0"/>
          <w:bCs w:val="0"/>
          <w:color w:val="auto"/>
          <w:sz w:val="24"/>
          <w:highlight w:val="none"/>
        </w:rPr>
        <w:t>其他自然人、法人或者</w:t>
      </w:r>
      <w:r>
        <w:rPr>
          <w:rFonts w:hint="eastAsia" w:ascii="宋体" w:hAnsi="宋体"/>
          <w:b w:val="0"/>
          <w:bCs w:val="0"/>
          <w:color w:val="auto"/>
          <w:sz w:val="24"/>
          <w:highlight w:val="none"/>
        </w:rPr>
        <w:t>其他组织</w:t>
      </w:r>
      <w:r>
        <w:rPr>
          <w:rFonts w:ascii="宋体" w:hAnsi="宋体"/>
          <w:b w:val="0"/>
          <w:bCs w:val="0"/>
          <w:color w:val="auto"/>
          <w:sz w:val="24"/>
          <w:highlight w:val="none"/>
        </w:rPr>
        <w:t>与小型、微型企业组成联合体共同参加</w:t>
      </w:r>
      <w:r>
        <w:rPr>
          <w:rFonts w:hint="eastAsia" w:ascii="宋体" w:hAnsi="宋体"/>
          <w:b w:val="0"/>
          <w:bCs w:val="0"/>
          <w:color w:val="auto"/>
          <w:sz w:val="24"/>
          <w:highlight w:val="none"/>
          <w:lang w:val="en-US" w:eastAsia="zh-CN"/>
        </w:rPr>
        <w:t>响应</w:t>
      </w:r>
      <w:r>
        <w:rPr>
          <w:rFonts w:hint="eastAsia" w:ascii="宋体" w:hAnsi="宋体"/>
          <w:b w:val="0"/>
          <w:bCs w:val="0"/>
          <w:color w:val="auto"/>
          <w:sz w:val="24"/>
          <w:highlight w:val="none"/>
        </w:rPr>
        <w:t>，共同</w:t>
      </w:r>
      <w:r>
        <w:rPr>
          <w:rFonts w:hint="eastAsia" w:ascii="宋体" w:hAnsi="宋体"/>
          <w:b w:val="0"/>
          <w:bCs w:val="0"/>
          <w:color w:val="auto"/>
          <w:sz w:val="24"/>
          <w:highlight w:val="none"/>
          <w:lang w:val="en-US" w:eastAsia="zh-CN"/>
        </w:rPr>
        <w:t>响应</w:t>
      </w:r>
      <w:r>
        <w:rPr>
          <w:rFonts w:ascii="宋体" w:hAnsi="宋体"/>
          <w:b w:val="0"/>
          <w:bCs w:val="0"/>
          <w:color w:val="auto"/>
          <w:sz w:val="24"/>
          <w:highlight w:val="none"/>
        </w:rPr>
        <w:t>协议中</w:t>
      </w:r>
      <w:r>
        <w:rPr>
          <w:rFonts w:hint="eastAsia" w:ascii="宋体" w:hAnsi="宋体"/>
          <w:b w:val="0"/>
          <w:bCs w:val="0"/>
          <w:color w:val="auto"/>
          <w:sz w:val="24"/>
          <w:highlight w:val="none"/>
        </w:rPr>
        <w:t>应写明</w:t>
      </w:r>
      <w:r>
        <w:rPr>
          <w:rFonts w:ascii="宋体" w:hAnsi="宋体"/>
          <w:b w:val="0"/>
          <w:bCs w:val="0"/>
          <w:color w:val="auto"/>
          <w:sz w:val="24"/>
          <w:highlight w:val="none"/>
        </w:rPr>
        <w:t>小型、微型企业的协议合同金额占到</w:t>
      </w:r>
      <w:r>
        <w:rPr>
          <w:rFonts w:hint="eastAsia" w:ascii="宋体" w:hAnsi="宋体"/>
          <w:b w:val="0"/>
          <w:bCs w:val="0"/>
          <w:color w:val="auto"/>
          <w:sz w:val="24"/>
          <w:highlight w:val="none"/>
        </w:rPr>
        <w:t>共同</w:t>
      </w:r>
      <w:r>
        <w:rPr>
          <w:rFonts w:hint="eastAsia" w:ascii="宋体" w:hAnsi="宋体"/>
          <w:b w:val="0"/>
          <w:bCs w:val="0"/>
          <w:color w:val="auto"/>
          <w:sz w:val="24"/>
          <w:highlight w:val="none"/>
          <w:lang w:val="en-US" w:eastAsia="zh-CN"/>
        </w:rPr>
        <w:t>响应</w:t>
      </w:r>
      <w:r>
        <w:rPr>
          <w:rFonts w:ascii="宋体" w:hAnsi="宋体"/>
          <w:b w:val="0"/>
          <w:bCs w:val="0"/>
          <w:color w:val="auto"/>
          <w:sz w:val="24"/>
          <w:highlight w:val="none"/>
        </w:rPr>
        <w:t>协议总金额</w:t>
      </w:r>
      <w:r>
        <w:rPr>
          <w:rFonts w:hint="eastAsia" w:ascii="宋体" w:hAnsi="宋体"/>
          <w:b w:val="0"/>
          <w:bCs w:val="0"/>
          <w:color w:val="auto"/>
          <w:sz w:val="24"/>
          <w:highlight w:val="none"/>
        </w:rPr>
        <w:t>的比例。</w:t>
      </w:r>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ascii="宋体" w:hAnsi="宋体"/>
          <w:b w:val="0"/>
          <w:bCs w:val="0"/>
          <w:color w:val="auto"/>
          <w:sz w:val="24"/>
          <w:highlight w:val="none"/>
        </w:rPr>
        <w:t>1.</w:t>
      </w:r>
      <w:r>
        <w:rPr>
          <w:rFonts w:hint="eastAsia" w:ascii="宋体" w:hAnsi="宋体"/>
          <w:b w:val="0"/>
          <w:bCs w:val="0"/>
          <w:color w:val="auto"/>
          <w:sz w:val="24"/>
          <w:highlight w:val="none"/>
        </w:rPr>
        <w:t>4</w:t>
      </w:r>
      <w:r>
        <w:rPr>
          <w:rFonts w:ascii="宋体" w:hAnsi="宋体"/>
          <w:b w:val="0"/>
          <w:bCs w:val="0"/>
          <w:color w:val="auto"/>
          <w:sz w:val="24"/>
          <w:highlight w:val="none"/>
        </w:rPr>
        <w:t>.</w:t>
      </w:r>
      <w:r>
        <w:rPr>
          <w:rFonts w:hint="eastAsia" w:ascii="宋体" w:hAnsi="宋体"/>
          <w:b w:val="0"/>
          <w:bCs w:val="0"/>
          <w:color w:val="auto"/>
          <w:sz w:val="24"/>
          <w:highlight w:val="none"/>
        </w:rPr>
        <w:t>6以</w:t>
      </w:r>
      <w:r>
        <w:rPr>
          <w:rFonts w:ascii="宋体" w:hAnsi="宋体"/>
          <w:b w:val="0"/>
          <w:bCs w:val="0"/>
          <w:color w:val="auto"/>
          <w:sz w:val="24"/>
          <w:highlight w:val="none"/>
        </w:rPr>
        <w:t>联合体形式参加政府采购活动的，联合体各方不得再</w:t>
      </w:r>
      <w:r>
        <w:rPr>
          <w:rFonts w:hint="eastAsia" w:ascii="宋体" w:hAnsi="宋体"/>
          <w:b w:val="0"/>
          <w:bCs w:val="0"/>
          <w:color w:val="auto"/>
          <w:sz w:val="24"/>
          <w:highlight w:val="none"/>
        </w:rPr>
        <w:t>单独</w:t>
      </w:r>
      <w:r>
        <w:rPr>
          <w:rFonts w:ascii="宋体" w:hAnsi="宋体"/>
          <w:b w:val="0"/>
          <w:bCs w:val="0"/>
          <w:color w:val="auto"/>
          <w:sz w:val="24"/>
          <w:highlight w:val="none"/>
        </w:rPr>
        <w:t>参加或者与其他</w:t>
      </w:r>
      <w:r>
        <w:rPr>
          <w:rFonts w:hint="eastAsia" w:ascii="宋体" w:hAnsi="宋体"/>
          <w:b w:val="0"/>
          <w:bCs w:val="0"/>
          <w:color w:val="auto"/>
          <w:sz w:val="24"/>
          <w:highlight w:val="none"/>
        </w:rPr>
        <w:t>供应商</w:t>
      </w:r>
      <w:r>
        <w:rPr>
          <w:rFonts w:ascii="宋体" w:hAnsi="宋体"/>
          <w:b w:val="0"/>
          <w:bCs w:val="0"/>
          <w:color w:val="auto"/>
          <w:sz w:val="24"/>
          <w:highlight w:val="none"/>
        </w:rPr>
        <w:t>另外组成联合体参加</w:t>
      </w:r>
      <w:r>
        <w:rPr>
          <w:rFonts w:hint="eastAsia" w:ascii="宋体" w:hAnsi="宋体"/>
          <w:b w:val="0"/>
          <w:bCs w:val="0"/>
          <w:color w:val="auto"/>
          <w:sz w:val="24"/>
          <w:highlight w:val="none"/>
        </w:rPr>
        <w:t>本项目</w:t>
      </w:r>
      <w:r>
        <w:rPr>
          <w:rFonts w:hint="eastAsia" w:ascii="宋体" w:hAnsi="宋体"/>
          <w:b w:val="0"/>
          <w:bCs w:val="0"/>
          <w:color w:val="auto"/>
          <w:sz w:val="24"/>
          <w:highlight w:val="none"/>
          <w:lang w:eastAsia="zh-CN"/>
        </w:rPr>
        <w:t>响应</w:t>
      </w:r>
      <w:r>
        <w:rPr>
          <w:rFonts w:hint="eastAsia" w:ascii="宋体" w:hAnsi="宋体"/>
          <w:b w:val="0"/>
          <w:bCs w:val="0"/>
          <w:color w:val="auto"/>
          <w:sz w:val="24"/>
          <w:highlight w:val="none"/>
        </w:rPr>
        <w:t>，否则将被认定为</w:t>
      </w:r>
      <w:r>
        <w:rPr>
          <w:rFonts w:hint="eastAsia" w:ascii="宋体" w:hAnsi="宋体"/>
          <w:b w:val="0"/>
          <w:bCs w:val="0"/>
          <w:color w:val="auto"/>
          <w:sz w:val="24"/>
          <w:highlight w:val="none"/>
          <w:lang w:eastAsia="zh-CN"/>
        </w:rPr>
        <w:t>响应无效</w:t>
      </w:r>
      <w:r>
        <w:rPr>
          <w:rFonts w:ascii="宋体" w:hAnsi="宋体"/>
          <w:b w:val="0"/>
          <w:bCs w:val="0"/>
          <w:color w:val="auto"/>
          <w:sz w:val="24"/>
          <w:highlight w:val="none"/>
        </w:rPr>
        <w:t>。</w:t>
      </w:r>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b w:val="0"/>
          <w:bCs w:val="0"/>
          <w:color w:val="auto"/>
          <w:sz w:val="24"/>
          <w:highlight w:val="none"/>
        </w:rPr>
      </w:pPr>
      <w:r>
        <w:rPr>
          <w:rFonts w:ascii="宋体" w:hAnsi="宋体"/>
          <w:b w:val="0"/>
          <w:bCs w:val="0"/>
          <w:color w:val="auto"/>
          <w:sz w:val="24"/>
          <w:highlight w:val="none"/>
        </w:rPr>
        <w:t>1.</w:t>
      </w:r>
      <w:r>
        <w:rPr>
          <w:rFonts w:hint="eastAsia" w:ascii="宋体" w:hAnsi="宋体"/>
          <w:b w:val="0"/>
          <w:bCs w:val="0"/>
          <w:color w:val="auto"/>
          <w:sz w:val="24"/>
          <w:highlight w:val="none"/>
        </w:rPr>
        <w:t>4.</w:t>
      </w:r>
      <w:r>
        <w:rPr>
          <w:rFonts w:ascii="宋体" w:hAnsi="宋体"/>
          <w:b w:val="0"/>
          <w:bCs w:val="0"/>
          <w:color w:val="auto"/>
          <w:sz w:val="24"/>
          <w:highlight w:val="none"/>
        </w:rPr>
        <w:t>7</w:t>
      </w:r>
      <w:r>
        <w:rPr>
          <w:rFonts w:hint="eastAsia" w:ascii="宋体" w:hAnsi="宋体"/>
          <w:b w:val="0"/>
          <w:bCs w:val="0"/>
          <w:color w:val="auto"/>
          <w:sz w:val="24"/>
          <w:highlight w:val="none"/>
        </w:rPr>
        <w:t>对联合体</w:t>
      </w:r>
      <w:r>
        <w:rPr>
          <w:rFonts w:hint="eastAsia" w:ascii="宋体" w:hAnsi="宋体"/>
          <w:b w:val="0"/>
          <w:bCs w:val="0"/>
          <w:color w:val="auto"/>
          <w:sz w:val="24"/>
          <w:highlight w:val="none"/>
          <w:lang w:eastAsia="zh-CN"/>
        </w:rPr>
        <w:t>响应</w:t>
      </w:r>
      <w:r>
        <w:rPr>
          <w:rFonts w:hint="eastAsia" w:ascii="宋体" w:hAnsi="宋体"/>
          <w:b w:val="0"/>
          <w:bCs w:val="0"/>
          <w:color w:val="auto"/>
          <w:sz w:val="24"/>
          <w:highlight w:val="none"/>
        </w:rPr>
        <w:t>的其他资格要求见供应商须知资料表。</w:t>
      </w:r>
    </w:p>
    <w:p>
      <w:pPr>
        <w:pageBreakBefore w:val="0"/>
        <w:widowControl w:val="0"/>
        <w:kinsoku/>
        <w:wordWrap/>
        <w:overflowPunct/>
        <w:topLinePunct w:val="0"/>
        <w:bidi w:val="0"/>
        <w:snapToGrid/>
        <w:spacing w:line="500" w:lineRule="exact"/>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rPr>
        <w:t>1.5</w:t>
      </w:r>
      <w:r>
        <w:rPr>
          <w:rFonts w:hint="eastAsia" w:ascii="宋体" w:hAnsi="宋体"/>
          <w:b w:val="0"/>
          <w:bCs w:val="0"/>
          <w:color w:val="auto"/>
          <w:sz w:val="24"/>
          <w:highlight w:val="none"/>
          <w:lang w:val="en-US" w:eastAsia="zh-CN"/>
        </w:rPr>
        <w:t>服务</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本项目第三章</w:t>
      </w:r>
      <w:r>
        <w:rPr>
          <w:rFonts w:ascii="宋体" w:hAnsi="宋体"/>
          <w:b w:val="0"/>
          <w:bCs w:val="0"/>
          <w:color w:val="auto"/>
          <w:sz w:val="24"/>
          <w:highlight w:val="none"/>
        </w:rPr>
        <w:t>要求的服务</w:t>
      </w:r>
      <w:r>
        <w:rPr>
          <w:rFonts w:hint="eastAsia" w:ascii="宋体" w:hAnsi="宋体"/>
          <w:b w:val="0"/>
          <w:bCs w:val="0"/>
          <w:color w:val="auto"/>
          <w:sz w:val="24"/>
          <w:highlight w:val="none"/>
        </w:rPr>
        <w:t>需求</w:t>
      </w:r>
    </w:p>
    <w:p>
      <w:pPr>
        <w:pageBreakBefore w:val="0"/>
        <w:widowControl w:val="0"/>
        <w:kinsoku/>
        <w:wordWrap/>
        <w:overflowPunct/>
        <w:topLinePunct w:val="0"/>
        <w:bidi w:val="0"/>
        <w:snapToGrid/>
        <w:spacing w:line="500" w:lineRule="exact"/>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sz w:val="24"/>
          <w:highlight w:val="none"/>
        </w:rPr>
        <w:t>1.</w:t>
      </w:r>
      <w:r>
        <w:rPr>
          <w:rFonts w:hint="eastAsia" w:ascii="宋体" w:hAnsi="宋体"/>
          <w:b w:val="0"/>
          <w:bCs w:val="0"/>
          <w:color w:val="auto"/>
          <w:sz w:val="24"/>
          <w:highlight w:val="none"/>
          <w:lang w:val="en-US" w:eastAsia="zh-CN"/>
        </w:rPr>
        <w:t>6</w:t>
      </w:r>
      <w:r>
        <w:rPr>
          <w:rFonts w:hint="eastAsia" w:ascii="宋体" w:hAnsi="宋体"/>
          <w:b w:val="0"/>
          <w:bCs w:val="0"/>
          <w:color w:val="auto"/>
          <w:sz w:val="24"/>
          <w:highlight w:val="none"/>
        </w:rPr>
        <w:t>单位</w:t>
      </w:r>
      <w:r>
        <w:rPr>
          <w:rFonts w:ascii="宋体" w:hAnsi="宋体"/>
          <w:b w:val="0"/>
          <w:bCs w:val="0"/>
          <w:color w:val="auto"/>
          <w:sz w:val="24"/>
          <w:highlight w:val="none"/>
        </w:rPr>
        <w:t>负责人为同一</w:t>
      </w:r>
      <w:r>
        <w:rPr>
          <w:rFonts w:hint="eastAsia" w:ascii="宋体" w:hAnsi="宋体"/>
          <w:b w:val="0"/>
          <w:bCs w:val="0"/>
          <w:color w:val="auto"/>
          <w:sz w:val="24"/>
          <w:highlight w:val="none"/>
        </w:rPr>
        <w:t>人</w:t>
      </w:r>
      <w:r>
        <w:rPr>
          <w:rFonts w:ascii="宋体" w:hAnsi="宋体"/>
          <w:b w:val="0"/>
          <w:bCs w:val="0"/>
          <w:color w:val="auto"/>
          <w:sz w:val="24"/>
          <w:highlight w:val="none"/>
        </w:rPr>
        <w:t>或者存在</w:t>
      </w:r>
      <w:r>
        <w:rPr>
          <w:rFonts w:hint="eastAsia" w:ascii="宋体" w:hAnsi="宋体"/>
          <w:b w:val="0"/>
          <w:bCs w:val="0"/>
          <w:color w:val="auto"/>
          <w:sz w:val="24"/>
          <w:highlight w:val="none"/>
        </w:rPr>
        <w:t>直接</w:t>
      </w:r>
      <w:r>
        <w:rPr>
          <w:rFonts w:ascii="宋体" w:hAnsi="宋体"/>
          <w:b w:val="0"/>
          <w:bCs w:val="0"/>
          <w:color w:val="auto"/>
          <w:sz w:val="24"/>
          <w:highlight w:val="none"/>
        </w:rPr>
        <w:t>控股、管理</w:t>
      </w:r>
      <w:r>
        <w:rPr>
          <w:rFonts w:hint="eastAsia" w:ascii="宋体" w:hAnsi="宋体"/>
          <w:b w:val="0"/>
          <w:bCs w:val="0"/>
          <w:color w:val="auto"/>
          <w:sz w:val="24"/>
          <w:highlight w:val="none"/>
        </w:rPr>
        <w:t>关系</w:t>
      </w:r>
      <w:r>
        <w:rPr>
          <w:rFonts w:ascii="宋体" w:hAnsi="宋体"/>
          <w:b w:val="0"/>
          <w:bCs w:val="0"/>
          <w:color w:val="auto"/>
          <w:sz w:val="24"/>
          <w:highlight w:val="none"/>
        </w:rPr>
        <w:t>的不同供应商，不得</w:t>
      </w:r>
      <w:r>
        <w:rPr>
          <w:rFonts w:hint="eastAsia" w:ascii="宋体" w:hAnsi="宋体"/>
          <w:b w:val="0"/>
          <w:bCs w:val="0"/>
          <w:color w:val="auto"/>
          <w:sz w:val="24"/>
          <w:highlight w:val="none"/>
        </w:rPr>
        <w:t>参加同一合同项下的政府采购活动，否则将被认定为</w:t>
      </w:r>
      <w:r>
        <w:rPr>
          <w:rFonts w:hint="eastAsia" w:ascii="宋体" w:hAnsi="宋体"/>
          <w:b w:val="0"/>
          <w:bCs w:val="0"/>
          <w:color w:val="auto"/>
          <w:sz w:val="24"/>
          <w:highlight w:val="none"/>
          <w:lang w:eastAsia="zh-CN"/>
        </w:rPr>
        <w:t>响应无效</w:t>
      </w:r>
      <w:r>
        <w:rPr>
          <w:rFonts w:ascii="宋体" w:hAnsi="宋体"/>
          <w:b w:val="0"/>
          <w:bCs w:val="0"/>
          <w:color w:val="auto"/>
          <w:sz w:val="24"/>
          <w:highlight w:val="none"/>
        </w:rPr>
        <w:t>。</w:t>
      </w:r>
    </w:p>
    <w:p>
      <w:pPr>
        <w:pStyle w:val="6"/>
        <w:pageBreakBefore w:val="0"/>
        <w:widowControl w:val="0"/>
        <w:kinsoku/>
        <w:wordWrap/>
        <w:overflowPunct/>
        <w:topLinePunct w:val="0"/>
        <w:bidi w:val="0"/>
        <w:snapToGrid/>
        <w:spacing w:before="0" w:after="0" w:line="500" w:lineRule="exact"/>
        <w:textAlignment w:val="auto"/>
        <w:outlineLvl w:val="2"/>
        <w:rPr>
          <w:rFonts w:hint="eastAsia" w:hAnsi="宋体"/>
          <w:color w:val="auto"/>
          <w:highlight w:val="none"/>
          <w:u w:val="none"/>
        </w:rPr>
      </w:pPr>
      <w:bookmarkStart w:id="26" w:name="_Toc5018"/>
      <w:bookmarkStart w:id="27" w:name="_Toc515647759"/>
      <w:bookmarkStart w:id="28" w:name="_Toc5286"/>
      <w:bookmarkStart w:id="29" w:name="_Toc12139"/>
      <w:bookmarkStart w:id="30" w:name="_Toc6171"/>
      <w:r>
        <w:rPr>
          <w:rFonts w:hint="eastAsia" w:hAnsi="宋体"/>
          <w:color w:val="auto"/>
          <w:highlight w:val="none"/>
          <w:u w:val="none"/>
        </w:rPr>
        <w:t>2.资金来源</w:t>
      </w:r>
      <w:bookmarkEnd w:id="26"/>
      <w:bookmarkEnd w:id="27"/>
      <w:bookmarkEnd w:id="28"/>
      <w:bookmarkEnd w:id="29"/>
      <w:bookmarkEnd w:id="30"/>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1本项目的采购人已获得足以支付本次</w:t>
      </w:r>
      <w:r>
        <w:rPr>
          <w:rFonts w:hint="eastAsia" w:ascii="宋体" w:hAnsi="宋体"/>
          <w:color w:val="auto"/>
          <w:sz w:val="24"/>
          <w:highlight w:val="none"/>
          <w:lang w:eastAsia="zh-CN"/>
        </w:rPr>
        <w:t>采购</w:t>
      </w:r>
      <w:r>
        <w:rPr>
          <w:rFonts w:hint="eastAsia" w:ascii="宋体" w:hAnsi="宋体"/>
          <w:color w:val="auto"/>
          <w:sz w:val="24"/>
          <w:highlight w:val="none"/>
        </w:rPr>
        <w:t>后所签订的合同项下的资金（包括财政性资金和本项目采购</w:t>
      </w:r>
      <w:r>
        <w:rPr>
          <w:rFonts w:ascii="宋体" w:hAnsi="宋体"/>
          <w:color w:val="auto"/>
          <w:sz w:val="24"/>
          <w:highlight w:val="none"/>
        </w:rPr>
        <w:t>中无法</w:t>
      </w:r>
      <w:r>
        <w:rPr>
          <w:rFonts w:hint="eastAsia" w:ascii="宋体" w:hAnsi="宋体"/>
          <w:color w:val="auto"/>
          <w:sz w:val="24"/>
          <w:highlight w:val="none"/>
        </w:rPr>
        <w:t>与</w:t>
      </w:r>
      <w:r>
        <w:rPr>
          <w:rFonts w:ascii="宋体" w:hAnsi="宋体"/>
          <w:color w:val="auto"/>
          <w:sz w:val="24"/>
          <w:highlight w:val="none"/>
        </w:rPr>
        <w:t>财政性资金分割的非财政性资金</w:t>
      </w:r>
      <w:r>
        <w:rPr>
          <w:rFonts w:hint="eastAsia" w:ascii="宋体" w:hAnsi="宋体"/>
          <w:color w:val="auto"/>
          <w:sz w:val="24"/>
          <w:highlight w:val="none"/>
        </w:rPr>
        <w:t>，预采购项目除外）。</w:t>
      </w:r>
    </w:p>
    <w:p>
      <w:pPr>
        <w:pageBreakBefore w:val="0"/>
        <w:widowControl w:val="0"/>
        <w:kinsoku/>
        <w:wordWrap/>
        <w:overflowPunct/>
        <w:topLinePunct w:val="0"/>
        <w:bidi w:val="0"/>
        <w:snapToGrid/>
        <w:spacing w:line="50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2.2项目预算金额和分项或分包最高限价</w:t>
      </w:r>
      <w:r>
        <w:rPr>
          <w:rFonts w:hint="eastAsia" w:ascii="宋体" w:hAnsi="宋体"/>
          <w:color w:val="auto"/>
          <w:sz w:val="24"/>
          <w:highlight w:val="none"/>
          <w:u w:val="single"/>
        </w:rPr>
        <w:t>见供应商须知资料表</w:t>
      </w:r>
      <w:r>
        <w:rPr>
          <w:rFonts w:hint="eastAsia" w:ascii="宋体" w:hAnsi="宋体"/>
          <w:color w:val="auto"/>
          <w:sz w:val="24"/>
          <w:highlight w:val="none"/>
        </w:rPr>
        <w:t>。</w:t>
      </w:r>
    </w:p>
    <w:p>
      <w:pPr>
        <w:pStyle w:val="6"/>
        <w:pageBreakBefore w:val="0"/>
        <w:widowControl w:val="0"/>
        <w:kinsoku/>
        <w:wordWrap/>
        <w:overflowPunct/>
        <w:topLinePunct w:val="0"/>
        <w:bidi w:val="0"/>
        <w:snapToGrid/>
        <w:spacing w:before="0" w:after="0" w:line="500" w:lineRule="exact"/>
        <w:textAlignment w:val="auto"/>
        <w:outlineLvl w:val="2"/>
        <w:rPr>
          <w:rFonts w:hint="eastAsia" w:hAnsi="宋体"/>
          <w:color w:val="auto"/>
          <w:highlight w:val="none"/>
          <w:u w:val="none"/>
        </w:rPr>
      </w:pPr>
      <w:bookmarkStart w:id="31" w:name="_Toc15936"/>
      <w:bookmarkStart w:id="32" w:name="_Toc20526"/>
      <w:bookmarkStart w:id="33" w:name="_Toc12652"/>
      <w:bookmarkStart w:id="34" w:name="_Toc520356145"/>
      <w:bookmarkStart w:id="35" w:name="_Toc515647760"/>
      <w:bookmarkStart w:id="36" w:name="_Toc12029"/>
      <w:r>
        <w:rPr>
          <w:rFonts w:hint="eastAsia" w:hAnsi="宋体"/>
          <w:color w:val="auto"/>
          <w:highlight w:val="none"/>
          <w:u w:val="none"/>
        </w:rPr>
        <w:t>3.</w:t>
      </w:r>
      <w:r>
        <w:rPr>
          <w:rFonts w:hint="eastAsia" w:hAnsi="宋体"/>
          <w:color w:val="auto"/>
          <w:highlight w:val="none"/>
          <w:u w:val="none"/>
          <w:lang w:val="en-US" w:eastAsia="zh-CN"/>
        </w:rPr>
        <w:t>响应</w:t>
      </w:r>
      <w:r>
        <w:rPr>
          <w:rFonts w:hint="eastAsia" w:hAnsi="宋体"/>
          <w:color w:val="auto"/>
          <w:highlight w:val="none"/>
          <w:u w:val="none"/>
        </w:rPr>
        <w:t>费用</w:t>
      </w:r>
      <w:bookmarkEnd w:id="31"/>
      <w:bookmarkEnd w:id="32"/>
      <w:bookmarkEnd w:id="33"/>
      <w:bookmarkEnd w:id="34"/>
      <w:bookmarkEnd w:id="35"/>
      <w:bookmarkEnd w:id="36"/>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不论</w:t>
      </w:r>
      <w:r>
        <w:rPr>
          <w:rFonts w:hint="eastAsia" w:ascii="宋体" w:hAnsi="宋体"/>
          <w:color w:val="auto"/>
          <w:sz w:val="24"/>
          <w:highlight w:val="none"/>
          <w:lang w:val="en-US" w:eastAsia="zh-CN"/>
        </w:rPr>
        <w:t>磋商</w:t>
      </w:r>
      <w:r>
        <w:rPr>
          <w:rFonts w:hint="eastAsia" w:ascii="宋体" w:hAnsi="宋体"/>
          <w:color w:val="auto"/>
          <w:sz w:val="24"/>
          <w:highlight w:val="none"/>
        </w:rPr>
        <w:t>的结果如何，供应商应承担所有与准备和参加</w:t>
      </w:r>
      <w:r>
        <w:rPr>
          <w:rFonts w:hint="eastAsia" w:ascii="宋体" w:hAnsi="宋体"/>
          <w:color w:val="auto"/>
          <w:sz w:val="24"/>
          <w:highlight w:val="none"/>
          <w:lang w:eastAsia="zh-CN"/>
        </w:rPr>
        <w:t>响应</w:t>
      </w:r>
      <w:r>
        <w:rPr>
          <w:rFonts w:hint="eastAsia" w:ascii="宋体" w:hAnsi="宋体"/>
          <w:color w:val="auto"/>
          <w:sz w:val="24"/>
          <w:highlight w:val="none"/>
        </w:rPr>
        <w:t>有关的费用。</w:t>
      </w:r>
    </w:p>
    <w:p>
      <w:pPr>
        <w:pStyle w:val="6"/>
        <w:pageBreakBefore w:val="0"/>
        <w:widowControl w:val="0"/>
        <w:kinsoku/>
        <w:wordWrap/>
        <w:overflowPunct/>
        <w:topLinePunct w:val="0"/>
        <w:bidi w:val="0"/>
        <w:snapToGrid/>
        <w:spacing w:before="0" w:after="0" w:line="500" w:lineRule="exact"/>
        <w:textAlignment w:val="auto"/>
        <w:outlineLvl w:val="2"/>
        <w:rPr>
          <w:rFonts w:hint="eastAsia" w:hAnsi="宋体"/>
          <w:color w:val="auto"/>
          <w:highlight w:val="none"/>
          <w:u w:val="none"/>
        </w:rPr>
      </w:pPr>
      <w:bookmarkStart w:id="37" w:name="_Toc1729"/>
      <w:bookmarkStart w:id="38" w:name="_Toc16092"/>
      <w:bookmarkStart w:id="39" w:name="_Toc6116"/>
      <w:bookmarkStart w:id="40" w:name="_Toc515647761"/>
      <w:bookmarkStart w:id="41" w:name="_Toc4463"/>
      <w:r>
        <w:rPr>
          <w:rFonts w:hint="eastAsia" w:hAnsi="宋体"/>
          <w:color w:val="auto"/>
          <w:highlight w:val="none"/>
          <w:u w:val="none"/>
        </w:rPr>
        <w:t>4.适用法律</w:t>
      </w:r>
      <w:bookmarkEnd w:id="37"/>
      <w:bookmarkEnd w:id="38"/>
      <w:bookmarkEnd w:id="39"/>
      <w:bookmarkEnd w:id="40"/>
      <w:bookmarkEnd w:id="41"/>
    </w:p>
    <w:p>
      <w:pPr>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本项目采购人、</w:t>
      </w:r>
      <w:r>
        <w:rPr>
          <w:rFonts w:ascii="宋体" w:hAnsi="宋体"/>
          <w:color w:val="auto"/>
          <w:sz w:val="24"/>
          <w:highlight w:val="none"/>
        </w:rPr>
        <w:t>采购代理机构</w:t>
      </w:r>
      <w:r>
        <w:rPr>
          <w:rFonts w:hint="eastAsia" w:ascii="宋体" w:hAnsi="宋体"/>
          <w:color w:val="auto"/>
          <w:sz w:val="24"/>
          <w:highlight w:val="none"/>
        </w:rPr>
        <w:t>、供应商、</w:t>
      </w:r>
      <w:r>
        <w:rPr>
          <w:rFonts w:hint="eastAsia" w:ascii="宋体" w:hAnsi="宋体"/>
          <w:color w:val="auto"/>
          <w:sz w:val="24"/>
          <w:highlight w:val="none"/>
          <w:lang w:val="en-US" w:eastAsia="zh-CN"/>
        </w:rPr>
        <w:t>磋商小组</w:t>
      </w:r>
      <w:r>
        <w:rPr>
          <w:rFonts w:hint="eastAsia" w:ascii="宋体" w:hAnsi="宋体"/>
          <w:color w:val="auto"/>
          <w:sz w:val="24"/>
          <w:highlight w:val="none"/>
        </w:rPr>
        <w:t>的相关行为均受《中华人民共和国政府采购法》、《</w:t>
      </w:r>
      <w:r>
        <w:rPr>
          <w:rFonts w:ascii="宋体" w:hAnsi="宋体"/>
          <w:color w:val="auto"/>
          <w:sz w:val="24"/>
          <w:highlight w:val="none"/>
        </w:rPr>
        <w:t>中华人民共和国政府采购法实施条例》</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《政府采购竞争性磋商采购方式管理暂行办法》</w:t>
      </w:r>
      <w:r>
        <w:rPr>
          <w:rFonts w:hint="eastAsia" w:ascii="宋体" w:hAnsi="宋体"/>
          <w:color w:val="auto"/>
          <w:sz w:val="24"/>
          <w:highlight w:val="none"/>
        </w:rPr>
        <w:t>及本项目本级</w:t>
      </w:r>
      <w:r>
        <w:rPr>
          <w:rFonts w:ascii="宋体" w:hAnsi="宋体"/>
          <w:color w:val="auto"/>
          <w:sz w:val="24"/>
          <w:highlight w:val="none"/>
        </w:rPr>
        <w:t>和上级财政部门</w:t>
      </w:r>
      <w:r>
        <w:rPr>
          <w:rFonts w:hint="eastAsia" w:ascii="宋体" w:hAnsi="宋体"/>
          <w:color w:val="auto"/>
          <w:sz w:val="24"/>
          <w:highlight w:val="none"/>
        </w:rPr>
        <w:t>政府采购有关规定的约束和保护。</w:t>
      </w:r>
    </w:p>
    <w:p>
      <w:pPr>
        <w:keepNext/>
        <w:keepLines/>
        <w:pageBreakBefore w:val="0"/>
        <w:kinsoku/>
        <w:wordWrap/>
        <w:overflowPunct/>
        <w:topLinePunct w:val="0"/>
        <w:bidi w:val="0"/>
        <w:spacing w:line="560" w:lineRule="exact"/>
        <w:ind w:left="565" w:hanging="540"/>
        <w:jc w:val="center"/>
        <w:textAlignment w:val="auto"/>
        <w:outlineLvl w:val="1"/>
        <w:rPr>
          <w:rFonts w:hint="eastAsia" w:ascii="宋体" w:hAnsi="宋体" w:eastAsia="宋体" w:cs="宋体"/>
          <w:b/>
          <w:color w:val="auto"/>
          <w:sz w:val="28"/>
          <w:highlight w:val="none"/>
          <w:lang w:eastAsia="zh-CN"/>
        </w:rPr>
      </w:pPr>
      <w:bookmarkStart w:id="42" w:name="_Toc25494"/>
      <w:r>
        <w:rPr>
          <w:rFonts w:ascii="宋体" w:hAnsi="宋体" w:eastAsia="宋体" w:cs="宋体"/>
          <w:b/>
          <w:color w:val="auto"/>
          <w:sz w:val="28"/>
          <w:highlight w:val="none"/>
        </w:rPr>
        <w:t>二</w:t>
      </w:r>
      <w:r>
        <w:rPr>
          <w:rFonts w:hint="eastAsia" w:ascii="宋体" w:hAnsi="宋体" w:eastAsia="宋体" w:cs="宋体"/>
          <w:b/>
          <w:color w:val="auto"/>
          <w:sz w:val="28"/>
          <w:highlight w:val="none"/>
          <w:lang w:eastAsia="zh-CN"/>
        </w:rPr>
        <w:t>、采购文件</w:t>
      </w:r>
      <w:bookmarkEnd w:id="42"/>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43" w:name="_Toc15078"/>
      <w:r>
        <w:rPr>
          <w:rFonts w:ascii="宋体" w:hAnsi="宋体" w:eastAsia="宋体" w:cs="宋体"/>
          <w:b/>
          <w:color w:val="auto"/>
          <w:sz w:val="24"/>
          <w:highlight w:val="none"/>
        </w:rPr>
        <w:t>5.</w:t>
      </w:r>
      <w:r>
        <w:rPr>
          <w:rFonts w:hint="eastAsia" w:ascii="宋体" w:hAnsi="宋体" w:eastAsia="宋体" w:cs="宋体"/>
          <w:b/>
          <w:color w:val="auto"/>
          <w:sz w:val="24"/>
          <w:highlight w:val="none"/>
          <w:lang w:eastAsia="zh-CN"/>
        </w:rPr>
        <w:t>采购文件</w:t>
      </w:r>
      <w:r>
        <w:rPr>
          <w:rFonts w:ascii="宋体" w:hAnsi="宋体" w:eastAsia="宋体" w:cs="宋体"/>
          <w:b/>
          <w:color w:val="auto"/>
          <w:sz w:val="24"/>
          <w:highlight w:val="none"/>
        </w:rPr>
        <w:t>构成</w:t>
      </w:r>
      <w:bookmarkEnd w:id="43"/>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5.1</w:t>
      </w:r>
      <w:r>
        <w:rPr>
          <w:rFonts w:hint="eastAsia" w:ascii="宋体" w:hAnsi="宋体" w:eastAsia="宋体" w:cs="宋体"/>
          <w:color w:val="auto"/>
          <w:sz w:val="24"/>
          <w:highlight w:val="none"/>
          <w:lang w:val="en-US" w:eastAsia="zh-CN"/>
        </w:rPr>
        <w:t>采购</w:t>
      </w:r>
      <w:r>
        <w:rPr>
          <w:rFonts w:ascii="宋体" w:hAnsi="宋体" w:eastAsia="宋体" w:cs="宋体"/>
          <w:color w:val="auto"/>
          <w:sz w:val="24"/>
          <w:highlight w:val="none"/>
        </w:rPr>
        <w:t>文件共</w:t>
      </w:r>
      <w:r>
        <w:rPr>
          <w:rFonts w:hint="eastAsia" w:ascii="宋体" w:hAnsi="宋体" w:eastAsia="宋体" w:cs="宋体"/>
          <w:color w:val="auto"/>
          <w:sz w:val="24"/>
          <w:highlight w:val="none"/>
          <w:lang w:val="en-US" w:eastAsia="zh-CN"/>
        </w:rPr>
        <w:t>六</w:t>
      </w:r>
      <w:r>
        <w:rPr>
          <w:rFonts w:ascii="宋体" w:hAnsi="宋体" w:eastAsia="宋体" w:cs="宋体"/>
          <w:color w:val="auto"/>
          <w:sz w:val="24"/>
          <w:highlight w:val="none"/>
        </w:rPr>
        <w:t>章，内容如下：</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第一章 采购邀请</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 xml:space="preserve">第二章 </w:t>
      </w:r>
      <w:r>
        <w:rPr>
          <w:rFonts w:hint="eastAsia" w:ascii="宋体" w:hAnsi="宋体"/>
          <w:color w:val="auto"/>
          <w:sz w:val="24"/>
          <w:highlight w:val="none"/>
        </w:rPr>
        <w:t>供应商须知</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highlight w:val="none"/>
        </w:rPr>
      </w:pPr>
      <w:r>
        <w:rPr>
          <w:rFonts w:hint="eastAsia" w:ascii="宋体" w:hAnsi="宋体"/>
          <w:color w:val="auto"/>
          <w:sz w:val="24"/>
          <w:highlight w:val="none"/>
          <w:lang w:val="en-US" w:eastAsia="zh-CN"/>
        </w:rPr>
        <w:t xml:space="preserve">第三章 </w:t>
      </w:r>
      <w:r>
        <w:rPr>
          <w:rFonts w:ascii="宋体" w:hAnsi="宋体" w:eastAsia="宋体" w:cs="宋体"/>
          <w:color w:val="auto"/>
          <w:sz w:val="24"/>
          <w:highlight w:val="none"/>
        </w:rPr>
        <w:t>服务需求</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color w:val="auto"/>
          <w:highlight w:val="none"/>
        </w:rPr>
      </w:pPr>
      <w:r>
        <w:rPr>
          <w:rFonts w:hint="eastAsia" w:ascii="宋体" w:hAnsi="宋体"/>
          <w:color w:val="auto"/>
          <w:sz w:val="24"/>
          <w:highlight w:val="none"/>
          <w:lang w:val="en-US" w:eastAsia="zh-CN"/>
        </w:rPr>
        <w:t xml:space="preserve">第四章 </w:t>
      </w:r>
      <w:r>
        <w:rPr>
          <w:rFonts w:hint="eastAsia" w:ascii="宋体" w:hAnsi="宋体" w:cs="宋体"/>
          <w:color w:val="auto"/>
          <w:sz w:val="24"/>
          <w:highlight w:val="none"/>
        </w:rPr>
        <w:t>评审方法和标准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Times New Roman"/>
          <w:b w:val="0"/>
          <w:color w:val="auto"/>
          <w:kern w:val="2"/>
          <w:sz w:val="24"/>
          <w:szCs w:val="24"/>
          <w:highlight w:val="none"/>
          <w:u w:val="none"/>
          <w:lang w:val="en-US" w:eastAsia="zh-CN" w:bidi="ar-SA"/>
        </w:rPr>
      </w:pPr>
      <w:r>
        <w:rPr>
          <w:rFonts w:hint="eastAsia" w:ascii="宋体" w:hAnsi="宋体"/>
          <w:color w:val="auto"/>
          <w:sz w:val="24"/>
          <w:highlight w:val="none"/>
          <w:lang w:val="en-US" w:eastAsia="zh-CN"/>
        </w:rPr>
        <w:t xml:space="preserve">第五章 </w:t>
      </w:r>
      <w:r>
        <w:rPr>
          <w:rFonts w:hint="eastAsia" w:ascii="宋体" w:hAnsi="宋体"/>
          <w:color w:val="auto"/>
          <w:sz w:val="24"/>
          <w:highlight w:val="none"/>
        </w:rPr>
        <w:t>响应文件格式</w:t>
      </w:r>
      <w:r>
        <w:rPr>
          <w:rFonts w:hint="eastAsia" w:ascii="宋体" w:hAnsi="宋体"/>
          <w:color w:val="auto"/>
          <w:sz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Times New Roman"/>
          <w:b w:val="0"/>
          <w:color w:val="auto"/>
          <w:kern w:val="2"/>
          <w:sz w:val="24"/>
          <w:szCs w:val="24"/>
          <w:highlight w:val="none"/>
          <w:u w:val="none"/>
          <w:lang w:val="en-US" w:eastAsia="zh-CN" w:bidi="ar-SA"/>
        </w:rPr>
      </w:pPr>
      <w:r>
        <w:rPr>
          <w:rFonts w:hint="eastAsia" w:ascii="宋体" w:hAnsi="宋体"/>
          <w:color w:val="auto"/>
          <w:sz w:val="24"/>
          <w:highlight w:val="none"/>
          <w:lang w:val="en-US" w:eastAsia="zh-CN"/>
        </w:rPr>
        <w:t xml:space="preserve">第六章 </w:t>
      </w:r>
      <w:r>
        <w:rPr>
          <w:rFonts w:hint="eastAsia" w:hAnsi="宋体" w:cs="Times New Roman"/>
          <w:b w:val="0"/>
          <w:color w:val="auto"/>
          <w:kern w:val="2"/>
          <w:sz w:val="24"/>
          <w:szCs w:val="24"/>
          <w:highlight w:val="none"/>
          <w:u w:val="none"/>
          <w:lang w:val="en-US" w:eastAsia="zh-CN" w:bidi="ar-SA"/>
        </w:rPr>
        <w:t>政府采购合同格式</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5.2</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中有不一致的，有澄清的部分以最终的澄清更正内容为准；未澄清的，以</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为准；供应商须知资料表不涉及的内容，以编排在后的描述为准。</w:t>
      </w:r>
    </w:p>
    <w:p>
      <w:pPr>
        <w:pageBreakBefore w:val="0"/>
        <w:widowControl w:val="0"/>
        <w:tabs>
          <w:tab w:val="left" w:pos="0"/>
        </w:tabs>
        <w:kinsoku/>
        <w:wordWrap/>
        <w:overflowPunct/>
        <w:topLinePunct w:val="0"/>
        <w:bidi w:val="0"/>
        <w:snapToGrid/>
        <w:spacing w:line="500" w:lineRule="exact"/>
        <w:ind w:left="2" w:firstLine="480" w:firstLineChars="200"/>
        <w:textAlignment w:val="auto"/>
        <w:rPr>
          <w:b w:val="0"/>
          <w:bCs w:val="0"/>
          <w:color w:val="auto"/>
          <w:highlight w:val="none"/>
        </w:rPr>
      </w:pPr>
      <w:r>
        <w:rPr>
          <w:rFonts w:hint="eastAsia" w:ascii="宋体" w:hAnsi="宋体"/>
          <w:b w:val="0"/>
          <w:bCs w:val="0"/>
          <w:color w:val="auto"/>
          <w:sz w:val="24"/>
          <w:highlight w:val="none"/>
        </w:rPr>
        <w:t>注：如有最新的答疑后</w:t>
      </w:r>
      <w:r>
        <w:rPr>
          <w:rFonts w:hint="eastAsia" w:ascii="宋体" w:hAnsi="宋体"/>
          <w:b w:val="0"/>
          <w:bCs w:val="0"/>
          <w:color w:val="auto"/>
          <w:sz w:val="24"/>
          <w:highlight w:val="none"/>
          <w:lang w:val="en-US" w:eastAsia="zh-CN"/>
        </w:rPr>
        <w:t>采购文件</w:t>
      </w:r>
      <w:r>
        <w:rPr>
          <w:rFonts w:hint="eastAsia" w:ascii="宋体" w:hAnsi="宋体"/>
          <w:b w:val="0"/>
          <w:bCs w:val="0"/>
          <w:color w:val="auto"/>
          <w:sz w:val="24"/>
          <w:highlight w:val="none"/>
        </w:rPr>
        <w:t>（文件格式为</w:t>
      </w:r>
      <w:r>
        <w:rPr>
          <w:rFonts w:ascii="宋体" w:hAnsi="宋体"/>
          <w:b w:val="0"/>
          <w:bCs w:val="0"/>
          <w:color w:val="auto"/>
          <w:sz w:val="24"/>
          <w:highlight w:val="none"/>
        </w:rPr>
        <w:t>.</w:t>
      </w:r>
      <w:r>
        <w:rPr>
          <w:rFonts w:hint="eastAsia" w:ascii="宋体" w:hAnsi="宋体"/>
          <w:b w:val="0"/>
          <w:bCs w:val="0"/>
          <w:color w:val="auto"/>
          <w:sz w:val="24"/>
          <w:highlight w:val="none"/>
          <w:lang w:val="en-US" w:eastAsia="zh-CN"/>
        </w:rPr>
        <w:t>zbcf</w:t>
      </w:r>
      <w:r>
        <w:rPr>
          <w:rFonts w:hint="eastAsia" w:ascii="宋体" w:hAnsi="宋体"/>
          <w:b w:val="0"/>
          <w:bCs w:val="0"/>
          <w:color w:val="auto"/>
          <w:sz w:val="24"/>
          <w:highlight w:val="none"/>
        </w:rPr>
        <w:t>，供应商必须下载并使用该文件制作电子</w:t>
      </w:r>
      <w:r>
        <w:rPr>
          <w:rFonts w:hint="eastAsia" w:ascii="宋体" w:hAnsi="宋体"/>
          <w:b w:val="0"/>
          <w:bCs w:val="0"/>
          <w:color w:val="auto"/>
          <w:sz w:val="24"/>
          <w:highlight w:val="none"/>
          <w:lang w:eastAsia="zh-CN"/>
        </w:rPr>
        <w:t>响应</w:t>
      </w:r>
      <w:r>
        <w:rPr>
          <w:rFonts w:hint="eastAsia" w:ascii="宋体" w:hAnsi="宋体"/>
          <w:b w:val="0"/>
          <w:bCs w:val="0"/>
          <w:color w:val="auto"/>
          <w:sz w:val="24"/>
          <w:highlight w:val="none"/>
        </w:rPr>
        <w:t>文件，否则将无法完成上传、参与</w:t>
      </w:r>
      <w:r>
        <w:rPr>
          <w:rFonts w:hint="eastAsia" w:ascii="宋体" w:hAnsi="宋体"/>
          <w:b w:val="0"/>
          <w:bCs w:val="0"/>
          <w:color w:val="auto"/>
          <w:sz w:val="24"/>
          <w:highlight w:val="none"/>
          <w:lang w:eastAsia="zh-CN"/>
        </w:rPr>
        <w:t>响应</w:t>
      </w:r>
      <w:r>
        <w:rPr>
          <w:rFonts w:hint="eastAsia" w:ascii="宋体" w:hAnsi="宋体"/>
          <w:b w:val="0"/>
          <w:bCs w:val="0"/>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5.3供应商应认真阅读</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所有的事项、格式、条款和技术规范等。如供应商没有按照</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要求提交全部资料，或者响应文件没有对</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在各方面都做出实质性响应，</w:t>
      </w:r>
      <w:r>
        <w:rPr>
          <w:rFonts w:hint="eastAsia" w:ascii="宋体" w:hAnsi="宋体" w:cs="宋体"/>
          <w:b w:val="0"/>
          <w:bCs w:val="0"/>
          <w:color w:val="auto"/>
          <w:sz w:val="24"/>
          <w:highlight w:val="none"/>
          <w:lang w:val="en-US" w:eastAsia="zh-CN"/>
        </w:rPr>
        <w:t>会</w:t>
      </w:r>
      <w:r>
        <w:rPr>
          <w:rFonts w:hint="eastAsia" w:ascii="宋体" w:hAnsi="宋体" w:cs="宋体"/>
          <w:b w:val="0"/>
          <w:bCs w:val="0"/>
          <w:color w:val="auto"/>
          <w:sz w:val="24"/>
          <w:highlight w:val="none"/>
        </w:rPr>
        <w:t>导致其响应文件将被认定为无效，该风险由供应商承担</w:t>
      </w:r>
      <w:r>
        <w:rPr>
          <w:rFonts w:ascii="宋体" w:hAnsi="宋体" w:eastAsia="宋体" w:cs="宋体"/>
          <w:b w:val="0"/>
          <w:bCs w:val="0"/>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hint="eastAsia" w:ascii="宋体" w:hAnsi="宋体" w:cs="宋体"/>
          <w:color w:val="auto"/>
          <w:sz w:val="24"/>
          <w:highlight w:val="none"/>
        </w:rPr>
      </w:pPr>
      <w:r>
        <w:rPr>
          <w:rFonts w:ascii="宋体" w:hAnsi="宋体" w:eastAsia="宋体" w:cs="宋体"/>
          <w:color w:val="auto"/>
          <w:sz w:val="24"/>
          <w:highlight w:val="none"/>
        </w:rPr>
        <w:t>5.4</w:t>
      </w:r>
      <w:r>
        <w:rPr>
          <w:rFonts w:hint="eastAsia" w:ascii="宋体" w:hAnsi="宋体" w:eastAsia="宋体" w:cs="宋体"/>
          <w:color w:val="auto"/>
          <w:sz w:val="24"/>
          <w:highlight w:val="none"/>
          <w:lang w:val="en-US" w:eastAsia="zh-CN"/>
        </w:rPr>
        <w:t>采购文件</w:t>
      </w:r>
      <w:r>
        <w:rPr>
          <w:rFonts w:hint="eastAsia" w:ascii="宋体" w:hAnsi="宋体" w:cs="宋体"/>
          <w:color w:val="auto"/>
          <w:sz w:val="24"/>
          <w:highlight w:val="none"/>
        </w:rPr>
        <w:t>以中文印制，且以中文为准。</w:t>
      </w:r>
    </w:p>
    <w:p>
      <w:pPr>
        <w:pageBreakBefore w:val="0"/>
        <w:widowControl w:val="0"/>
        <w:kinsoku/>
        <w:wordWrap/>
        <w:overflowPunct/>
        <w:topLinePunct w:val="0"/>
        <w:bidi w:val="0"/>
        <w:snapToGrid/>
        <w:spacing w:line="500" w:lineRule="exact"/>
        <w:ind w:firstLine="480" w:firstLineChars="200"/>
        <w:jc w:val="left"/>
        <w:textAlignment w:val="auto"/>
        <w:rPr>
          <w:color w:val="auto"/>
          <w:highlight w:val="none"/>
        </w:rPr>
      </w:pPr>
      <w:r>
        <w:rPr>
          <w:rFonts w:hint="eastAsia" w:ascii="宋体" w:hAnsi="宋体"/>
          <w:color w:val="auto"/>
          <w:sz w:val="24"/>
          <w:highlight w:val="none"/>
        </w:rPr>
        <w:t>5.5除非有特殊要求，</w:t>
      </w:r>
      <w:r>
        <w:rPr>
          <w:rFonts w:hint="eastAsia" w:ascii="宋体" w:hAnsi="宋体" w:eastAsia="宋体" w:cs="宋体"/>
          <w:color w:val="auto"/>
          <w:sz w:val="24"/>
          <w:highlight w:val="none"/>
          <w:lang w:val="en-US" w:eastAsia="zh-CN"/>
        </w:rPr>
        <w:t>采购文件</w:t>
      </w:r>
      <w:r>
        <w:rPr>
          <w:rFonts w:hint="eastAsia" w:ascii="宋体" w:hAnsi="宋体"/>
          <w:color w:val="auto"/>
          <w:sz w:val="24"/>
          <w:highlight w:val="none"/>
        </w:rPr>
        <w:t>不单独提供</w:t>
      </w:r>
      <w:r>
        <w:rPr>
          <w:rFonts w:hint="eastAsia" w:ascii="宋体" w:hAnsi="宋体"/>
          <w:color w:val="auto"/>
          <w:sz w:val="24"/>
          <w:highlight w:val="none"/>
          <w:lang w:val="en-US" w:eastAsia="zh-CN"/>
        </w:rPr>
        <w:t>服务</w:t>
      </w:r>
      <w:r>
        <w:rPr>
          <w:rFonts w:hint="eastAsia" w:ascii="宋体" w:hAnsi="宋体"/>
          <w:color w:val="auto"/>
          <w:sz w:val="24"/>
          <w:highlight w:val="none"/>
        </w:rPr>
        <w:t>地的自然环境、气候条件、公用设施等情况，供应商被视为熟悉上述与履行合同有关的一切情况。</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6</w:t>
      </w:r>
      <w:r>
        <w:rPr>
          <w:rFonts w:ascii="宋体" w:hAnsi="宋体" w:eastAsia="宋体" w:cs="宋体"/>
          <w:color w:val="auto"/>
          <w:sz w:val="24"/>
          <w:highlight w:val="none"/>
        </w:rPr>
        <w:t>现场考察或者答疑会及相关事项见</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采购文件</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规定组织踏勘现场的，采购人或采购代理机构按规定的时间、地点组织供应商踏勘项目现场，踏勘现场所发生的费用由供应商承担。</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.2采购人向供应商提供的有关现场的资料和数据，是采购人现有的能使供应商利用的资料，采购人对供应商由此而做出的推论、理解和结论概不负责。</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3供应商经过采购人的允许，可进入项目现场踏勘，对服务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7</w:t>
      </w:r>
      <w:r>
        <w:rPr>
          <w:rFonts w:ascii="宋体" w:hAnsi="宋体" w:eastAsia="宋体" w:cs="宋体"/>
          <w:color w:val="auto"/>
          <w:sz w:val="24"/>
          <w:highlight w:val="none"/>
        </w:rPr>
        <w:t xml:space="preserve"> 除</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中另有规定外，</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所使用的时间单位“天”、“日”均指日历天，且所有时刻均为北京时间。</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8</w:t>
      </w:r>
      <w:r>
        <w:rPr>
          <w:rFonts w:ascii="宋体" w:hAnsi="宋体" w:eastAsia="宋体" w:cs="宋体"/>
          <w:color w:val="auto"/>
          <w:sz w:val="24"/>
          <w:highlight w:val="none"/>
        </w:rPr>
        <w:t>参与</w:t>
      </w:r>
      <w:r>
        <w:rPr>
          <w:rFonts w:hint="eastAsia" w:ascii="宋体" w:hAnsi="宋体" w:eastAsia="宋体" w:cs="宋体"/>
          <w:color w:val="auto"/>
          <w:sz w:val="24"/>
          <w:highlight w:val="none"/>
        </w:rPr>
        <w:t>磋商</w:t>
      </w:r>
      <w:r>
        <w:rPr>
          <w:rFonts w:ascii="宋体" w:hAnsi="宋体" w:eastAsia="宋体" w:cs="宋体"/>
          <w:color w:val="auto"/>
          <w:sz w:val="24"/>
          <w:highlight w:val="none"/>
        </w:rPr>
        <w:t>活动的各方应对</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和响应文件中的商业和技术等秘密保密，违者应对由此造成的后果承担法律责任。</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5.</w:t>
      </w:r>
      <w:r>
        <w:rPr>
          <w:rFonts w:hint="eastAsia" w:ascii="宋体" w:hAnsi="宋体" w:eastAsia="宋体" w:cs="宋体"/>
          <w:color w:val="auto"/>
          <w:sz w:val="24"/>
          <w:highlight w:val="none"/>
          <w:lang w:val="en-US" w:eastAsia="zh-CN"/>
        </w:rPr>
        <w:t>9</w:t>
      </w:r>
      <w:r>
        <w:rPr>
          <w:rFonts w:ascii="宋体" w:hAnsi="宋体" w:eastAsia="宋体" w:cs="宋体"/>
          <w:color w:val="auto"/>
          <w:sz w:val="24"/>
          <w:highlight w:val="none"/>
        </w:rPr>
        <w:t>供应商应自行承担其准备和参加</w:t>
      </w:r>
      <w:r>
        <w:rPr>
          <w:rFonts w:hint="eastAsia" w:ascii="宋体" w:hAnsi="宋体" w:eastAsia="宋体" w:cs="宋体"/>
          <w:color w:val="auto"/>
          <w:sz w:val="24"/>
          <w:highlight w:val="none"/>
        </w:rPr>
        <w:t>磋商</w:t>
      </w:r>
      <w:r>
        <w:rPr>
          <w:rFonts w:ascii="宋体" w:hAnsi="宋体" w:eastAsia="宋体" w:cs="宋体"/>
          <w:color w:val="auto"/>
          <w:sz w:val="24"/>
          <w:highlight w:val="none"/>
        </w:rPr>
        <w:t>活动发生的所有费用。不论</w:t>
      </w:r>
      <w:r>
        <w:rPr>
          <w:rFonts w:hint="eastAsia" w:ascii="宋体" w:hAnsi="宋体" w:eastAsia="宋体" w:cs="宋体"/>
          <w:color w:val="auto"/>
          <w:sz w:val="24"/>
          <w:highlight w:val="none"/>
        </w:rPr>
        <w:t>磋商</w:t>
      </w:r>
      <w:r>
        <w:rPr>
          <w:rFonts w:ascii="宋体" w:hAnsi="宋体" w:eastAsia="宋体" w:cs="宋体"/>
          <w:color w:val="auto"/>
          <w:sz w:val="24"/>
          <w:highlight w:val="none"/>
        </w:rPr>
        <w:t>结果如何，采购人及采购代理机构在任何情况下无义务也无责任承担这些费用。</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44" w:name="_Toc23805"/>
      <w:r>
        <w:rPr>
          <w:rFonts w:ascii="宋体" w:hAnsi="宋体" w:eastAsia="宋体" w:cs="宋体"/>
          <w:b/>
          <w:color w:val="auto"/>
          <w:sz w:val="24"/>
          <w:highlight w:val="none"/>
        </w:rPr>
        <w:t>6.</w:t>
      </w:r>
      <w:r>
        <w:rPr>
          <w:rFonts w:hint="eastAsia" w:ascii="宋体" w:hAnsi="宋体" w:eastAsia="宋体" w:cs="宋体"/>
          <w:b/>
          <w:color w:val="auto"/>
          <w:sz w:val="24"/>
          <w:highlight w:val="none"/>
          <w:lang w:val="en-US" w:eastAsia="zh-CN"/>
        </w:rPr>
        <w:t>响应</w:t>
      </w:r>
      <w:r>
        <w:rPr>
          <w:rFonts w:ascii="宋体" w:hAnsi="宋体" w:eastAsia="宋体" w:cs="宋体"/>
          <w:b/>
          <w:color w:val="auto"/>
          <w:sz w:val="24"/>
          <w:highlight w:val="none"/>
        </w:rPr>
        <w:t>文件的澄清与修改</w:t>
      </w:r>
      <w:bookmarkEnd w:id="44"/>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6.1</w:t>
      </w:r>
      <w:r>
        <w:rPr>
          <w:rFonts w:hint="eastAsia" w:ascii="宋体" w:hAnsi="宋体" w:eastAsia="宋体" w:cs="宋体"/>
          <w:color w:val="auto"/>
          <w:sz w:val="24"/>
          <w:highlight w:val="none"/>
        </w:rPr>
        <w:t>采购人可主动地或在解答供应商提出的澄清问题时对</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澄清或修改。采购代理机构将以发布澄清（更正）公告的方式，澄清或修改</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同时</w:t>
      </w:r>
      <w:r>
        <w:rPr>
          <w:rFonts w:hint="eastAsia" w:ascii="宋体" w:hAnsi="宋体" w:eastAsia="宋体" w:cs="宋体"/>
          <w:color w:val="auto"/>
          <w:sz w:val="24"/>
          <w:highlight w:val="none"/>
        </w:rPr>
        <w:t>采购代理机构可将澄清或修改内容以电子形式上传至系统中，澄清或修改</w:t>
      </w:r>
      <w:r>
        <w:rPr>
          <w:rFonts w:ascii="宋体" w:hAnsi="宋体" w:eastAsia="宋体" w:cs="宋体"/>
          <w:color w:val="auto"/>
          <w:sz w:val="24"/>
          <w:highlight w:val="none"/>
        </w:rPr>
        <w:t>内容</w:t>
      </w:r>
      <w:r>
        <w:rPr>
          <w:rFonts w:hint="eastAsia" w:ascii="宋体" w:hAnsi="宋体" w:eastAsia="宋体" w:cs="宋体"/>
          <w:color w:val="auto"/>
          <w:sz w:val="24"/>
          <w:highlight w:val="none"/>
        </w:rPr>
        <w:t>作</w:t>
      </w:r>
      <w:r>
        <w:rPr>
          <w:rFonts w:ascii="宋体" w:hAnsi="宋体" w:eastAsia="宋体" w:cs="宋体"/>
          <w:color w:val="auto"/>
          <w:sz w:val="24"/>
          <w:highlight w:val="none"/>
        </w:rPr>
        <w:t>为</w:t>
      </w:r>
      <w:r>
        <w:rPr>
          <w:rFonts w:hint="eastAsia" w:ascii="宋体" w:hAnsi="宋体" w:eastAsia="宋体" w:cs="宋体"/>
          <w:color w:val="auto"/>
          <w:sz w:val="24"/>
          <w:highlight w:val="none"/>
        </w:rPr>
        <w:t>磋商</w:t>
      </w:r>
      <w:r>
        <w:rPr>
          <w:rFonts w:ascii="宋体" w:hAnsi="宋体" w:eastAsia="宋体" w:cs="宋体"/>
          <w:color w:val="auto"/>
          <w:sz w:val="24"/>
          <w:highlight w:val="none"/>
        </w:rPr>
        <w:t>文件</w:t>
      </w:r>
      <w:r>
        <w:rPr>
          <w:rFonts w:hint="eastAsia" w:ascii="宋体" w:hAnsi="宋体" w:eastAsia="宋体" w:cs="宋体"/>
          <w:color w:val="auto"/>
          <w:sz w:val="24"/>
          <w:highlight w:val="none"/>
        </w:rPr>
        <w:t>的</w:t>
      </w:r>
      <w:r>
        <w:rPr>
          <w:rFonts w:ascii="宋体" w:hAnsi="宋体" w:eastAsia="宋体" w:cs="宋体"/>
          <w:color w:val="auto"/>
          <w:sz w:val="24"/>
          <w:highlight w:val="none"/>
        </w:rPr>
        <w:t>组成部分</w:t>
      </w:r>
      <w:r>
        <w:rPr>
          <w:rFonts w:hint="eastAsia" w:ascii="宋体" w:hAnsi="宋体" w:eastAsia="宋体" w:cs="宋体"/>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6.2 澄清或者修改的内容可能影响响应文件编制的，采购代理机构</w:t>
      </w:r>
      <w:r>
        <w:rPr>
          <w:rFonts w:hint="eastAsia" w:ascii="宋体" w:hAnsi="宋体" w:eastAsia="宋体" w:cs="宋体"/>
          <w:color w:val="auto"/>
          <w:sz w:val="24"/>
          <w:highlight w:val="none"/>
          <w:lang w:val="en-GB"/>
        </w:rPr>
        <w:t>应当在</w:t>
      </w:r>
      <w:r>
        <w:rPr>
          <w:rFonts w:hint="eastAsia" w:ascii="宋体" w:hAnsi="宋体" w:eastAsia="宋体" w:cs="宋体"/>
          <w:color w:val="auto"/>
          <w:sz w:val="24"/>
          <w:highlight w:val="none"/>
        </w:rPr>
        <w:t>提交首次响应文件</w:t>
      </w:r>
      <w:r>
        <w:rPr>
          <w:rFonts w:hint="eastAsia" w:ascii="宋体" w:hAnsi="宋体" w:eastAsia="宋体" w:cs="宋体"/>
          <w:color w:val="auto"/>
          <w:sz w:val="24"/>
          <w:highlight w:val="none"/>
          <w:lang w:val="en-GB"/>
        </w:rPr>
        <w:t>截止时间至少</w:t>
      </w: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GB"/>
        </w:rPr>
        <w:t>日前，</w:t>
      </w:r>
      <w:r>
        <w:rPr>
          <w:rFonts w:ascii="宋体" w:hAnsi="宋体" w:eastAsia="宋体" w:cs="宋体"/>
          <w:color w:val="auto"/>
          <w:sz w:val="24"/>
          <w:highlight w:val="none"/>
        </w:rPr>
        <w:t>采购代理机构</w:t>
      </w:r>
      <w:r>
        <w:rPr>
          <w:rFonts w:hint="eastAsia" w:ascii="宋体" w:hAnsi="宋体" w:eastAsia="宋体" w:cs="宋体"/>
          <w:color w:val="auto"/>
          <w:sz w:val="24"/>
          <w:highlight w:val="none"/>
        </w:rPr>
        <w:t>可以通过书面通知或法定公告等形式通知所有获取</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的潜在供应商，并对其具有约束力。</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供应商可登录系统查看澄清或修改内容。因潜在供应商原因或通讯线路故障导致逾期送达或无法送达，采购代理机构不因此承担任何责任，有关采购活动可以继续有效进行。</w:t>
      </w:r>
    </w:p>
    <w:p>
      <w:pPr>
        <w:pageBreakBefore w:val="0"/>
        <w:widowControl w:val="0"/>
        <w:kinsoku/>
        <w:wordWrap/>
        <w:overflowPunct/>
        <w:topLinePunct w:val="0"/>
        <w:bidi w:val="0"/>
        <w:snapToGri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6.3 供应商认为</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存在歧视性条款或不合理要求等需要澄清的，应在规定时间内提出。供应商可登录淄博市公共资源交易网</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“投标人系统”使用“网上提问”中的“新增提问”提出异议。如在规定时间内，供应商对</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中的各项条款未提出异议，即认为同意和接受</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w:t>
      </w:r>
    </w:p>
    <w:p>
      <w:pPr>
        <w:keepNext/>
        <w:keepLines/>
        <w:pageBreakBefore w:val="0"/>
        <w:widowControl w:val="0"/>
        <w:tabs>
          <w:tab w:val="left" w:pos="900"/>
        </w:tabs>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45" w:name="_Toc27219"/>
      <w:r>
        <w:rPr>
          <w:rFonts w:ascii="宋体" w:hAnsi="宋体" w:eastAsia="宋体" w:cs="宋体"/>
          <w:b/>
          <w:color w:val="auto"/>
          <w:sz w:val="24"/>
          <w:highlight w:val="none"/>
        </w:rPr>
        <w:t>7.提交响应文件截止时间的顺延</w:t>
      </w:r>
      <w:bookmarkEnd w:id="45"/>
    </w:p>
    <w:p>
      <w:pPr>
        <w:pageBreakBefore w:val="0"/>
        <w:widowControl w:val="0"/>
        <w:kinsoku/>
        <w:wordWrap/>
        <w:overflowPunct/>
        <w:topLinePunct w:val="0"/>
        <w:bidi w:val="0"/>
        <w:snapToGrid/>
        <w:spacing w:before="0" w:line="500" w:lineRule="exact"/>
        <w:ind w:firstLine="480" w:firstLineChars="200"/>
        <w:jc w:val="both"/>
        <w:textAlignment w:val="auto"/>
        <w:outlineLvl w:val="9"/>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澄清或者修改的内容可能影响响应文件编制的，采购人、采购代理机构</w:t>
      </w:r>
      <w:r>
        <w:rPr>
          <w:rFonts w:hint="eastAsia" w:ascii="宋体" w:hAnsi="宋体" w:eastAsia="宋体" w:cs="宋体"/>
          <w:b w:val="0"/>
          <w:color w:val="auto"/>
          <w:kern w:val="0"/>
          <w:sz w:val="24"/>
          <w:szCs w:val="24"/>
          <w:highlight w:val="none"/>
          <w:lang w:val="en-GB" w:eastAsia="zh-CN" w:bidi="ar-SA"/>
        </w:rPr>
        <w:t>应当在</w:t>
      </w:r>
      <w:r>
        <w:rPr>
          <w:rFonts w:hint="eastAsia" w:ascii="宋体" w:hAnsi="宋体" w:eastAsia="宋体" w:cs="宋体"/>
          <w:b w:val="0"/>
          <w:color w:val="auto"/>
          <w:kern w:val="0"/>
          <w:sz w:val="24"/>
          <w:szCs w:val="24"/>
          <w:highlight w:val="none"/>
          <w:lang w:val="en-US" w:eastAsia="zh-CN" w:bidi="ar-SA"/>
        </w:rPr>
        <w:t>提交首次响应文件</w:t>
      </w:r>
      <w:r>
        <w:rPr>
          <w:rFonts w:hint="eastAsia" w:ascii="宋体" w:hAnsi="宋体" w:eastAsia="宋体" w:cs="宋体"/>
          <w:b w:val="0"/>
          <w:color w:val="auto"/>
          <w:kern w:val="0"/>
          <w:sz w:val="24"/>
          <w:szCs w:val="24"/>
          <w:highlight w:val="none"/>
          <w:lang w:val="en-GB" w:eastAsia="zh-CN" w:bidi="ar-SA"/>
        </w:rPr>
        <w:t>截止</w:t>
      </w:r>
      <w:r>
        <w:rPr>
          <w:rFonts w:hint="eastAsia" w:ascii="宋体" w:hAnsi="宋体" w:eastAsia="宋体" w:cs="宋体"/>
          <w:b w:val="0"/>
          <w:color w:val="auto"/>
          <w:kern w:val="0"/>
          <w:sz w:val="24"/>
          <w:szCs w:val="24"/>
          <w:highlight w:val="none"/>
          <w:lang w:val="en-US" w:eastAsia="zh-CN" w:bidi="ar-SA"/>
        </w:rPr>
        <w:t>时间至少5</w:t>
      </w:r>
      <w:r>
        <w:rPr>
          <w:rFonts w:hint="eastAsia" w:ascii="宋体" w:hAnsi="宋体" w:eastAsia="宋体" w:cs="宋体"/>
          <w:b w:val="0"/>
          <w:color w:val="auto"/>
          <w:kern w:val="0"/>
          <w:sz w:val="24"/>
          <w:szCs w:val="24"/>
          <w:highlight w:val="none"/>
          <w:lang w:val="en-GB" w:eastAsia="zh-CN" w:bidi="ar-SA"/>
        </w:rPr>
        <w:t>日前，</w:t>
      </w:r>
      <w:r>
        <w:rPr>
          <w:rFonts w:hint="eastAsia" w:ascii="宋体" w:hAnsi="宋体" w:eastAsia="宋体" w:cs="宋体"/>
          <w:b w:val="0"/>
          <w:color w:val="auto"/>
          <w:kern w:val="0"/>
          <w:sz w:val="24"/>
          <w:szCs w:val="24"/>
          <w:highlight w:val="none"/>
          <w:lang w:val="en-US" w:eastAsia="zh-CN" w:bidi="ar-SA"/>
        </w:rPr>
        <w:t>以书面形式通知所有获取采购文件的供应商，不足5日的，采购人、采购代理机构应当顺延提交首次响应文件截止时间。</w:t>
      </w:r>
    </w:p>
    <w:p>
      <w:pPr>
        <w:rPr>
          <w:rFonts w:hint="default"/>
          <w:lang w:val="en-US" w:eastAsia="zh-CN"/>
        </w:rPr>
      </w:pPr>
    </w:p>
    <w:p>
      <w:pPr>
        <w:keepNext/>
        <w:keepLines/>
        <w:pageBreakBefore w:val="0"/>
        <w:tabs>
          <w:tab w:val="left" w:pos="900"/>
        </w:tabs>
        <w:kinsoku/>
        <w:wordWrap/>
        <w:overflowPunct/>
        <w:topLinePunct w:val="0"/>
        <w:bidi w:val="0"/>
        <w:spacing w:line="560" w:lineRule="exact"/>
        <w:ind w:left="565" w:hanging="540"/>
        <w:jc w:val="center"/>
        <w:textAlignment w:val="auto"/>
        <w:outlineLvl w:val="1"/>
        <w:rPr>
          <w:rFonts w:ascii="宋体" w:hAnsi="宋体" w:eastAsia="宋体" w:cs="宋体"/>
          <w:b/>
          <w:color w:val="auto"/>
          <w:sz w:val="28"/>
          <w:highlight w:val="none"/>
        </w:rPr>
      </w:pPr>
      <w:bookmarkStart w:id="46" w:name="_Toc25713"/>
      <w:r>
        <w:rPr>
          <w:rFonts w:ascii="宋体" w:hAnsi="宋体" w:eastAsia="宋体" w:cs="宋体"/>
          <w:b/>
          <w:color w:val="auto"/>
          <w:sz w:val="28"/>
          <w:highlight w:val="none"/>
        </w:rPr>
        <w:t>三</w:t>
      </w:r>
      <w:r>
        <w:rPr>
          <w:rFonts w:hint="eastAsia" w:ascii="宋体" w:hAnsi="宋体" w:eastAsia="宋体" w:cs="宋体"/>
          <w:b/>
          <w:color w:val="auto"/>
          <w:sz w:val="28"/>
          <w:highlight w:val="none"/>
          <w:lang w:eastAsia="zh-CN"/>
        </w:rPr>
        <w:t>、</w:t>
      </w:r>
      <w:r>
        <w:rPr>
          <w:rFonts w:ascii="宋体" w:hAnsi="宋体" w:eastAsia="宋体" w:cs="宋体"/>
          <w:b/>
          <w:color w:val="auto"/>
          <w:sz w:val="28"/>
          <w:highlight w:val="none"/>
        </w:rPr>
        <w:t>响应文件的编制</w:t>
      </w:r>
      <w:bookmarkEnd w:id="46"/>
    </w:p>
    <w:p>
      <w:pPr>
        <w:keepNext/>
        <w:keepLines/>
        <w:pageBreakBefore w:val="0"/>
        <w:widowControl w:val="0"/>
        <w:kinsoku/>
        <w:wordWrap/>
        <w:overflowPunct/>
        <w:topLinePunct w:val="0"/>
        <w:autoSpaceDE/>
        <w:autoSpaceDN/>
        <w:bidi w:val="0"/>
        <w:adjustRightInd/>
        <w:snapToGrid/>
        <w:spacing w:line="500" w:lineRule="exact"/>
        <w:jc w:val="left"/>
        <w:textAlignment w:val="auto"/>
        <w:outlineLvl w:val="2"/>
        <w:rPr>
          <w:rFonts w:ascii="宋体" w:hAnsi="宋体" w:eastAsia="宋体" w:cs="宋体"/>
          <w:b/>
          <w:color w:val="auto"/>
          <w:sz w:val="24"/>
          <w:highlight w:val="none"/>
        </w:rPr>
      </w:pPr>
      <w:bookmarkStart w:id="47" w:name="_Toc22757"/>
      <w:r>
        <w:rPr>
          <w:rFonts w:ascii="宋体" w:hAnsi="宋体" w:eastAsia="宋体" w:cs="宋体"/>
          <w:b/>
          <w:color w:val="auto"/>
          <w:sz w:val="24"/>
          <w:highlight w:val="none"/>
        </w:rPr>
        <w:t>8. 编制要求</w:t>
      </w:r>
      <w:bookmarkEnd w:id="47"/>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color w:val="auto"/>
          <w:sz w:val="24"/>
          <w:highlight w:val="none"/>
        </w:rPr>
        <w:t>8.1供应</w:t>
      </w:r>
      <w:r>
        <w:rPr>
          <w:rFonts w:ascii="宋体" w:hAnsi="宋体" w:eastAsia="宋体" w:cs="宋体"/>
          <w:b w:val="0"/>
          <w:bCs w:val="0"/>
          <w:color w:val="auto"/>
          <w:sz w:val="24"/>
          <w:highlight w:val="none"/>
        </w:rPr>
        <w:t>商应</w:t>
      </w:r>
      <w:r>
        <w:rPr>
          <w:rFonts w:ascii="宋体" w:hAnsi="宋体" w:cs="宋体"/>
          <w:b w:val="0"/>
          <w:bCs w:val="0"/>
          <w:color w:val="auto"/>
          <w:kern w:val="0"/>
          <w:sz w:val="24"/>
          <w:highlight w:val="none"/>
        </w:rPr>
        <w:t>仔细</w:t>
      </w:r>
      <w:r>
        <w:rPr>
          <w:rFonts w:ascii="宋体" w:hAnsi="宋体" w:eastAsia="宋体" w:cs="宋体"/>
          <w:b w:val="0"/>
          <w:bCs w:val="0"/>
          <w:color w:val="auto"/>
          <w:sz w:val="24"/>
          <w:highlight w:val="none"/>
        </w:rPr>
        <w:t>阅读</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的所有内容，按照</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的要求及格式编制响应文件，并保证其真实性。若供应商没有按照</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要求提交全部实质性要求资料或对实质性要求未作响应是供应商的风险，其响应文件将会被拒绝。</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b w:val="0"/>
          <w:bCs w:val="0"/>
          <w:color w:val="auto"/>
          <w:kern w:val="0"/>
          <w:sz w:val="24"/>
          <w:highlight w:val="none"/>
        </w:rPr>
      </w:pPr>
      <w:r>
        <w:rPr>
          <w:rFonts w:ascii="宋体" w:hAnsi="宋体" w:eastAsia="宋体" w:cs="宋体"/>
          <w:b w:val="0"/>
          <w:bCs w:val="0"/>
          <w:color w:val="auto"/>
          <w:sz w:val="24"/>
          <w:highlight w:val="none"/>
        </w:rPr>
        <w:t>8.2 供应</w:t>
      </w:r>
      <w:r>
        <w:rPr>
          <w:rFonts w:ascii="宋体" w:hAnsi="宋体" w:cs="宋体"/>
          <w:b w:val="0"/>
          <w:bCs w:val="0"/>
          <w:color w:val="auto"/>
          <w:kern w:val="0"/>
          <w:sz w:val="24"/>
          <w:highlight w:val="none"/>
        </w:rPr>
        <w:t>商对多个分包进行响应的，应以分包为单位编制响应文件，每一包响应文件均需满足本</w:t>
      </w:r>
      <w:r>
        <w:rPr>
          <w:rFonts w:hint="eastAsia" w:ascii="宋体" w:hAnsi="宋体" w:cs="宋体"/>
          <w:b w:val="0"/>
          <w:bCs w:val="0"/>
          <w:color w:val="auto"/>
          <w:kern w:val="0"/>
          <w:sz w:val="24"/>
          <w:highlight w:val="none"/>
          <w:lang w:eastAsia="zh-CN"/>
        </w:rPr>
        <w:t>采购文件</w:t>
      </w:r>
      <w:r>
        <w:rPr>
          <w:rFonts w:ascii="宋体" w:hAnsi="宋体" w:cs="宋体"/>
          <w:b w:val="0"/>
          <w:bCs w:val="0"/>
          <w:color w:val="auto"/>
          <w:kern w:val="0"/>
          <w:sz w:val="24"/>
          <w:highlight w:val="none"/>
        </w:rPr>
        <w:t>对响应文件的签署要求。</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cs="宋体" w:eastAsiaTheme="minorEastAsia"/>
          <w:color w:val="auto"/>
          <w:kern w:val="0"/>
          <w:sz w:val="24"/>
          <w:highlight w:val="none"/>
          <w:lang w:val="en-US" w:eastAsia="zh-CN"/>
        </w:rPr>
      </w:pPr>
      <w:r>
        <w:rPr>
          <w:rFonts w:hint="eastAsia" w:ascii="宋体" w:hAnsi="宋体" w:cs="宋体"/>
          <w:b w:val="0"/>
          <w:bCs w:val="0"/>
          <w:color w:val="auto"/>
          <w:kern w:val="0"/>
          <w:sz w:val="24"/>
          <w:highlight w:val="none"/>
          <w:lang w:val="en-US" w:eastAsia="zh-CN"/>
        </w:rPr>
        <w:t>8.3电子响应文件应该按照统一的电子投标文件制作工具以及采购文</w:t>
      </w:r>
      <w:r>
        <w:rPr>
          <w:rFonts w:hint="eastAsia" w:ascii="宋体" w:hAnsi="宋体" w:cs="宋体"/>
          <w:color w:val="auto"/>
          <w:kern w:val="0"/>
          <w:sz w:val="24"/>
          <w:highlight w:val="none"/>
          <w:lang w:val="en-US" w:eastAsia="zh-CN"/>
        </w:rPr>
        <w:t>件要求制作编制。</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highlight w:val="none"/>
        </w:rPr>
      </w:pPr>
      <w:r>
        <w:rPr>
          <w:rFonts w:ascii="宋体" w:hAnsi="宋体" w:cs="宋体"/>
          <w:color w:val="auto"/>
          <w:kern w:val="0"/>
          <w:sz w:val="24"/>
          <w:highlight w:val="none"/>
        </w:rPr>
        <w:t>8.</w:t>
      </w:r>
      <w:r>
        <w:rPr>
          <w:rFonts w:hint="eastAsia" w:ascii="宋体" w:hAnsi="宋体" w:cs="宋体"/>
          <w:color w:val="auto"/>
          <w:kern w:val="0"/>
          <w:sz w:val="24"/>
          <w:highlight w:val="none"/>
          <w:lang w:val="en-US" w:eastAsia="zh-CN"/>
        </w:rPr>
        <w:t>4</w:t>
      </w:r>
      <w:r>
        <w:rPr>
          <w:rFonts w:ascii="宋体" w:hAnsi="宋体" w:cs="宋体"/>
          <w:color w:val="auto"/>
          <w:kern w:val="0"/>
          <w:sz w:val="24"/>
          <w:highlight w:val="none"/>
        </w:rPr>
        <w:t xml:space="preserve"> 供应商应按</w:t>
      </w:r>
      <w:r>
        <w:rPr>
          <w:rFonts w:hint="eastAsia" w:ascii="宋体" w:hAnsi="宋体" w:cs="宋体"/>
          <w:color w:val="auto"/>
          <w:kern w:val="0"/>
          <w:sz w:val="24"/>
          <w:highlight w:val="none"/>
          <w:lang w:eastAsia="zh-CN"/>
        </w:rPr>
        <w:t>采购文件</w:t>
      </w:r>
      <w:r>
        <w:rPr>
          <w:rFonts w:ascii="宋体" w:hAnsi="宋体" w:cs="宋体"/>
          <w:color w:val="auto"/>
          <w:kern w:val="0"/>
          <w:sz w:val="24"/>
          <w:highlight w:val="none"/>
        </w:rPr>
        <w:t>的要求及格式编写其响应文件；不得缺少或留空任何响应文件要求填写的表格或资料。</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kern w:val="0"/>
          <w:sz w:val="24"/>
          <w:highlight w:val="none"/>
        </w:rPr>
      </w:pPr>
      <w:r>
        <w:rPr>
          <w:rFonts w:ascii="宋体" w:hAnsi="宋体" w:cs="宋体"/>
          <w:color w:val="auto"/>
          <w:kern w:val="0"/>
          <w:sz w:val="24"/>
          <w:highlight w:val="none"/>
        </w:rPr>
        <w:t>8.</w:t>
      </w:r>
      <w:r>
        <w:rPr>
          <w:rFonts w:hint="eastAsia" w:ascii="宋体" w:hAnsi="宋体" w:cs="宋体"/>
          <w:color w:val="auto"/>
          <w:kern w:val="0"/>
          <w:sz w:val="24"/>
          <w:highlight w:val="none"/>
          <w:lang w:val="en-US" w:eastAsia="zh-CN"/>
        </w:rPr>
        <w:t>5</w:t>
      </w:r>
      <w:r>
        <w:rPr>
          <w:rFonts w:ascii="宋体" w:hAnsi="宋体" w:cs="宋体"/>
          <w:color w:val="auto"/>
          <w:kern w:val="0"/>
          <w:sz w:val="24"/>
          <w:highlight w:val="none"/>
        </w:rPr>
        <w:t xml:space="preserve"> 供应商应编制响应文件目录、内容。</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auto"/>
          <w:sz w:val="24"/>
          <w:highlight w:val="none"/>
        </w:rPr>
      </w:pPr>
      <w:r>
        <w:rPr>
          <w:rFonts w:ascii="宋体" w:hAnsi="宋体" w:cs="宋体"/>
          <w:color w:val="auto"/>
          <w:kern w:val="0"/>
          <w:sz w:val="24"/>
          <w:highlight w:val="none"/>
        </w:rPr>
        <w:t>8.</w:t>
      </w:r>
      <w:r>
        <w:rPr>
          <w:rFonts w:hint="eastAsia" w:ascii="宋体" w:hAnsi="宋体" w:cs="宋体"/>
          <w:color w:val="auto"/>
          <w:kern w:val="0"/>
          <w:sz w:val="24"/>
          <w:highlight w:val="none"/>
          <w:lang w:val="en-US" w:eastAsia="zh-CN"/>
        </w:rPr>
        <w:t>6</w:t>
      </w:r>
      <w:r>
        <w:rPr>
          <w:rFonts w:ascii="宋体" w:hAnsi="宋体" w:cs="宋体"/>
          <w:color w:val="auto"/>
          <w:kern w:val="0"/>
          <w:sz w:val="24"/>
          <w:highlight w:val="none"/>
        </w:rPr>
        <w:t xml:space="preserve"> 关于兼</w:t>
      </w:r>
      <w:r>
        <w:rPr>
          <w:rFonts w:ascii="宋体" w:hAnsi="宋体" w:eastAsia="宋体" w:cs="宋体"/>
          <w:color w:val="auto"/>
          <w:sz w:val="24"/>
          <w:highlight w:val="none"/>
        </w:rPr>
        <w:t>投不兼中要求详见</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olor w:val="auto"/>
          <w:sz w:val="24"/>
          <w:highlight w:val="none"/>
          <w:lang w:eastAsia="zh-CN"/>
        </w:rPr>
      </w:pPr>
      <w:r>
        <w:rPr>
          <w:rFonts w:hint="eastAsia" w:ascii="宋体" w:hAnsi="宋体"/>
          <w:color w:val="auto"/>
          <w:sz w:val="24"/>
          <w:highlight w:val="none"/>
          <w:lang w:val="en-US" w:eastAsia="zh-CN"/>
        </w:rPr>
        <w:t>8.7 响应文件中提供的扫描件应当真实、完整、清晰，由此造成的</w:t>
      </w:r>
      <w:r>
        <w:rPr>
          <w:rFonts w:hint="eastAsia" w:ascii="宋体" w:hAnsi="宋体"/>
          <w:color w:val="auto"/>
          <w:sz w:val="24"/>
          <w:highlight w:val="none"/>
          <w:lang w:eastAsia="zh-CN"/>
        </w:rPr>
        <w:t>一切</w:t>
      </w:r>
      <w:r>
        <w:rPr>
          <w:rFonts w:hint="eastAsia" w:ascii="宋体" w:hAnsi="宋体"/>
          <w:color w:val="auto"/>
          <w:sz w:val="24"/>
          <w:highlight w:val="none"/>
          <w:lang w:val="en-US" w:eastAsia="zh-CN"/>
        </w:rPr>
        <w:t>不利</w:t>
      </w:r>
      <w:r>
        <w:rPr>
          <w:rFonts w:hint="eastAsia" w:ascii="宋体" w:hAnsi="宋体"/>
          <w:color w:val="auto"/>
          <w:sz w:val="24"/>
          <w:highlight w:val="none"/>
          <w:lang w:eastAsia="zh-CN"/>
        </w:rPr>
        <w:t>后果由供应商</w:t>
      </w:r>
      <w:r>
        <w:rPr>
          <w:rFonts w:hint="eastAsia" w:ascii="宋体" w:hAnsi="宋体"/>
          <w:color w:val="auto"/>
          <w:sz w:val="24"/>
          <w:highlight w:val="none"/>
          <w:lang w:val="en-US" w:eastAsia="zh-CN"/>
        </w:rPr>
        <w:t>自行承担</w:t>
      </w:r>
      <w:r>
        <w:rPr>
          <w:rFonts w:hint="eastAsia" w:ascii="宋体" w:hAnsi="宋体"/>
          <w:color w:val="auto"/>
          <w:sz w:val="24"/>
          <w:highlight w:val="none"/>
          <w:lang w:eastAsia="zh-CN"/>
        </w:rPr>
        <w:t>。</w:t>
      </w:r>
    </w:p>
    <w:p>
      <w:pPr>
        <w:keepNext/>
        <w:keepLines/>
        <w:pageBreakBefore w:val="0"/>
        <w:widowControl w:val="0"/>
        <w:tabs>
          <w:tab w:val="left" w:pos="900"/>
        </w:tabs>
        <w:kinsoku/>
        <w:wordWrap/>
        <w:overflowPunct/>
        <w:topLinePunct w:val="0"/>
        <w:autoSpaceDE/>
        <w:autoSpaceDN/>
        <w:bidi w:val="0"/>
        <w:adjustRightInd/>
        <w:snapToGrid/>
        <w:spacing w:line="500" w:lineRule="exact"/>
        <w:jc w:val="left"/>
        <w:textAlignment w:val="auto"/>
        <w:outlineLvl w:val="2"/>
        <w:rPr>
          <w:rFonts w:ascii="宋体" w:hAnsi="宋体" w:eastAsia="宋体" w:cs="宋体"/>
          <w:b/>
          <w:color w:val="auto"/>
          <w:sz w:val="24"/>
          <w:highlight w:val="none"/>
        </w:rPr>
      </w:pPr>
      <w:bookmarkStart w:id="48" w:name="_Toc14223"/>
      <w:r>
        <w:rPr>
          <w:rFonts w:ascii="宋体" w:hAnsi="宋体" w:eastAsia="宋体" w:cs="宋体"/>
          <w:b/>
          <w:color w:val="auto"/>
          <w:sz w:val="24"/>
          <w:highlight w:val="none"/>
        </w:rPr>
        <w:t>9.响应范围及响应文件中标准和计量单位的使用</w:t>
      </w:r>
      <w:bookmarkEnd w:id="48"/>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9.1供应商可对</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其中一个或几个分包进行响应。除非在</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中另有规定。</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9.2 供应商应</w:t>
      </w:r>
      <w:r>
        <w:rPr>
          <w:rFonts w:ascii="宋体" w:hAnsi="宋体"/>
          <w:color w:val="auto"/>
          <w:sz w:val="24"/>
          <w:highlight w:val="none"/>
        </w:rPr>
        <w:t>对所</w:t>
      </w:r>
      <w:r>
        <w:rPr>
          <w:rFonts w:hint="eastAsia" w:ascii="宋体" w:hAnsi="宋体"/>
          <w:color w:val="auto"/>
          <w:sz w:val="24"/>
          <w:highlight w:val="none"/>
          <w:lang w:val="en-US" w:eastAsia="zh-CN"/>
        </w:rPr>
        <w:t>响应标包</w:t>
      </w:r>
      <w:r>
        <w:rPr>
          <w:rFonts w:hint="eastAsia" w:ascii="宋体" w:hAnsi="宋体"/>
          <w:color w:val="auto"/>
          <w:sz w:val="24"/>
          <w:highlight w:val="none"/>
        </w:rPr>
        <w:t>中</w:t>
      </w:r>
      <w:r>
        <w:rPr>
          <w:rFonts w:ascii="宋体" w:hAnsi="宋体" w:eastAsia="宋体" w:cs="宋体"/>
          <w:color w:val="auto"/>
          <w:sz w:val="24"/>
          <w:highlight w:val="none"/>
        </w:rPr>
        <w:t>“服务需求(含配套货物)”所列的所有内容进行响应，如仅响应某一包中的部分内容，其响应文件将被认定为无效。</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9.3 无论</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三</w:t>
      </w:r>
      <w:r>
        <w:rPr>
          <w:rFonts w:ascii="宋体" w:hAnsi="宋体" w:eastAsia="宋体" w:cs="宋体"/>
          <w:color w:val="auto"/>
          <w:sz w:val="24"/>
          <w:highlight w:val="none"/>
        </w:rPr>
        <w:t>章服务需求一览表及技术规格中是否要求，供应商所提供服务均应符合国家强制性标准。</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9.4 除</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中有特殊要求外，响应文件中所使用的计量单位，应采用中华人民共和国法定计量单位。</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.5 响应文件应以中文书写。如供应商提交的支持文件和印刷的文献使用另一种语言，应附有相应内容的中文翻译本，在解释响应文件时以中文翻译本为准。</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color w:val="auto"/>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.6对违反上述规定情形的，</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小组有权要求供应商限期提供相应文件或决定对其响应予以拒绝。</w:t>
      </w:r>
    </w:p>
    <w:p>
      <w:pPr>
        <w:keepNext/>
        <w:keepLines/>
        <w:pageBreakBefore w:val="0"/>
        <w:widowControl w:val="0"/>
        <w:tabs>
          <w:tab w:val="left" w:pos="900"/>
        </w:tabs>
        <w:kinsoku/>
        <w:wordWrap/>
        <w:overflowPunct/>
        <w:topLinePunct w:val="0"/>
        <w:autoSpaceDE/>
        <w:autoSpaceDN/>
        <w:bidi w:val="0"/>
        <w:adjustRightInd/>
        <w:snapToGrid/>
        <w:spacing w:line="500" w:lineRule="exact"/>
        <w:jc w:val="left"/>
        <w:textAlignment w:val="auto"/>
        <w:outlineLvl w:val="2"/>
        <w:rPr>
          <w:rFonts w:ascii="宋体" w:hAnsi="宋体" w:eastAsia="宋体" w:cs="宋体"/>
          <w:b/>
          <w:color w:val="auto"/>
          <w:sz w:val="24"/>
          <w:highlight w:val="none"/>
        </w:rPr>
      </w:pPr>
      <w:bookmarkStart w:id="49" w:name="_Toc31281"/>
      <w:r>
        <w:rPr>
          <w:rFonts w:ascii="宋体" w:hAnsi="宋体" w:eastAsia="宋体" w:cs="宋体"/>
          <w:b/>
          <w:color w:val="auto"/>
          <w:sz w:val="24"/>
          <w:highlight w:val="none"/>
        </w:rPr>
        <w:t>10.响应文件构成</w:t>
      </w:r>
      <w:bookmarkEnd w:id="49"/>
    </w:p>
    <w:p>
      <w:pPr>
        <w:pageBreakBefore w:val="0"/>
        <w:widowControl w:val="0"/>
        <w:tabs>
          <w:tab w:val="left" w:pos="900"/>
          <w:tab w:val="left" w:pos="5580"/>
        </w:tabs>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ascii="宋体" w:hAnsi="宋体" w:eastAsia="宋体" w:cs="宋体"/>
          <w:color w:val="auto"/>
          <w:sz w:val="24"/>
          <w:highlight w:val="none"/>
        </w:rPr>
        <w:t>1</w:t>
      </w:r>
      <w:r>
        <w:rPr>
          <w:rFonts w:hint="eastAsia" w:ascii="宋体" w:hAnsi="宋体" w:cs="宋体"/>
          <w:color w:val="auto"/>
          <w:sz w:val="24"/>
          <w:highlight w:val="none"/>
        </w:rPr>
        <w:t>0.1供应商应通过淄博市公共资源交易网下载的“电子投标文件制作工具”编写响应文件。在响应截止时间前上传经过数字证书电子签章并加密的电子响应文件（加密和解密必须使用同一数字证书）。</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中资格审查和符合性审查涉及的事项不满足</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要求的，其响应文件将被认定为</w:t>
      </w:r>
      <w:r>
        <w:rPr>
          <w:rFonts w:hint="eastAsia" w:ascii="宋体" w:hAnsi="宋体" w:cs="宋体"/>
          <w:b w:val="0"/>
          <w:bCs w:val="0"/>
          <w:color w:val="auto"/>
          <w:sz w:val="24"/>
          <w:highlight w:val="none"/>
        </w:rPr>
        <w:t>无效</w:t>
      </w:r>
      <w:r>
        <w:rPr>
          <w:rFonts w:hint="eastAsia" w:ascii="宋体" w:hAnsi="宋体" w:cs="宋体"/>
          <w:color w:val="auto"/>
          <w:sz w:val="24"/>
          <w:highlight w:val="none"/>
        </w:rPr>
        <w:t>。</w:t>
      </w:r>
    </w:p>
    <w:p>
      <w:pPr>
        <w:pageBreakBefore w:val="0"/>
        <w:widowControl w:val="0"/>
        <w:tabs>
          <w:tab w:val="left" w:pos="900"/>
          <w:tab w:val="left" w:pos="5580"/>
        </w:tabs>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10.2上述文件应按照</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的规定签署。采用公章授权方式的，应当在响应文件中附公章授权书（格式自定）。</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10.3 供应商应提交证明文件，证明其提供内容符合响应文件规定。该证明文件是响应文件的一部分。</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10.4 上款所述的证明文件，可以是文字资料、图纸和数据等。</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10.5本项目采用电子</w:t>
      </w:r>
      <w:r>
        <w:rPr>
          <w:rFonts w:hint="eastAsia" w:ascii="宋体" w:hAnsi="宋体" w:cs="宋体"/>
          <w:color w:val="auto"/>
          <w:sz w:val="24"/>
          <w:highlight w:val="none"/>
          <w:lang w:eastAsia="zh-CN"/>
        </w:rPr>
        <w:t>响应</w:t>
      </w:r>
      <w:r>
        <w:rPr>
          <w:rFonts w:hint="eastAsia" w:ascii="宋体" w:hAnsi="宋体" w:cs="宋体"/>
          <w:color w:val="auto"/>
          <w:sz w:val="24"/>
          <w:highlight w:val="none"/>
        </w:rPr>
        <w:t>，供应商须使用用于证明供应商身份的单位电子签名的实名认证证书和用于供应商编制电子响应文件的制作软件。</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申请办理实名认证证书的方式：详见《数字证书办理注意事项及相关资料下载》（淄博</w:t>
      </w:r>
      <w:r>
        <w:rPr>
          <w:rFonts w:hint="eastAsia" w:ascii="宋体" w:hAnsi="宋体" w:cs="宋体"/>
          <w:color w:val="auto"/>
          <w:sz w:val="24"/>
          <w:highlight w:val="none"/>
          <w:lang w:val="en-US" w:eastAsia="zh-CN"/>
        </w:rPr>
        <w:t>市</w:t>
      </w:r>
      <w:r>
        <w:rPr>
          <w:rFonts w:hint="eastAsia" w:ascii="宋体" w:hAnsi="宋体" w:cs="宋体"/>
          <w:color w:val="auto"/>
          <w:sz w:val="24"/>
          <w:highlight w:val="none"/>
        </w:rPr>
        <w:t>公共资源交易网→办事指南→下载园地）。</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电子</w:t>
      </w:r>
      <w:r>
        <w:rPr>
          <w:rFonts w:hint="eastAsia" w:ascii="宋体" w:hAnsi="宋体" w:cs="宋体"/>
          <w:color w:val="auto"/>
          <w:sz w:val="24"/>
          <w:highlight w:val="none"/>
          <w:lang w:eastAsia="zh-CN"/>
        </w:rPr>
        <w:t>响应</w:t>
      </w:r>
      <w:r>
        <w:rPr>
          <w:rFonts w:hint="eastAsia" w:ascii="宋体" w:hAnsi="宋体" w:cs="宋体"/>
          <w:color w:val="auto"/>
          <w:sz w:val="24"/>
          <w:highlight w:val="none"/>
        </w:rPr>
        <w:t>基本流程：详见“新点投标文件制作软件（淄博版）操作视频-采购类”（淄博市公共资源交易网→办事指南→下载园地）</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在响应截止时间前，可以对其所递交的响应文件进行撤回、修改并重新上传，但以响应截止时间前最后一次完成上传的响应文件为有效响应文件。逾期系统将自动关闭，未完成上传的响应文件视为逾期送达，将被拒绝。</w:t>
      </w:r>
    </w:p>
    <w:p>
      <w:pPr>
        <w:pageBreakBefore w:val="0"/>
        <w:widowControl w:val="0"/>
        <w:tabs>
          <w:tab w:val="left" w:pos="0"/>
        </w:tabs>
        <w:kinsoku/>
        <w:wordWrap/>
        <w:overflowPunct/>
        <w:topLinePunct w:val="0"/>
        <w:autoSpaceDE/>
        <w:autoSpaceDN/>
        <w:bidi w:val="0"/>
        <w:adjustRightInd/>
        <w:snapToGrid/>
        <w:spacing w:line="500" w:lineRule="exact"/>
        <w:ind w:firstLine="480" w:firstLineChars="200"/>
        <w:textAlignment w:val="auto"/>
        <w:rPr>
          <w:b w:val="0"/>
          <w:bCs w:val="0"/>
          <w:color w:val="auto"/>
          <w:highlight w:val="none"/>
        </w:rPr>
      </w:pPr>
      <w:r>
        <w:rPr>
          <w:rFonts w:hint="eastAsia" w:ascii="宋体" w:hAnsi="宋体" w:cs="宋体"/>
          <w:b w:val="0"/>
          <w:bCs w:val="0"/>
          <w:color w:val="auto"/>
          <w:sz w:val="24"/>
          <w:highlight w:val="none"/>
        </w:rPr>
        <w:t>请确保在</w:t>
      </w:r>
      <w:r>
        <w:rPr>
          <w:rFonts w:hint="eastAsia" w:ascii="宋体" w:hAnsi="宋体" w:cs="宋体"/>
          <w:b w:val="0"/>
          <w:bCs w:val="0"/>
          <w:color w:val="auto"/>
          <w:sz w:val="24"/>
          <w:highlight w:val="none"/>
          <w:lang w:eastAsia="zh-CN"/>
        </w:rPr>
        <w:t>开启</w:t>
      </w:r>
      <w:r>
        <w:rPr>
          <w:rFonts w:hint="eastAsia" w:ascii="宋体" w:hAnsi="宋体" w:cs="宋体"/>
          <w:b w:val="0"/>
          <w:bCs w:val="0"/>
          <w:color w:val="auto"/>
          <w:sz w:val="24"/>
          <w:highlight w:val="none"/>
        </w:rPr>
        <w:t>时实名认证证书在有效期内，供应商实名认证证书在续期后务必在</w:t>
      </w:r>
      <w:r>
        <w:rPr>
          <w:rFonts w:hint="eastAsia" w:ascii="宋体" w:hAnsi="宋体" w:cs="宋体"/>
          <w:b w:val="0"/>
          <w:bCs w:val="0"/>
          <w:color w:val="auto"/>
          <w:sz w:val="24"/>
          <w:highlight w:val="none"/>
          <w:lang w:eastAsia="zh-CN"/>
        </w:rPr>
        <w:t>开启</w:t>
      </w:r>
      <w:r>
        <w:rPr>
          <w:rFonts w:hint="eastAsia" w:ascii="宋体" w:hAnsi="宋体" w:cs="宋体"/>
          <w:b w:val="0"/>
          <w:bCs w:val="0"/>
          <w:color w:val="auto"/>
          <w:sz w:val="24"/>
          <w:highlight w:val="none"/>
        </w:rPr>
        <w:t>前重新制作和上传电子响应文件（文件格式为.zbtf），否则将造成电子响应文件无法进行解密（加密和解密必须使用同一数字证书）。</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因供应商以下原因，响应将被拒绝：</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（1）响应截止时间前，供应商未成功上传响应文件的；</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（2）对已生成的电子响应文件进行破解、修改、压缩等不当操作，或自备的解密电脑环境配置不当等原因导致无法解密的；</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开启</w:t>
      </w:r>
      <w:r>
        <w:rPr>
          <w:rFonts w:hint="eastAsia" w:ascii="宋体" w:hAnsi="宋体" w:cs="宋体"/>
          <w:color w:val="auto"/>
          <w:sz w:val="24"/>
          <w:highlight w:val="none"/>
        </w:rPr>
        <w:t>时，实名认证证书过期失效、密码丢失，或者供应商实名认证证书在续期后未在</w:t>
      </w:r>
      <w:r>
        <w:rPr>
          <w:rFonts w:hint="eastAsia" w:ascii="宋体" w:hAnsi="宋体" w:cs="宋体"/>
          <w:color w:val="auto"/>
          <w:sz w:val="24"/>
          <w:highlight w:val="none"/>
          <w:lang w:eastAsia="zh-CN"/>
        </w:rPr>
        <w:t>开启</w:t>
      </w:r>
      <w:r>
        <w:rPr>
          <w:rFonts w:hint="eastAsia" w:ascii="宋体" w:hAnsi="宋体" w:cs="宋体"/>
          <w:color w:val="auto"/>
          <w:sz w:val="24"/>
          <w:highlight w:val="none"/>
        </w:rPr>
        <w:t>前重新制作和上传电子响应文件，导致无法解密的。</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（4）响应截止时间后，供应商在规定时长内未能成功解密的。</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b w:val="0"/>
          <w:bCs/>
          <w:color w:val="auto"/>
          <w:sz w:val="24"/>
          <w:highlight w:val="none"/>
        </w:rPr>
      </w:pPr>
      <w:r>
        <w:rPr>
          <w:rFonts w:hint="eastAsia" w:ascii="宋体" w:hAnsi="宋体" w:cs="宋体"/>
          <w:b w:val="0"/>
          <w:bCs/>
          <w:color w:val="auto"/>
          <w:sz w:val="24"/>
          <w:highlight w:val="none"/>
        </w:rPr>
        <w:t>10.6 供应商提交的响应文件应包含以下各个部分，具体组成内容见第</w:t>
      </w:r>
      <w:r>
        <w:rPr>
          <w:rFonts w:hint="eastAsia" w:ascii="宋体" w:hAnsi="宋体" w:cs="宋体"/>
          <w:b w:val="0"/>
          <w:bCs/>
          <w:color w:val="auto"/>
          <w:sz w:val="24"/>
          <w:highlight w:val="none"/>
          <w:lang w:val="en-US" w:eastAsia="zh-CN"/>
        </w:rPr>
        <w:t>五</w:t>
      </w:r>
      <w:r>
        <w:rPr>
          <w:rFonts w:hint="eastAsia" w:ascii="宋体" w:hAnsi="宋体" w:cs="宋体"/>
          <w:b w:val="0"/>
          <w:bCs/>
          <w:color w:val="auto"/>
          <w:sz w:val="24"/>
          <w:highlight w:val="none"/>
        </w:rPr>
        <w:t>章响应文件格式。</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rPr>
        <w:t>10.6.1</w:t>
      </w:r>
      <w:r>
        <w:rPr>
          <w:rFonts w:hint="eastAsia" w:ascii="宋体" w:hAnsi="宋体" w:cs="宋体"/>
          <w:b w:val="0"/>
          <w:bCs/>
          <w:color w:val="auto"/>
          <w:sz w:val="24"/>
          <w:highlight w:val="none"/>
          <w:lang w:val="en-US" w:eastAsia="zh-CN"/>
        </w:rPr>
        <w:t>报价一览表</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cs="宋体"/>
          <w:b w:val="0"/>
          <w:bCs/>
          <w:color w:val="auto"/>
          <w:sz w:val="24"/>
          <w:highlight w:val="none"/>
          <w:lang w:val="en-US"/>
        </w:rPr>
      </w:pPr>
      <w:r>
        <w:rPr>
          <w:rFonts w:hint="eastAsia" w:ascii="宋体" w:hAnsi="宋体" w:cs="宋体"/>
          <w:b w:val="0"/>
          <w:bCs/>
          <w:color w:val="auto"/>
          <w:sz w:val="24"/>
          <w:highlight w:val="none"/>
          <w:lang w:val="en-US" w:eastAsia="zh-CN"/>
        </w:rPr>
        <w:t>10.6.2报价明细表</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rPr>
        <w:t>10.6.</w:t>
      </w:r>
      <w:r>
        <w:rPr>
          <w:rFonts w:hint="eastAsia" w:ascii="宋体" w:hAnsi="宋体" w:cs="宋体"/>
          <w:b w:val="0"/>
          <w:bCs/>
          <w:color w:val="auto"/>
          <w:sz w:val="24"/>
          <w:highlight w:val="none"/>
          <w:lang w:val="en-US" w:eastAsia="zh-CN"/>
        </w:rPr>
        <w:t>3资格证明文件</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rPr>
        <w:t>10.6.</w:t>
      </w:r>
      <w:r>
        <w:rPr>
          <w:rFonts w:hint="eastAsia" w:ascii="宋体" w:hAnsi="宋体" w:cs="宋体"/>
          <w:b w:val="0"/>
          <w:bCs/>
          <w:color w:val="auto"/>
          <w:sz w:val="24"/>
          <w:highlight w:val="none"/>
          <w:lang w:val="en-US" w:eastAsia="zh-CN"/>
        </w:rPr>
        <w:t>3</w:t>
      </w:r>
      <w:r>
        <w:rPr>
          <w:rFonts w:hint="eastAsia" w:ascii="宋体" w:hAnsi="宋体" w:cs="宋体"/>
          <w:b w:val="0"/>
          <w:bCs/>
          <w:color w:val="auto"/>
          <w:sz w:val="24"/>
          <w:highlight w:val="none"/>
        </w:rPr>
        <w:t>.1 供应商须对提交的资格证明真实性、有效性、完整性负责</w:t>
      </w:r>
      <w:r>
        <w:rPr>
          <w:rFonts w:hint="eastAsia" w:ascii="宋体" w:hAnsi="宋体" w:cs="宋体"/>
          <w:b w:val="0"/>
          <w:bCs/>
          <w:color w:val="auto"/>
          <w:sz w:val="24"/>
          <w:highlight w:val="none"/>
          <w:lang w:val="en-US" w:eastAsia="zh-CN"/>
        </w:rPr>
        <w:t>。</w:t>
      </w:r>
    </w:p>
    <w:p>
      <w:pPr>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b w:val="0"/>
          <w:bCs/>
          <w:color w:val="auto"/>
          <w:sz w:val="24"/>
          <w:highlight w:val="none"/>
        </w:rPr>
      </w:pPr>
      <w:r>
        <w:rPr>
          <w:rFonts w:hint="eastAsia" w:ascii="宋体" w:hAnsi="宋体" w:cs="宋体"/>
          <w:b w:val="0"/>
          <w:bCs/>
          <w:color w:val="auto"/>
          <w:sz w:val="24"/>
          <w:highlight w:val="none"/>
        </w:rPr>
        <w:t>10.6.</w:t>
      </w:r>
      <w:r>
        <w:rPr>
          <w:rFonts w:hint="eastAsia" w:ascii="宋体" w:hAnsi="宋体" w:cs="宋体"/>
          <w:b w:val="0"/>
          <w:bCs/>
          <w:color w:val="auto"/>
          <w:sz w:val="24"/>
          <w:highlight w:val="none"/>
          <w:lang w:val="en-US" w:eastAsia="zh-CN"/>
        </w:rPr>
        <w:t>3</w:t>
      </w:r>
      <w:r>
        <w:rPr>
          <w:rFonts w:hint="eastAsia" w:ascii="宋体" w:hAnsi="宋体" w:cs="宋体"/>
          <w:b w:val="0"/>
          <w:bCs/>
          <w:color w:val="auto"/>
          <w:sz w:val="24"/>
          <w:highlight w:val="none"/>
        </w:rPr>
        <w:t>.2 资格证明的字迹、印章必须完整、清晰，否则其响应文件将会被拒绝。</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10.6.</w:t>
      </w:r>
      <w:r>
        <w:rPr>
          <w:rFonts w:hint="eastAsia" w:ascii="宋体" w:hAnsi="宋体" w:cs="宋体"/>
          <w:b w:val="0"/>
          <w:bCs/>
          <w:color w:val="auto"/>
          <w:sz w:val="24"/>
          <w:szCs w:val="24"/>
          <w:highlight w:val="none"/>
          <w:lang w:val="en-US" w:eastAsia="zh-CN"/>
        </w:rPr>
        <w:t>3</w:t>
      </w:r>
      <w:r>
        <w:rPr>
          <w:rFonts w:hint="eastAsia" w:ascii="宋体" w:hAnsi="宋体" w:cs="宋体"/>
          <w:b w:val="0"/>
          <w:bCs/>
          <w:color w:val="auto"/>
          <w:sz w:val="24"/>
          <w:szCs w:val="24"/>
          <w:highlight w:val="none"/>
        </w:rPr>
        <w:t>.3</w:t>
      </w:r>
      <w:r>
        <w:rPr>
          <w:rFonts w:hint="eastAsia" w:ascii="宋体" w:hAnsi="宋体" w:cs="宋体"/>
          <w:b w:val="0"/>
          <w:bCs/>
          <w:color w:val="auto"/>
          <w:sz w:val="24"/>
          <w:szCs w:val="24"/>
          <w:highlight w:val="none"/>
          <w:lang w:val="en-US" w:eastAsia="zh-CN"/>
        </w:rPr>
        <w:t>供应商</w:t>
      </w:r>
      <w:r>
        <w:rPr>
          <w:rFonts w:hint="eastAsia" w:ascii="宋体" w:hAnsi="宋体"/>
          <w:b w:val="0"/>
          <w:bCs/>
          <w:color w:val="auto"/>
          <w:sz w:val="24"/>
          <w:szCs w:val="24"/>
          <w:highlight w:val="none"/>
          <w:lang w:eastAsia="zh-CN"/>
        </w:rPr>
        <w:t>当</w:t>
      </w:r>
      <w:r>
        <w:rPr>
          <w:rFonts w:hint="eastAsia" w:ascii="宋体" w:hAnsi="宋体"/>
          <w:b w:val="0"/>
          <w:bCs/>
          <w:color w:val="auto"/>
          <w:sz w:val="24"/>
          <w:szCs w:val="24"/>
          <w:highlight w:val="none"/>
        </w:rPr>
        <w:t>将其资格证明文件中的相关证书</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rPr>
        <w:t>证件</w:t>
      </w:r>
      <w:r>
        <w:rPr>
          <w:rFonts w:hint="eastAsia" w:ascii="宋体" w:hAnsi="宋体"/>
          <w:b w:val="0"/>
          <w:bCs/>
          <w:color w:val="auto"/>
          <w:sz w:val="24"/>
          <w:szCs w:val="24"/>
          <w:highlight w:val="none"/>
          <w:lang w:eastAsia="zh-CN"/>
        </w:rPr>
        <w:t>）</w:t>
      </w:r>
      <w:r>
        <w:rPr>
          <w:rFonts w:hint="eastAsia" w:ascii="宋体" w:hAnsi="宋体"/>
          <w:b w:val="0"/>
          <w:bCs/>
          <w:color w:val="auto"/>
          <w:sz w:val="24"/>
          <w:szCs w:val="24"/>
          <w:highlight w:val="none"/>
        </w:rPr>
        <w:t>的扫描件上传至电子</w:t>
      </w:r>
      <w:r>
        <w:rPr>
          <w:rFonts w:hint="eastAsia" w:ascii="宋体" w:hAnsi="宋体"/>
          <w:b w:val="0"/>
          <w:bCs/>
          <w:color w:val="auto"/>
          <w:sz w:val="24"/>
          <w:szCs w:val="24"/>
          <w:highlight w:val="none"/>
          <w:lang w:val="en-US" w:eastAsia="zh-CN"/>
        </w:rPr>
        <w:t>响应</w:t>
      </w:r>
      <w:r>
        <w:rPr>
          <w:rFonts w:hint="eastAsia" w:ascii="宋体" w:hAnsi="宋体"/>
          <w:b w:val="0"/>
          <w:bCs/>
          <w:color w:val="auto"/>
          <w:sz w:val="24"/>
          <w:szCs w:val="24"/>
          <w:highlight w:val="none"/>
        </w:rPr>
        <w:t>文件对</w:t>
      </w:r>
      <w:r>
        <w:rPr>
          <w:rFonts w:hint="eastAsia" w:ascii="宋体" w:hAnsi="宋体"/>
          <w:b w:val="0"/>
          <w:bCs/>
          <w:color w:val="auto"/>
          <w:sz w:val="24"/>
          <w:szCs w:val="24"/>
          <w:highlight w:val="none"/>
          <w:lang w:eastAsia="zh-CN"/>
        </w:rPr>
        <w:t>应当</w:t>
      </w:r>
      <w:r>
        <w:rPr>
          <w:rFonts w:hint="eastAsia" w:ascii="宋体" w:hAnsi="宋体"/>
          <w:b w:val="0"/>
          <w:bCs/>
          <w:color w:val="auto"/>
          <w:sz w:val="24"/>
          <w:szCs w:val="24"/>
          <w:highlight w:val="none"/>
        </w:rPr>
        <w:t>章节中，</w:t>
      </w:r>
      <w:r>
        <w:rPr>
          <w:rFonts w:hint="eastAsia" w:ascii="宋体" w:hAnsi="宋体" w:cs="宋体"/>
          <w:b w:val="0"/>
          <w:bCs/>
          <w:color w:val="auto"/>
          <w:sz w:val="24"/>
          <w:szCs w:val="24"/>
          <w:highlight w:val="none"/>
        </w:rPr>
        <w:t>并确保清晰可见，</w:t>
      </w:r>
      <w:r>
        <w:rPr>
          <w:rFonts w:hint="eastAsia" w:ascii="宋体" w:hAnsi="宋体" w:cs="宋体"/>
          <w:b w:val="0"/>
          <w:bCs/>
          <w:color w:val="auto"/>
          <w:sz w:val="24"/>
          <w:szCs w:val="24"/>
          <w:highlight w:val="none"/>
          <w:lang w:val="en-US" w:eastAsia="zh-CN"/>
        </w:rPr>
        <w:t>未按要求上传或</w:t>
      </w:r>
      <w:r>
        <w:rPr>
          <w:rFonts w:hint="eastAsia" w:ascii="宋体" w:hAnsi="宋体" w:cs="宋体"/>
          <w:b w:val="0"/>
          <w:bCs/>
          <w:color w:val="auto"/>
          <w:sz w:val="24"/>
          <w:szCs w:val="24"/>
          <w:highlight w:val="none"/>
        </w:rPr>
        <w:t>扫描件不清晰</w:t>
      </w:r>
      <w:r>
        <w:rPr>
          <w:rFonts w:hint="eastAsia" w:ascii="宋体" w:hAnsi="宋体" w:cs="宋体"/>
          <w:b w:val="0"/>
          <w:bCs/>
          <w:color w:val="auto"/>
          <w:sz w:val="24"/>
          <w:szCs w:val="24"/>
          <w:highlight w:val="none"/>
          <w:lang w:val="en-US" w:eastAsia="zh-CN"/>
        </w:rPr>
        <w:t>的，将</w:t>
      </w:r>
      <w:r>
        <w:rPr>
          <w:rFonts w:hint="eastAsia" w:ascii="宋体" w:hAnsi="宋体" w:cs="宋体"/>
          <w:b w:val="0"/>
          <w:bCs/>
          <w:color w:val="auto"/>
          <w:sz w:val="24"/>
          <w:szCs w:val="24"/>
          <w:highlight w:val="none"/>
        </w:rPr>
        <w:t>导</w:t>
      </w:r>
      <w:r>
        <w:rPr>
          <w:rFonts w:hint="eastAsia" w:ascii="宋体" w:hAnsi="宋体" w:cs="宋体"/>
          <w:b w:val="0"/>
          <w:bCs/>
          <w:color w:val="auto"/>
          <w:sz w:val="24"/>
          <w:szCs w:val="24"/>
          <w:highlight w:val="none"/>
          <w:lang w:val="en-US" w:eastAsia="zh-CN"/>
        </w:rPr>
        <w:t>致资格审查不予通过</w:t>
      </w:r>
      <w:r>
        <w:rPr>
          <w:rFonts w:hint="eastAsia" w:ascii="宋体" w:hAnsi="宋体" w:cs="宋体"/>
          <w:b w:val="0"/>
          <w:bCs/>
          <w:color w:val="auto"/>
          <w:sz w:val="24"/>
          <w:szCs w:val="24"/>
          <w:highlight w:val="none"/>
        </w:rPr>
        <w:t>，一切后果由</w:t>
      </w:r>
      <w:r>
        <w:rPr>
          <w:rFonts w:hint="eastAsia" w:ascii="宋体" w:hAnsi="宋体" w:cs="宋体"/>
          <w:b w:val="0"/>
          <w:bCs/>
          <w:color w:val="auto"/>
          <w:sz w:val="24"/>
          <w:szCs w:val="24"/>
          <w:highlight w:val="none"/>
          <w:lang w:eastAsia="zh-CN"/>
        </w:rPr>
        <w:t>供应商</w:t>
      </w:r>
      <w:r>
        <w:rPr>
          <w:rFonts w:hint="eastAsia" w:ascii="宋体" w:hAnsi="宋体" w:cs="宋体"/>
          <w:b w:val="0"/>
          <w:bCs/>
          <w:color w:val="auto"/>
          <w:sz w:val="24"/>
          <w:szCs w:val="24"/>
          <w:highlight w:val="none"/>
        </w:rPr>
        <w:t>负责。</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rPr>
        <w:t>10.6.</w:t>
      </w:r>
      <w:r>
        <w:rPr>
          <w:rFonts w:hint="eastAsia" w:ascii="宋体" w:hAnsi="宋体" w:cs="宋体"/>
          <w:b w:val="0"/>
          <w:bCs/>
          <w:color w:val="auto"/>
          <w:sz w:val="24"/>
          <w:highlight w:val="none"/>
          <w:lang w:val="en-US" w:eastAsia="zh-CN"/>
        </w:rPr>
        <w:t>4</w:t>
      </w:r>
      <w:r>
        <w:rPr>
          <w:rFonts w:hint="eastAsia" w:ascii="宋体" w:hAnsi="宋体" w:cs="宋体"/>
          <w:b w:val="0"/>
          <w:bCs/>
          <w:color w:val="auto"/>
          <w:sz w:val="24"/>
          <w:highlight w:val="none"/>
        </w:rPr>
        <w:t xml:space="preserve"> 商务部分</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bCs/>
          <w:sz w:val="24"/>
        </w:rPr>
      </w:pPr>
      <w:r>
        <w:rPr>
          <w:rFonts w:hint="eastAsia" w:ascii="宋体" w:hAnsi="宋体" w:eastAsia="宋体"/>
          <w:bCs/>
          <w:sz w:val="24"/>
        </w:rPr>
        <w:t>（1）</w:t>
      </w:r>
      <w:r>
        <w:rPr>
          <w:rFonts w:hint="eastAsia" w:ascii="宋体" w:hAnsi="宋体" w:eastAsia="宋体"/>
          <w:bCs/>
          <w:sz w:val="24"/>
          <w:lang w:val="en-US" w:eastAsia="zh-CN"/>
        </w:rPr>
        <w:t>响应</w:t>
      </w:r>
      <w:r>
        <w:rPr>
          <w:rFonts w:hint="eastAsia" w:ascii="宋体" w:hAnsi="宋体" w:eastAsia="宋体"/>
          <w:bCs/>
          <w:sz w:val="24"/>
          <w:lang w:eastAsia="zh-CN"/>
        </w:rPr>
        <w:t>函</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bCs/>
          <w:sz w:val="24"/>
        </w:rPr>
      </w:pPr>
      <w:r>
        <w:rPr>
          <w:rFonts w:hint="eastAsia" w:ascii="宋体" w:hAnsi="宋体" w:eastAsia="宋体"/>
          <w:bCs/>
          <w:sz w:val="24"/>
          <w:lang w:eastAsia="zh-CN"/>
        </w:rPr>
        <w:t>（</w:t>
      </w:r>
      <w:r>
        <w:rPr>
          <w:rFonts w:hint="eastAsia" w:ascii="宋体" w:hAnsi="宋体" w:eastAsia="宋体"/>
          <w:bCs/>
          <w:sz w:val="24"/>
          <w:lang w:val="en-US" w:eastAsia="zh-CN"/>
        </w:rPr>
        <w:t>2</w:t>
      </w:r>
      <w:r>
        <w:rPr>
          <w:rFonts w:hint="eastAsia" w:ascii="宋体" w:hAnsi="宋体" w:eastAsia="宋体"/>
          <w:bCs/>
          <w:sz w:val="24"/>
          <w:lang w:eastAsia="zh-CN"/>
        </w:rPr>
        <w:t>）</w:t>
      </w:r>
      <w:r>
        <w:rPr>
          <w:rFonts w:hint="eastAsia" w:ascii="宋体" w:hAnsi="宋体" w:eastAsia="宋体"/>
          <w:bCs/>
          <w:sz w:val="24"/>
        </w:rPr>
        <w:t>符合价格扣除条件的</w:t>
      </w:r>
      <w:r>
        <w:rPr>
          <w:rFonts w:hint="eastAsia" w:ascii="宋体" w:hAnsi="宋体" w:eastAsia="宋体"/>
          <w:bCs/>
          <w:sz w:val="24"/>
          <w:lang w:val="en-US" w:eastAsia="zh-CN"/>
        </w:rPr>
        <w:t>供应商</w:t>
      </w:r>
      <w:r>
        <w:rPr>
          <w:rFonts w:hint="eastAsia" w:ascii="宋体" w:hAnsi="宋体" w:eastAsia="宋体"/>
          <w:bCs/>
          <w:sz w:val="24"/>
        </w:rPr>
        <w:t>需提供的资料</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bCs/>
          <w:sz w:val="24"/>
        </w:rPr>
      </w:pPr>
      <w:r>
        <w:rPr>
          <w:rFonts w:hint="eastAsia" w:ascii="宋体" w:hAnsi="宋体" w:eastAsia="宋体"/>
          <w:bCs/>
          <w:sz w:val="24"/>
          <w:lang w:eastAsia="zh-Hans"/>
        </w:rPr>
        <w:t>（</w:t>
      </w:r>
      <w:r>
        <w:rPr>
          <w:rFonts w:hint="eastAsia" w:ascii="宋体" w:hAnsi="宋体" w:eastAsia="宋体"/>
          <w:bCs/>
          <w:sz w:val="24"/>
          <w:lang w:val="en-US" w:eastAsia="zh-CN"/>
        </w:rPr>
        <w:t>3</w:t>
      </w:r>
      <w:r>
        <w:rPr>
          <w:rFonts w:hint="eastAsia" w:ascii="宋体" w:hAnsi="宋体" w:eastAsia="宋体"/>
          <w:bCs/>
          <w:sz w:val="24"/>
          <w:lang w:eastAsia="zh-Hans"/>
        </w:rPr>
        <w:t>）</w:t>
      </w:r>
      <w:r>
        <w:rPr>
          <w:rFonts w:hint="eastAsia" w:ascii="宋体" w:hAnsi="宋体" w:eastAsia="宋体"/>
          <w:bCs/>
          <w:sz w:val="24"/>
        </w:rPr>
        <w:t>企业基本情况表</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bCs/>
          <w:sz w:val="24"/>
          <w:lang w:eastAsia="zh-Hans"/>
        </w:rPr>
      </w:pPr>
      <w:r>
        <w:rPr>
          <w:rFonts w:hint="eastAsia" w:ascii="宋体" w:hAnsi="宋体" w:eastAsia="宋体"/>
          <w:bCs/>
          <w:sz w:val="24"/>
          <w:lang w:eastAsia="zh-Hans"/>
        </w:rPr>
        <w:t>（</w:t>
      </w:r>
      <w:r>
        <w:rPr>
          <w:rFonts w:hint="eastAsia" w:ascii="宋体" w:hAnsi="宋体" w:eastAsia="宋体"/>
          <w:bCs/>
          <w:sz w:val="24"/>
          <w:lang w:val="en-US" w:eastAsia="zh-CN"/>
        </w:rPr>
        <w:t>4</w:t>
      </w:r>
      <w:r>
        <w:rPr>
          <w:rFonts w:hint="eastAsia" w:ascii="宋体" w:hAnsi="宋体" w:eastAsia="宋体"/>
          <w:bCs/>
          <w:sz w:val="24"/>
          <w:lang w:eastAsia="zh-Hans"/>
        </w:rPr>
        <w:t>）</w:t>
      </w:r>
      <w:r>
        <w:rPr>
          <w:rFonts w:hint="eastAsia" w:ascii="宋体" w:hAnsi="宋体" w:eastAsia="宋体"/>
          <w:bCs/>
          <w:sz w:val="24"/>
          <w:lang w:eastAsia="zh-CN"/>
        </w:rPr>
        <w:t>拟派本项目人员</w:t>
      </w:r>
      <w:r>
        <w:rPr>
          <w:rFonts w:hint="eastAsia" w:ascii="宋体" w:hAnsi="宋体" w:eastAsia="宋体"/>
          <w:bCs/>
          <w:sz w:val="24"/>
          <w:lang w:val="en-US" w:eastAsia="zh-CN"/>
        </w:rPr>
        <w:t>汇总</w:t>
      </w:r>
      <w:r>
        <w:rPr>
          <w:rFonts w:hint="eastAsia" w:ascii="宋体" w:hAnsi="宋体" w:eastAsia="宋体"/>
          <w:bCs/>
          <w:sz w:val="24"/>
          <w:lang w:eastAsia="zh-CN"/>
        </w:rPr>
        <w:t>表</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bCs/>
          <w:sz w:val="24"/>
        </w:rPr>
      </w:pPr>
      <w:r>
        <w:rPr>
          <w:rFonts w:hint="eastAsia" w:ascii="宋体" w:hAnsi="宋体" w:eastAsia="宋体"/>
          <w:bCs/>
          <w:sz w:val="24"/>
        </w:rPr>
        <w:t>10.6</w:t>
      </w:r>
      <w:r>
        <w:rPr>
          <w:rFonts w:hint="eastAsia" w:ascii="宋体" w:hAnsi="宋体" w:eastAsia="宋体"/>
          <w:bCs/>
          <w:sz w:val="24"/>
          <w:lang w:val="en-US" w:eastAsia="zh-CN"/>
        </w:rPr>
        <w:t>.5</w:t>
      </w:r>
      <w:r>
        <w:rPr>
          <w:rFonts w:hint="eastAsia" w:ascii="宋体" w:hAnsi="宋体" w:eastAsia="宋体"/>
          <w:bCs/>
          <w:sz w:val="24"/>
        </w:rPr>
        <w:t>技术部分</w:t>
      </w:r>
    </w:p>
    <w:p>
      <w:pPr>
        <w:keepNext w:val="0"/>
        <w:keepLines w:val="0"/>
        <w:pageBreakBefore w:val="0"/>
        <w:widowControl w:val="0"/>
        <w:numPr>
          <w:ilvl w:val="0"/>
          <w:numId w:val="3"/>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bCs/>
          <w:sz w:val="24"/>
        </w:rPr>
      </w:pPr>
      <w:r>
        <w:rPr>
          <w:rFonts w:hint="eastAsia" w:ascii="宋体" w:hAnsi="宋体" w:eastAsia="宋体"/>
          <w:bCs/>
          <w:sz w:val="24"/>
        </w:rPr>
        <w:t>总体服务方案</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ascii="宋体" w:hAnsi="宋体" w:eastAsia="宋体"/>
          <w:bCs/>
          <w:sz w:val="24"/>
        </w:rPr>
      </w:pPr>
      <w:r>
        <w:rPr>
          <w:rFonts w:hint="eastAsia" w:ascii="宋体" w:hAnsi="宋体" w:eastAsia="宋体"/>
          <w:bCs/>
          <w:sz w:val="24"/>
        </w:rPr>
        <w:t>（2）服务的质量保证措施、质量控制体系</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bCs/>
          <w:sz w:val="24"/>
        </w:rPr>
      </w:pPr>
      <w:r>
        <w:rPr>
          <w:rFonts w:hint="eastAsia" w:ascii="宋体" w:hAnsi="宋体" w:eastAsia="宋体"/>
          <w:bCs/>
          <w:sz w:val="24"/>
        </w:rPr>
        <w:t>（</w:t>
      </w:r>
      <w:r>
        <w:rPr>
          <w:rFonts w:ascii="宋体" w:hAnsi="宋体" w:eastAsia="宋体"/>
          <w:bCs/>
          <w:sz w:val="24"/>
        </w:rPr>
        <w:t>3</w:t>
      </w:r>
      <w:r>
        <w:rPr>
          <w:rFonts w:hint="eastAsia" w:ascii="宋体" w:hAnsi="宋体" w:eastAsia="宋体"/>
          <w:bCs/>
          <w:sz w:val="24"/>
        </w:rPr>
        <w:t>）专业技术人员配备</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bCs/>
          <w:sz w:val="24"/>
        </w:rPr>
      </w:pPr>
      <w:r>
        <w:rPr>
          <w:rFonts w:hint="eastAsia" w:ascii="宋体" w:hAnsi="宋体" w:eastAsia="宋体"/>
          <w:bCs/>
          <w:sz w:val="24"/>
        </w:rPr>
        <w:t>（4）服务</w:t>
      </w:r>
      <w:r>
        <w:rPr>
          <w:rFonts w:ascii="宋体" w:hAnsi="宋体" w:eastAsia="宋体"/>
          <w:bCs/>
          <w:sz w:val="24"/>
        </w:rPr>
        <w:t>响应能力</w:t>
      </w:r>
      <w:r>
        <w:rPr>
          <w:rFonts w:hint="eastAsia" w:ascii="宋体" w:hAnsi="宋体" w:eastAsia="宋体"/>
          <w:bCs/>
          <w:sz w:val="24"/>
        </w:rPr>
        <w:t>、</w:t>
      </w:r>
      <w:r>
        <w:rPr>
          <w:rFonts w:ascii="宋体" w:hAnsi="宋体" w:eastAsia="宋体"/>
          <w:bCs/>
          <w:sz w:val="24"/>
        </w:rPr>
        <w:t>服务时效保证措施及应急服务方案</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bCs/>
          <w:sz w:val="24"/>
        </w:rPr>
      </w:pPr>
      <w:r>
        <w:rPr>
          <w:rFonts w:hint="eastAsia" w:ascii="宋体" w:hAnsi="宋体" w:eastAsia="宋体"/>
          <w:bCs/>
          <w:sz w:val="24"/>
        </w:rPr>
        <w:t>（5）安全保证措施</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bCs/>
          <w:sz w:val="24"/>
        </w:rPr>
      </w:pPr>
      <w:r>
        <w:rPr>
          <w:rFonts w:hint="eastAsia" w:ascii="宋体" w:hAnsi="宋体" w:eastAsia="宋体"/>
          <w:bCs/>
          <w:sz w:val="24"/>
        </w:rPr>
        <w:t xml:space="preserve">（6）突发事件应急预案  </w:t>
      </w:r>
    </w:p>
    <w:p>
      <w:pPr>
        <w:spacing w:line="500" w:lineRule="exact"/>
        <w:ind w:firstLine="480" w:firstLineChars="200"/>
        <w:rPr>
          <w:rFonts w:hint="eastAsia" w:ascii="宋体" w:hAnsi="宋体" w:cs="宋体"/>
          <w:bCs/>
          <w:sz w:val="24"/>
          <w:szCs w:val="24"/>
          <w:lang w:val="en-US" w:eastAsia="zh-CN"/>
        </w:rPr>
      </w:pPr>
      <w:r>
        <w:rPr>
          <w:rFonts w:hint="eastAsia" w:ascii="宋体" w:hAnsi="宋体" w:cs="宋体"/>
          <w:bCs/>
          <w:sz w:val="24"/>
          <w:szCs w:val="24"/>
          <w:lang w:val="en-US" w:eastAsia="zh-CN"/>
        </w:rPr>
        <w:t>10.6.6</w:t>
      </w:r>
      <w:r>
        <w:rPr>
          <w:rFonts w:hint="eastAsia" w:ascii="宋体" w:hAnsi="宋体" w:cs="宋体"/>
          <w:bCs/>
          <w:sz w:val="24"/>
          <w:szCs w:val="24"/>
        </w:rPr>
        <w:t>供应商认为需要提交的证明文件</w:t>
      </w:r>
    </w:p>
    <w:p>
      <w:pPr>
        <w:spacing w:line="500" w:lineRule="exact"/>
        <w:ind w:firstLine="480" w:firstLineChars="200"/>
        <w:rPr>
          <w:rFonts w:hint="eastAsia" w:ascii="宋体" w:hAnsi="宋体" w:eastAsia="宋体"/>
          <w:bCs/>
          <w:sz w:val="24"/>
        </w:rPr>
      </w:pPr>
      <w:r>
        <w:rPr>
          <w:rFonts w:hint="eastAsia" w:ascii="宋体" w:hAnsi="宋体" w:cs="宋体"/>
          <w:bCs/>
          <w:sz w:val="24"/>
          <w:szCs w:val="24"/>
          <w:lang w:val="en-US" w:eastAsia="zh-CN"/>
        </w:rPr>
        <w:t>10.6.7</w:t>
      </w:r>
      <w:r>
        <w:rPr>
          <w:rFonts w:hint="eastAsia" w:ascii="宋体" w:hAnsi="宋体" w:cs="宋体"/>
          <w:bCs/>
          <w:sz w:val="24"/>
          <w:szCs w:val="24"/>
        </w:rPr>
        <w:t>其他用于评分的证明材料</w:t>
      </w:r>
      <w:r>
        <w:rPr>
          <w:rFonts w:hint="eastAsia" w:ascii="宋体" w:hAnsi="宋体" w:eastAsia="宋体"/>
          <w:bCs/>
          <w:sz w:val="24"/>
        </w:rPr>
        <w:t xml:space="preserve"> </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50" w:name="_Toc7767"/>
      <w:r>
        <w:rPr>
          <w:rFonts w:ascii="宋体" w:hAnsi="宋体" w:eastAsia="宋体" w:cs="宋体"/>
          <w:b/>
          <w:color w:val="auto"/>
          <w:sz w:val="24"/>
          <w:highlight w:val="none"/>
        </w:rPr>
        <w:t>11.报价</w:t>
      </w:r>
      <w:bookmarkEnd w:id="50"/>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b w:val="0"/>
          <w:bCs/>
          <w:strike/>
          <w:dstrike w:val="0"/>
          <w:color w:val="auto"/>
          <w:sz w:val="24"/>
          <w:highlight w:val="none"/>
        </w:rPr>
      </w:pPr>
      <w:r>
        <w:rPr>
          <w:rFonts w:ascii="宋体" w:hAnsi="宋体" w:eastAsia="宋体" w:cs="宋体"/>
          <w:color w:val="auto"/>
          <w:sz w:val="24"/>
          <w:highlight w:val="none"/>
        </w:rPr>
        <w:t>11.1供应商的报价应当包括满足本次磋商全部采购需求所应提供的</w:t>
      </w:r>
      <w:r>
        <w:rPr>
          <w:rFonts w:hint="eastAsia" w:ascii="宋体" w:hAnsi="宋体" w:eastAsia="宋体" w:cs="宋体"/>
          <w:color w:val="auto"/>
          <w:sz w:val="24"/>
          <w:highlight w:val="none"/>
        </w:rPr>
        <w:t>服务</w:t>
      </w:r>
      <w:r>
        <w:rPr>
          <w:rFonts w:ascii="宋体" w:hAnsi="宋体" w:eastAsia="宋体" w:cs="宋体"/>
          <w:color w:val="auto"/>
          <w:sz w:val="24"/>
          <w:highlight w:val="none"/>
        </w:rPr>
        <w:t>，以及伴随的</w:t>
      </w:r>
      <w:r>
        <w:rPr>
          <w:rFonts w:hint="eastAsia" w:ascii="宋体" w:hAnsi="宋体" w:eastAsia="宋体" w:cs="宋体"/>
          <w:color w:val="auto"/>
          <w:sz w:val="24"/>
          <w:highlight w:val="none"/>
        </w:rPr>
        <w:t>货物</w:t>
      </w:r>
      <w:r>
        <w:rPr>
          <w:rFonts w:ascii="宋体" w:hAnsi="宋体" w:eastAsia="宋体" w:cs="宋体"/>
          <w:color w:val="auto"/>
          <w:sz w:val="24"/>
          <w:highlight w:val="none"/>
        </w:rPr>
        <w:t>和工程。</w:t>
      </w:r>
      <w:r>
        <w:rPr>
          <w:rFonts w:hint="eastAsia" w:ascii="宋体" w:hAnsi="宋体"/>
          <w:color w:val="auto"/>
          <w:sz w:val="24"/>
          <w:highlight w:val="none"/>
          <w:lang w:val="en-US" w:eastAsia="zh-CN"/>
        </w:rPr>
        <w:t>报价详见</w:t>
      </w:r>
      <w:r>
        <w:rPr>
          <w:rFonts w:hint="eastAsia" w:ascii="宋体" w:hAnsi="宋体"/>
          <w:color w:val="auto"/>
          <w:sz w:val="24"/>
          <w:highlight w:val="none"/>
          <w:u w:val="single"/>
        </w:rPr>
        <w:t>供应商须知资料表</w:t>
      </w:r>
      <w:r>
        <w:rPr>
          <w:rFonts w:hint="eastAsia" w:ascii="宋体" w:hAnsi="宋体"/>
          <w:color w:val="auto"/>
          <w:sz w:val="24"/>
          <w:highlight w:val="none"/>
        </w:rPr>
        <w:t>。</w:t>
      </w:r>
      <w:r>
        <w:rPr>
          <w:rFonts w:ascii="宋体" w:hAnsi="宋体" w:eastAsia="宋体" w:cs="宋体"/>
          <w:color w:val="auto"/>
          <w:sz w:val="24"/>
          <w:highlight w:val="none"/>
        </w:rPr>
        <w:t>所有</w:t>
      </w:r>
      <w:r>
        <w:rPr>
          <w:rFonts w:hint="eastAsia" w:ascii="宋体" w:hAnsi="宋体" w:eastAsia="宋体" w:cs="宋体"/>
          <w:color w:val="auto"/>
          <w:sz w:val="24"/>
          <w:highlight w:val="none"/>
          <w:lang w:eastAsia="zh-CN"/>
        </w:rPr>
        <w:t>响应</w:t>
      </w:r>
      <w:r>
        <w:rPr>
          <w:rFonts w:ascii="宋体" w:hAnsi="宋体" w:eastAsia="宋体" w:cs="宋体"/>
          <w:color w:val="auto"/>
          <w:sz w:val="24"/>
          <w:highlight w:val="none"/>
        </w:rPr>
        <w:t>均</w:t>
      </w:r>
      <w:r>
        <w:rPr>
          <w:rFonts w:ascii="宋体" w:hAnsi="宋体" w:eastAsia="宋体" w:cs="宋体"/>
          <w:b w:val="0"/>
          <w:bCs/>
          <w:color w:val="auto"/>
          <w:sz w:val="24"/>
          <w:highlight w:val="none"/>
        </w:rPr>
        <w:t>以人民币报价，供应商的报价应遵守《中华人民共和国价格法》。</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b w:val="0"/>
          <w:bCs/>
          <w:color w:val="auto"/>
          <w:sz w:val="24"/>
          <w:highlight w:val="none"/>
        </w:rPr>
      </w:pPr>
      <w:r>
        <w:rPr>
          <w:rFonts w:ascii="宋体" w:hAnsi="宋体" w:eastAsia="宋体" w:cs="宋体"/>
          <w:b w:val="0"/>
          <w:bCs/>
          <w:color w:val="auto"/>
          <w:sz w:val="24"/>
          <w:highlight w:val="none"/>
        </w:rPr>
        <w:t>11.2供应商应在</w:t>
      </w:r>
      <w:r>
        <w:rPr>
          <w:rFonts w:hint="eastAsia" w:ascii="宋体" w:hAnsi="宋体" w:eastAsia="宋体"/>
          <w:b w:val="0"/>
          <w:bCs/>
          <w:color w:val="auto"/>
          <w:sz w:val="24"/>
          <w:highlight w:val="none"/>
          <w:lang w:eastAsia="zh-CN"/>
        </w:rPr>
        <w:t>报价</w:t>
      </w:r>
      <w:r>
        <w:rPr>
          <w:rFonts w:hint="eastAsia" w:ascii="宋体" w:hAnsi="宋体"/>
          <w:b w:val="0"/>
          <w:bCs/>
          <w:color w:val="auto"/>
          <w:sz w:val="24"/>
          <w:highlight w:val="none"/>
          <w:lang w:val="en-US" w:eastAsia="zh-CN"/>
        </w:rPr>
        <w:t>明细表</w:t>
      </w:r>
      <w:r>
        <w:rPr>
          <w:rFonts w:hint="eastAsia" w:ascii="宋体" w:hAnsi="宋体"/>
          <w:b w:val="0"/>
          <w:bCs/>
          <w:color w:val="auto"/>
          <w:sz w:val="24"/>
          <w:highlight w:val="none"/>
        </w:rPr>
        <w:t>上</w:t>
      </w:r>
      <w:r>
        <w:rPr>
          <w:rFonts w:ascii="宋体" w:hAnsi="宋体" w:eastAsia="宋体" w:cs="宋体"/>
          <w:b w:val="0"/>
          <w:bCs/>
          <w:color w:val="auto"/>
          <w:sz w:val="24"/>
          <w:highlight w:val="none"/>
        </w:rPr>
        <w:t>标明响应服务的单价</w:t>
      </w:r>
      <w:r>
        <w:rPr>
          <w:rFonts w:hint="eastAsia" w:ascii="宋体" w:hAnsi="宋体"/>
          <w:b w:val="0"/>
          <w:bCs/>
          <w:color w:val="auto"/>
          <w:sz w:val="24"/>
          <w:highlight w:val="none"/>
        </w:rPr>
        <w:t>（如适用）</w:t>
      </w:r>
      <w:r>
        <w:rPr>
          <w:rFonts w:ascii="宋体" w:hAnsi="宋体" w:eastAsia="宋体" w:cs="宋体"/>
          <w:b w:val="0"/>
          <w:bCs/>
          <w:color w:val="auto"/>
          <w:sz w:val="24"/>
          <w:highlight w:val="none"/>
        </w:rPr>
        <w:t>和总价。</w:t>
      </w:r>
    </w:p>
    <w:p>
      <w:pPr>
        <w:pageBreakBefore w:val="0"/>
        <w:widowControl w:val="0"/>
        <w:kinsoku/>
        <w:wordWrap/>
        <w:overflowPunct/>
        <w:topLinePunct w:val="0"/>
        <w:bidi w:val="0"/>
        <w:snapToGrid/>
        <w:spacing w:line="500" w:lineRule="exact"/>
        <w:ind w:firstLine="480" w:firstLineChars="200"/>
        <w:jc w:val="left"/>
        <w:textAlignment w:val="auto"/>
        <w:rPr>
          <w:b w:val="0"/>
          <w:bCs/>
          <w:color w:val="auto"/>
          <w:highlight w:val="none"/>
        </w:rPr>
      </w:pPr>
      <w:r>
        <w:rPr>
          <w:rFonts w:hint="eastAsia" w:ascii="宋体" w:hAnsi="宋体"/>
          <w:b w:val="0"/>
          <w:bCs/>
          <w:color w:val="auto"/>
          <w:sz w:val="24"/>
          <w:highlight w:val="none"/>
          <w:lang w:val="en-US" w:eastAsia="zh-CN"/>
        </w:rPr>
        <w:t>11.3</w:t>
      </w:r>
      <w:r>
        <w:rPr>
          <w:rFonts w:hint="eastAsia" w:ascii="宋体" w:hAnsi="宋体"/>
          <w:b w:val="0"/>
          <w:bCs/>
          <w:color w:val="auto"/>
          <w:sz w:val="24"/>
          <w:highlight w:val="none"/>
        </w:rPr>
        <w:t>供应商报价超过</w:t>
      </w:r>
      <w:r>
        <w:rPr>
          <w:rFonts w:hint="eastAsia" w:ascii="宋体" w:hAnsi="宋体"/>
          <w:b w:val="0"/>
          <w:bCs/>
          <w:color w:val="auto"/>
          <w:sz w:val="24"/>
          <w:highlight w:val="none"/>
          <w:lang w:val="en-US" w:eastAsia="zh-CN"/>
        </w:rPr>
        <w:t>采购</w:t>
      </w:r>
      <w:r>
        <w:rPr>
          <w:rFonts w:hint="eastAsia" w:ascii="宋体" w:hAnsi="宋体"/>
          <w:b w:val="0"/>
          <w:bCs/>
          <w:color w:val="auto"/>
          <w:sz w:val="24"/>
          <w:highlight w:val="none"/>
        </w:rPr>
        <w:t>文件规定的预算金额或者最高限价的，其</w:t>
      </w:r>
      <w:r>
        <w:rPr>
          <w:rFonts w:hint="eastAsia" w:ascii="宋体" w:hAnsi="宋体"/>
          <w:b w:val="0"/>
          <w:bCs/>
          <w:color w:val="auto"/>
          <w:sz w:val="24"/>
          <w:highlight w:val="none"/>
          <w:lang w:eastAsia="zh-CN"/>
        </w:rPr>
        <w:t>响应</w:t>
      </w:r>
      <w:r>
        <w:rPr>
          <w:rFonts w:hint="eastAsia" w:ascii="宋体" w:hAnsi="宋体"/>
          <w:b w:val="0"/>
          <w:bCs/>
          <w:color w:val="auto"/>
          <w:sz w:val="24"/>
          <w:highlight w:val="none"/>
        </w:rPr>
        <w:t>将被认定为</w:t>
      </w:r>
      <w:r>
        <w:rPr>
          <w:rFonts w:hint="eastAsia" w:ascii="宋体" w:hAnsi="宋体"/>
          <w:b w:val="0"/>
          <w:bCs/>
          <w:color w:val="auto"/>
          <w:sz w:val="24"/>
          <w:highlight w:val="none"/>
          <w:lang w:eastAsia="zh-CN"/>
        </w:rPr>
        <w:t>响应</w:t>
      </w:r>
      <w:r>
        <w:rPr>
          <w:rFonts w:hint="eastAsia" w:ascii="宋体" w:hAnsi="宋体"/>
          <w:b w:val="0"/>
          <w:bCs/>
          <w:color w:val="auto"/>
          <w:sz w:val="24"/>
          <w:highlight w:val="none"/>
        </w:rPr>
        <w:t>无效</w:t>
      </w:r>
      <w:r>
        <w:rPr>
          <w:rFonts w:ascii="宋体" w:hAnsi="宋体"/>
          <w:b w:val="0"/>
          <w:bCs/>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b w:val="0"/>
          <w:bCs/>
          <w:color w:val="auto"/>
          <w:sz w:val="24"/>
          <w:highlight w:val="none"/>
        </w:rPr>
      </w:pPr>
      <w:r>
        <w:rPr>
          <w:rFonts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4</w:t>
      </w:r>
      <w:r>
        <w:rPr>
          <w:rFonts w:ascii="宋体" w:hAnsi="宋体" w:eastAsia="宋体" w:cs="宋体"/>
          <w:b w:val="0"/>
          <w:bCs/>
          <w:color w:val="auto"/>
          <w:sz w:val="24"/>
          <w:highlight w:val="none"/>
        </w:rPr>
        <w:t>供应商提交的最后报价,在合同履行过程中是固定不变的，不得以任何理由予以变更。</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b w:val="0"/>
          <w:bCs/>
          <w:color w:val="auto"/>
          <w:sz w:val="24"/>
          <w:highlight w:val="none"/>
        </w:rPr>
      </w:pPr>
      <w:r>
        <w:rPr>
          <w:rFonts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采购人不接受具有附加条件的报价或多个方案的报价。</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b w:val="0"/>
          <w:bCs/>
          <w:color w:val="auto"/>
          <w:sz w:val="24"/>
          <w:highlight w:val="none"/>
        </w:rPr>
      </w:pPr>
      <w:r>
        <w:rPr>
          <w:rFonts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6</w:t>
      </w:r>
      <w:r>
        <w:rPr>
          <w:rFonts w:hint="eastAsia" w:ascii="宋体" w:hAnsi="宋体"/>
          <w:b w:val="0"/>
          <w:bCs/>
          <w:color w:val="auto"/>
          <w:sz w:val="24"/>
          <w:highlight w:val="none"/>
        </w:rPr>
        <w:t>除</w:t>
      </w:r>
      <w:r>
        <w:rPr>
          <w:rFonts w:hint="eastAsia" w:ascii="宋体" w:hAnsi="宋体"/>
          <w:b w:val="0"/>
          <w:bCs/>
          <w:color w:val="auto"/>
          <w:sz w:val="24"/>
          <w:highlight w:val="none"/>
          <w:u w:val="single"/>
        </w:rPr>
        <w:t>供应商须知资料表</w:t>
      </w:r>
      <w:r>
        <w:rPr>
          <w:rFonts w:hint="eastAsia" w:ascii="宋体" w:hAnsi="宋体"/>
          <w:b w:val="0"/>
          <w:bCs/>
          <w:color w:val="auto"/>
          <w:sz w:val="24"/>
          <w:highlight w:val="none"/>
        </w:rPr>
        <w:t>另有规定外，供应商不得递交备选响应方案。允许供应商递交备选响应方案的，只有成交供应商所递交的备选响应方案方可予以考虑。</w:t>
      </w:r>
      <w:r>
        <w:rPr>
          <w:rFonts w:hint="eastAsia" w:ascii="宋体" w:hAnsi="宋体" w:cs="宋体"/>
          <w:b w:val="0"/>
          <w:bCs/>
          <w:color w:val="auto"/>
          <w:sz w:val="24"/>
          <w:highlight w:val="none"/>
        </w:rPr>
        <w:t>磋商小组</w:t>
      </w:r>
      <w:r>
        <w:rPr>
          <w:rFonts w:hint="eastAsia" w:ascii="宋体" w:hAnsi="宋体"/>
          <w:b w:val="0"/>
          <w:bCs/>
          <w:color w:val="auto"/>
          <w:sz w:val="24"/>
          <w:highlight w:val="none"/>
        </w:rPr>
        <w:t>认为成交供应商的备选响应方案优于其按照</w:t>
      </w:r>
      <w:r>
        <w:rPr>
          <w:rFonts w:hint="eastAsia" w:ascii="宋体" w:hAnsi="宋体"/>
          <w:b w:val="0"/>
          <w:bCs/>
          <w:color w:val="auto"/>
          <w:sz w:val="24"/>
          <w:highlight w:val="none"/>
          <w:lang w:eastAsia="zh-CN"/>
        </w:rPr>
        <w:t>采购文件</w:t>
      </w:r>
      <w:r>
        <w:rPr>
          <w:rFonts w:hint="eastAsia" w:ascii="宋体" w:hAnsi="宋体"/>
          <w:b w:val="0"/>
          <w:bCs/>
          <w:color w:val="auto"/>
          <w:sz w:val="24"/>
          <w:highlight w:val="none"/>
        </w:rPr>
        <w:t>要求编制的响应方案的，采购人可以接受该备选响应方案。</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11.</w:t>
      </w:r>
      <w:r>
        <w:rPr>
          <w:rFonts w:hint="eastAsia" w:ascii="宋体" w:hAnsi="宋体" w:eastAsia="宋体" w:cs="宋体"/>
          <w:b w:val="0"/>
          <w:bCs/>
          <w:color w:val="auto"/>
          <w:sz w:val="24"/>
          <w:highlight w:val="none"/>
          <w:lang w:val="en-US" w:eastAsia="zh-CN"/>
        </w:rPr>
        <w:t>7</w:t>
      </w:r>
      <w:r>
        <w:rPr>
          <w:rFonts w:ascii="宋体" w:hAnsi="宋体" w:eastAsia="宋体" w:cs="宋体"/>
          <w:b w:val="0"/>
          <w:bCs/>
          <w:color w:val="auto"/>
          <w:sz w:val="24"/>
          <w:highlight w:val="none"/>
        </w:rPr>
        <w:t>通过资格性审查和符合性审查的供应商有再次报价的机会，但每一次报价均应以书面形式确认。价格的评审以</w:t>
      </w:r>
      <w:r>
        <w:rPr>
          <w:rFonts w:hint="eastAsia" w:ascii="宋体" w:hAnsi="宋体" w:eastAsia="宋体" w:cs="宋体"/>
          <w:b w:val="0"/>
          <w:bCs/>
          <w:color w:val="auto"/>
          <w:sz w:val="24"/>
          <w:highlight w:val="none"/>
        </w:rPr>
        <w:t>最后报价</w:t>
      </w:r>
      <w:r>
        <w:rPr>
          <w:rFonts w:ascii="宋体" w:hAnsi="宋体" w:eastAsia="宋体" w:cs="宋体"/>
          <w:b w:val="0"/>
          <w:bCs/>
          <w:color w:val="auto"/>
          <w:sz w:val="24"/>
          <w:highlight w:val="none"/>
        </w:rPr>
        <w:t>为准。</w:t>
      </w:r>
    </w:p>
    <w:p>
      <w:pPr>
        <w:pageBreakBefore w:val="0"/>
        <w:widowControl w:val="0"/>
        <w:kinsoku/>
        <w:wordWrap/>
        <w:overflowPunct/>
        <w:topLinePunct w:val="0"/>
        <w:bidi w:val="0"/>
        <w:snapToGrid/>
        <w:spacing w:line="500" w:lineRule="exact"/>
        <w:textAlignment w:val="auto"/>
        <w:outlineLvl w:val="2"/>
        <w:rPr>
          <w:rFonts w:ascii="宋体" w:hAnsi="宋体" w:eastAsia="宋体" w:cs="宋体"/>
          <w:b/>
          <w:bCs w:val="0"/>
          <w:color w:val="auto"/>
          <w:sz w:val="24"/>
          <w:highlight w:val="none"/>
        </w:rPr>
      </w:pPr>
      <w:bookmarkStart w:id="51" w:name="_Toc5617"/>
      <w:r>
        <w:rPr>
          <w:rFonts w:ascii="宋体" w:hAnsi="宋体" w:eastAsia="宋体" w:cs="宋体"/>
          <w:b/>
          <w:bCs w:val="0"/>
          <w:color w:val="auto"/>
          <w:sz w:val="24"/>
          <w:highlight w:val="none"/>
        </w:rPr>
        <w:t>1</w:t>
      </w:r>
      <w:r>
        <w:rPr>
          <w:rFonts w:hint="eastAsia" w:ascii="宋体" w:hAnsi="宋体" w:eastAsia="宋体" w:cs="宋体"/>
          <w:b/>
          <w:bCs w:val="0"/>
          <w:color w:val="auto"/>
          <w:sz w:val="24"/>
          <w:highlight w:val="none"/>
          <w:lang w:val="en-US" w:eastAsia="zh-CN"/>
        </w:rPr>
        <w:t>2.</w:t>
      </w:r>
      <w:r>
        <w:rPr>
          <w:rFonts w:ascii="宋体" w:hAnsi="宋体" w:eastAsia="宋体" w:cs="宋体"/>
          <w:b/>
          <w:bCs w:val="0"/>
          <w:color w:val="auto"/>
          <w:sz w:val="24"/>
          <w:highlight w:val="none"/>
        </w:rPr>
        <w:t>电子版响应文件</w:t>
      </w:r>
      <w:bookmarkEnd w:id="51"/>
    </w:p>
    <w:p>
      <w:pPr>
        <w:pageBreakBefore w:val="0"/>
        <w:widowControl w:val="0"/>
        <w:kinsoku/>
        <w:wordWrap/>
        <w:overflowPunct/>
        <w:topLinePunct w:val="0"/>
        <w:bidi w:val="0"/>
        <w:snapToGrid/>
        <w:spacing w:line="500" w:lineRule="exact"/>
        <w:ind w:firstLine="480" w:firstLineChars="200"/>
        <w:textAlignment w:val="auto"/>
        <w:rPr>
          <w:rFonts w:hint="eastAsia" w:ascii="宋体" w:hAnsi="宋体" w:eastAsia="宋体" w:cs="宋体"/>
          <w:b w:val="0"/>
          <w:bCs/>
          <w:color w:val="auto"/>
          <w:sz w:val="24"/>
          <w:highlight w:val="none"/>
          <w:lang w:val="en-US" w:eastAsia="zh-CN"/>
        </w:rPr>
      </w:pPr>
      <w:r>
        <w:rPr>
          <w:rFonts w:ascii="宋体" w:hAnsi="宋体" w:eastAsia="宋体" w:cs="宋体"/>
          <w:b w:val="0"/>
          <w:bCs/>
          <w:color w:val="auto"/>
          <w:sz w:val="24"/>
          <w:highlight w:val="none"/>
        </w:rPr>
        <w:t>1</w:t>
      </w:r>
      <w:r>
        <w:rPr>
          <w:rFonts w:hint="eastAsia" w:ascii="宋体" w:hAnsi="宋体" w:eastAsia="宋体" w:cs="宋体"/>
          <w:b w:val="0"/>
          <w:bCs/>
          <w:color w:val="auto"/>
          <w:sz w:val="24"/>
          <w:highlight w:val="none"/>
          <w:lang w:val="en-US" w:eastAsia="zh-CN"/>
        </w:rPr>
        <w:t>2</w:t>
      </w:r>
      <w:r>
        <w:rPr>
          <w:rFonts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1</w:t>
      </w:r>
      <w:r>
        <w:rPr>
          <w:rFonts w:ascii="宋体" w:hAnsi="宋体" w:eastAsia="宋体" w:cs="宋体"/>
          <w:b w:val="0"/>
          <w:bCs/>
          <w:color w:val="auto"/>
          <w:sz w:val="24"/>
          <w:highlight w:val="none"/>
        </w:rPr>
        <w:t>电子版响应文件内容为上述10.6.1、10.6.2、10.6.3、10.6.4条款要求内容</w:t>
      </w:r>
      <w:r>
        <w:rPr>
          <w:rFonts w:hint="eastAsia" w:ascii="宋体" w:hAnsi="宋体" w:eastAsia="宋体" w:cs="宋体"/>
          <w:b w:val="0"/>
          <w:bCs/>
          <w:color w:val="auto"/>
          <w:sz w:val="24"/>
          <w:highlight w:val="none"/>
          <w:lang w:val="en-US" w:eastAsia="zh-CN"/>
        </w:rPr>
        <w:t>,格式为加密的电子响应文件（文件格式为.zbtf）。</w:t>
      </w:r>
    </w:p>
    <w:p>
      <w:pPr>
        <w:pageBreakBefore w:val="0"/>
        <w:widowControl w:val="0"/>
        <w:kinsoku/>
        <w:wordWrap/>
        <w:overflowPunct/>
        <w:topLinePunct w:val="0"/>
        <w:bidi w:val="0"/>
        <w:snapToGrid/>
        <w:spacing w:line="500" w:lineRule="exact"/>
        <w:ind w:firstLine="480" w:firstLineChars="200"/>
        <w:jc w:val="left"/>
        <w:textAlignment w:val="auto"/>
        <w:rPr>
          <w:b w:val="0"/>
          <w:bCs/>
          <w:color w:val="auto"/>
          <w:highlight w:val="none"/>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2.</w:t>
      </w:r>
      <w:r>
        <w:rPr>
          <w:rFonts w:hint="eastAsia" w:ascii="宋体" w:hAnsi="宋体"/>
          <w:b w:val="0"/>
          <w:bCs/>
          <w:color w:val="auto"/>
          <w:sz w:val="24"/>
          <w:highlight w:val="none"/>
        </w:rPr>
        <w:t>2</w:t>
      </w:r>
      <w:r>
        <w:rPr>
          <w:rFonts w:hint="eastAsia" w:ascii="宋体" w:hAnsi="宋体"/>
          <w:b w:val="0"/>
          <w:bCs/>
          <w:color w:val="auto"/>
          <w:sz w:val="24"/>
          <w:highlight w:val="none"/>
          <w:lang w:val="en-US" w:eastAsia="zh-CN"/>
        </w:rPr>
        <w:t>供应商应当在提交响应文件</w:t>
      </w:r>
      <w:r>
        <w:rPr>
          <w:rFonts w:hint="eastAsia" w:ascii="宋体" w:hAnsi="宋体"/>
          <w:b w:val="0"/>
          <w:bCs/>
          <w:color w:val="auto"/>
          <w:sz w:val="24"/>
          <w:highlight w:val="none"/>
        </w:rPr>
        <w:t>截止时间前通过淄博市公共资源交易平台</w:t>
      </w:r>
      <w:r>
        <w:rPr>
          <w:rFonts w:hint="eastAsia" w:ascii="宋体" w:hAnsi="宋体"/>
          <w:b w:val="0"/>
          <w:bCs/>
          <w:color w:val="auto"/>
          <w:sz w:val="24"/>
          <w:highlight w:val="none"/>
          <w:lang w:val="en-US" w:eastAsia="zh-CN"/>
        </w:rPr>
        <w:t>系统</w:t>
      </w:r>
      <w:r>
        <w:rPr>
          <w:rFonts w:hint="eastAsia" w:ascii="宋体" w:hAnsi="宋体"/>
          <w:b w:val="0"/>
          <w:bCs/>
          <w:color w:val="auto"/>
          <w:sz w:val="24"/>
          <w:highlight w:val="none"/>
        </w:rPr>
        <w:t>上传</w:t>
      </w:r>
      <w:r>
        <w:rPr>
          <w:rFonts w:hint="eastAsia" w:ascii="宋体" w:hAnsi="宋体"/>
          <w:b w:val="0"/>
          <w:bCs/>
          <w:color w:val="auto"/>
          <w:sz w:val="24"/>
          <w:highlight w:val="none"/>
          <w:lang w:val="en-US" w:eastAsia="zh-CN"/>
        </w:rPr>
        <w:t>响应文件</w:t>
      </w:r>
      <w:r>
        <w:rPr>
          <w:rFonts w:hint="eastAsia" w:ascii="宋体" w:hAnsi="宋体"/>
          <w:b w:val="0"/>
          <w:bCs/>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2.3</w:t>
      </w:r>
      <w:r>
        <w:rPr>
          <w:rFonts w:ascii="宋体" w:hAnsi="宋体" w:eastAsia="宋体" w:cs="宋体"/>
          <w:color w:val="auto"/>
          <w:sz w:val="24"/>
          <w:highlight w:val="none"/>
        </w:rPr>
        <w:t>无论成交结果如何，</w:t>
      </w:r>
      <w:r>
        <w:rPr>
          <w:rFonts w:hint="eastAsia" w:ascii="宋体" w:hAnsi="宋体" w:eastAsia="宋体" w:cs="宋体"/>
          <w:color w:val="auto"/>
          <w:sz w:val="24"/>
          <w:highlight w:val="none"/>
          <w:lang w:val="en-US" w:eastAsia="zh-CN"/>
        </w:rPr>
        <w:t>在开启后，</w:t>
      </w:r>
      <w:r>
        <w:rPr>
          <w:rFonts w:ascii="宋体" w:hAnsi="宋体" w:eastAsia="宋体" w:cs="宋体"/>
          <w:color w:val="auto"/>
          <w:sz w:val="24"/>
          <w:highlight w:val="none"/>
        </w:rPr>
        <w:t>电子版响应文件均不退回。</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52" w:name="_Toc19059"/>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3</w:t>
      </w:r>
      <w:r>
        <w:rPr>
          <w:rFonts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磋商</w:t>
      </w:r>
      <w:r>
        <w:rPr>
          <w:rFonts w:ascii="宋体" w:hAnsi="宋体" w:eastAsia="宋体" w:cs="宋体"/>
          <w:b/>
          <w:color w:val="auto"/>
          <w:sz w:val="24"/>
          <w:highlight w:val="none"/>
        </w:rPr>
        <w:t>保证金</w:t>
      </w:r>
      <w:bookmarkEnd w:id="52"/>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根据鲁财采〔</w:t>
      </w:r>
      <w:r>
        <w:rPr>
          <w:rFonts w:ascii="宋体" w:hAnsi="宋体" w:eastAsia="宋体" w:cs="宋体"/>
          <w:b w:val="0"/>
          <w:bCs w:val="0"/>
          <w:color w:val="auto"/>
          <w:sz w:val="24"/>
          <w:highlight w:val="none"/>
        </w:rPr>
        <w:t>2019</w:t>
      </w:r>
      <w:r>
        <w:rPr>
          <w:rFonts w:hint="eastAsia" w:ascii="宋体" w:hAnsi="宋体" w:eastAsia="宋体" w:cs="宋体"/>
          <w:b w:val="0"/>
          <w:bCs w:val="0"/>
          <w:color w:val="auto"/>
          <w:sz w:val="24"/>
          <w:highlight w:val="none"/>
        </w:rPr>
        <w:t>〕</w:t>
      </w:r>
      <w:r>
        <w:rPr>
          <w:rFonts w:ascii="宋体" w:hAnsi="宋体" w:eastAsia="宋体" w:cs="宋体"/>
          <w:b w:val="0"/>
          <w:bCs w:val="0"/>
          <w:color w:val="auto"/>
          <w:sz w:val="24"/>
          <w:highlight w:val="none"/>
        </w:rPr>
        <w:t>40</w:t>
      </w:r>
      <w:r>
        <w:rPr>
          <w:rFonts w:hint="eastAsia" w:ascii="宋体" w:hAnsi="宋体" w:eastAsia="宋体" w:cs="宋体"/>
          <w:b w:val="0"/>
          <w:bCs w:val="0"/>
          <w:color w:val="auto"/>
          <w:sz w:val="24"/>
          <w:highlight w:val="none"/>
        </w:rPr>
        <w:t>号、淄财采〔</w:t>
      </w:r>
      <w:r>
        <w:rPr>
          <w:rFonts w:ascii="宋体" w:hAnsi="宋体" w:eastAsia="宋体" w:cs="宋体"/>
          <w:b w:val="0"/>
          <w:bCs w:val="0"/>
          <w:color w:val="auto"/>
          <w:sz w:val="24"/>
          <w:highlight w:val="none"/>
        </w:rPr>
        <w:t>2019</w:t>
      </w:r>
      <w:r>
        <w:rPr>
          <w:rFonts w:hint="eastAsia" w:ascii="宋体" w:hAnsi="宋体" w:eastAsia="宋体" w:cs="宋体"/>
          <w:b w:val="0"/>
          <w:bCs w:val="0"/>
          <w:color w:val="auto"/>
          <w:sz w:val="24"/>
          <w:highlight w:val="none"/>
        </w:rPr>
        <w:t>〕</w:t>
      </w:r>
      <w:r>
        <w:rPr>
          <w:rFonts w:ascii="宋体" w:hAnsi="宋体" w:eastAsia="宋体" w:cs="宋体"/>
          <w:b w:val="0"/>
          <w:bCs w:val="0"/>
          <w:color w:val="auto"/>
          <w:sz w:val="24"/>
          <w:highlight w:val="none"/>
        </w:rPr>
        <w:t>7</w:t>
      </w:r>
      <w:r>
        <w:rPr>
          <w:rFonts w:hint="eastAsia" w:ascii="宋体" w:hAnsi="宋体" w:eastAsia="宋体" w:cs="宋体"/>
          <w:b w:val="0"/>
          <w:bCs w:val="0"/>
          <w:color w:val="auto"/>
          <w:sz w:val="24"/>
          <w:highlight w:val="none"/>
        </w:rPr>
        <w:t>号的规定，</w:t>
      </w:r>
      <w:r>
        <w:rPr>
          <w:rFonts w:hint="eastAsia" w:ascii="宋体" w:hAnsi="宋体"/>
          <w:b w:val="0"/>
          <w:bCs w:val="0"/>
          <w:color w:val="auto"/>
          <w:sz w:val="24"/>
          <w:highlight w:val="none"/>
          <w:lang w:val="en-US" w:eastAsia="zh-CN"/>
        </w:rPr>
        <w:t>本项目不收取</w:t>
      </w:r>
      <w:r>
        <w:rPr>
          <w:rFonts w:hint="eastAsia" w:ascii="宋体" w:hAnsi="宋体" w:eastAsia="宋体" w:cs="宋体"/>
          <w:b w:val="0"/>
          <w:bCs w:val="0"/>
          <w:color w:val="auto"/>
          <w:sz w:val="24"/>
          <w:highlight w:val="none"/>
        </w:rPr>
        <w:t>磋商保证金。</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53" w:name="_Toc17583"/>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4</w:t>
      </w:r>
      <w:r>
        <w:rPr>
          <w:rFonts w:ascii="宋体" w:hAnsi="宋体" w:eastAsia="宋体" w:cs="宋体"/>
          <w:b/>
          <w:color w:val="auto"/>
          <w:sz w:val="24"/>
          <w:highlight w:val="none"/>
        </w:rPr>
        <w:t>.响应有效期</w:t>
      </w:r>
      <w:bookmarkEnd w:id="53"/>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rPr>
        <w:t>.1响应应在</w:t>
      </w:r>
      <w:r>
        <w:rPr>
          <w:rFonts w:ascii="宋体" w:hAnsi="宋体" w:eastAsia="宋体" w:cs="宋体"/>
          <w:color w:val="auto"/>
          <w:sz w:val="24"/>
          <w:highlight w:val="none"/>
          <w:u w:val="single"/>
        </w:rPr>
        <w:t>供应商须知资料表</w:t>
      </w:r>
      <w:r>
        <w:rPr>
          <w:rFonts w:ascii="宋体" w:hAnsi="宋体" w:eastAsia="宋体" w:cs="宋体"/>
          <w:color w:val="auto"/>
          <w:sz w:val="24"/>
          <w:highlight w:val="none"/>
        </w:rPr>
        <w:t>中规定时间内保持有效。响应有效期不满足要求的响应，其响应文件将被认定为</w:t>
      </w:r>
      <w:r>
        <w:rPr>
          <w:rFonts w:ascii="宋体" w:hAnsi="宋体" w:eastAsia="宋体" w:cs="宋体"/>
          <w:b w:val="0"/>
          <w:bCs/>
          <w:color w:val="auto"/>
          <w:sz w:val="24"/>
          <w:highlight w:val="none"/>
        </w:rPr>
        <w:t>响应文件无效。</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rPr>
        <w:t>.2因特殊原因，采购人或采购代理机构可以在原响应有效期截止之前，要求供应商延长响应文件的有效期。接受该要求的供应商将不会被要求和允许修正其响应。供应商可以拒绝延长响应有效期的要求，且不承担任何责任。上述要求和答复都应以书面形式提交。</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54" w:name="_Toc4512"/>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5</w:t>
      </w:r>
      <w:r>
        <w:rPr>
          <w:rFonts w:ascii="宋体" w:hAnsi="宋体" w:eastAsia="宋体" w:cs="宋体"/>
          <w:b/>
          <w:color w:val="auto"/>
          <w:sz w:val="24"/>
          <w:highlight w:val="none"/>
        </w:rPr>
        <w:t>.响应文件的签署及规定</w:t>
      </w:r>
      <w:bookmarkEnd w:id="54"/>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.1供应商应按</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中的规定，</w:t>
      </w:r>
      <w:r>
        <w:rPr>
          <w:rFonts w:ascii="宋体" w:hAnsi="宋体" w:eastAsia="宋体" w:cs="宋体"/>
          <w:color w:val="auto"/>
          <w:sz w:val="24"/>
          <w:highlight w:val="none"/>
        </w:rPr>
        <w:t>准备和递交</w:t>
      </w:r>
      <w:r>
        <w:rPr>
          <w:rFonts w:hint="eastAsia" w:ascii="宋体" w:hAnsi="宋体" w:eastAsia="宋体" w:cs="宋体"/>
          <w:color w:val="auto"/>
          <w:sz w:val="24"/>
          <w:highlight w:val="none"/>
        </w:rPr>
        <w:t>加密的电子响应文件（文件格式为.zbtf），</w:t>
      </w:r>
      <w:r>
        <w:rPr>
          <w:rFonts w:ascii="宋体" w:hAnsi="宋体" w:eastAsia="宋体" w:cs="宋体"/>
          <w:color w:val="auto"/>
          <w:sz w:val="24"/>
          <w:highlight w:val="none"/>
        </w:rPr>
        <w:t>应</w:t>
      </w:r>
      <w:r>
        <w:rPr>
          <w:rFonts w:hint="eastAsia" w:ascii="宋体" w:hAnsi="宋体" w:eastAsia="宋体" w:cs="宋体"/>
          <w:color w:val="auto"/>
          <w:sz w:val="24"/>
          <w:highlight w:val="none"/>
        </w:rPr>
        <w:t>在响应截止时间前通过淄博市公共资源交易平台</w:t>
      </w:r>
      <w:r>
        <w:rPr>
          <w:rFonts w:hint="eastAsia" w:ascii="宋体" w:hAnsi="宋体" w:eastAsia="宋体" w:cs="宋体"/>
          <w:color w:val="auto"/>
          <w:sz w:val="24"/>
          <w:highlight w:val="none"/>
          <w:lang w:val="en-US" w:eastAsia="zh-CN"/>
        </w:rPr>
        <w:t>系统</w:t>
      </w:r>
      <w:r>
        <w:rPr>
          <w:rFonts w:hint="eastAsia" w:ascii="宋体" w:hAnsi="宋体" w:eastAsia="宋体" w:cs="宋体"/>
          <w:color w:val="auto"/>
          <w:sz w:val="24"/>
          <w:highlight w:val="none"/>
        </w:rPr>
        <w:t>上传。</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.2响应文件因字迹潦草、表达不清所引起的后果由供应商负责。</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.3电子响应文件须按照</w:t>
      </w:r>
      <w:r>
        <w:rPr>
          <w:rFonts w:hint="eastAsia" w:ascii="宋体" w:hAnsi="宋体" w:eastAsia="宋体" w:cs="宋体"/>
          <w:color w:val="auto"/>
          <w:sz w:val="24"/>
          <w:highlight w:val="none"/>
          <w:lang w:eastAsia="zh-CN"/>
        </w:rPr>
        <w:t>采购文件</w:t>
      </w:r>
      <w:r>
        <w:rPr>
          <w:rFonts w:hint="eastAsia" w:ascii="宋体" w:hAnsi="宋体" w:eastAsia="宋体" w:cs="宋体"/>
          <w:color w:val="auto"/>
          <w:sz w:val="24"/>
          <w:highlight w:val="none"/>
        </w:rPr>
        <w:t>要求在指定位置加盖供应商公章及法定代表人（非法人组织的负责人）或其授权代表签章</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签字或盖章</w:t>
      </w:r>
      <w:r>
        <w:rPr>
          <w:rFonts w:hint="eastAsia" w:ascii="宋体" w:hAnsi="宋体"/>
          <w:color w:val="auto"/>
          <w:sz w:val="24"/>
          <w:highlight w:val="none"/>
          <w:lang w:eastAsia="zh-CN"/>
        </w:rPr>
        <w:t>）</w:t>
      </w:r>
      <w:r>
        <w:rPr>
          <w:rFonts w:hint="eastAsia" w:ascii="宋体" w:hAnsi="宋体" w:eastAsia="宋体" w:cs="宋体"/>
          <w:color w:val="auto"/>
          <w:sz w:val="24"/>
          <w:highlight w:val="none"/>
        </w:rPr>
        <w:t>，否则将导致其响应被拒绝。</w:t>
      </w:r>
    </w:p>
    <w:p>
      <w:pPr>
        <w:keepNext/>
        <w:keepLines/>
        <w:pageBreakBefore w:val="0"/>
        <w:widowControl w:val="0"/>
        <w:kinsoku/>
        <w:wordWrap/>
        <w:overflowPunct/>
        <w:topLinePunct w:val="0"/>
        <w:bidi w:val="0"/>
        <w:snapToGrid/>
        <w:spacing w:line="500" w:lineRule="exact"/>
        <w:ind w:left="565" w:hanging="540"/>
        <w:jc w:val="center"/>
        <w:textAlignment w:val="auto"/>
        <w:outlineLvl w:val="1"/>
        <w:rPr>
          <w:rFonts w:ascii="宋体" w:hAnsi="宋体" w:eastAsia="宋体" w:cs="宋体"/>
          <w:b/>
          <w:color w:val="auto"/>
          <w:sz w:val="28"/>
          <w:highlight w:val="none"/>
        </w:rPr>
      </w:pPr>
      <w:bookmarkStart w:id="55" w:name="_Toc12048"/>
      <w:r>
        <w:rPr>
          <w:rFonts w:ascii="宋体" w:hAnsi="宋体" w:eastAsia="宋体" w:cs="宋体"/>
          <w:b/>
          <w:color w:val="auto"/>
          <w:sz w:val="28"/>
          <w:highlight w:val="none"/>
        </w:rPr>
        <w:t>四</w:t>
      </w:r>
      <w:r>
        <w:rPr>
          <w:rFonts w:hint="eastAsia" w:ascii="宋体" w:hAnsi="宋体" w:eastAsia="宋体" w:cs="宋体"/>
          <w:b/>
          <w:color w:val="auto"/>
          <w:sz w:val="28"/>
          <w:highlight w:val="none"/>
          <w:lang w:eastAsia="zh-CN"/>
        </w:rPr>
        <w:t>、</w:t>
      </w:r>
      <w:r>
        <w:rPr>
          <w:rFonts w:ascii="宋体" w:hAnsi="宋体" w:eastAsia="宋体" w:cs="宋体"/>
          <w:b/>
          <w:color w:val="auto"/>
          <w:sz w:val="28"/>
          <w:highlight w:val="none"/>
        </w:rPr>
        <w:t>响应文件的递交</w:t>
      </w:r>
      <w:bookmarkEnd w:id="55"/>
    </w:p>
    <w:p>
      <w:pPr>
        <w:keepNext/>
        <w:keepLines/>
        <w:pageBreakBefore w:val="0"/>
        <w:widowControl w:val="0"/>
        <w:kinsoku/>
        <w:wordWrap/>
        <w:overflowPunct/>
        <w:topLinePunct w:val="0"/>
        <w:bidi w:val="0"/>
        <w:snapToGrid/>
        <w:spacing w:line="500" w:lineRule="exact"/>
        <w:jc w:val="left"/>
        <w:textAlignment w:val="auto"/>
        <w:outlineLvl w:val="2"/>
        <w:rPr>
          <w:rFonts w:hint="eastAsia" w:ascii="宋体" w:hAnsi="宋体" w:eastAsia="宋体" w:cs="宋体"/>
          <w:b/>
          <w:color w:val="auto"/>
          <w:sz w:val="24"/>
          <w:highlight w:val="none"/>
          <w:lang w:eastAsia="zh-CN"/>
        </w:rPr>
      </w:pPr>
      <w:bookmarkStart w:id="56" w:name="_Toc25700"/>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6</w:t>
      </w:r>
      <w:r>
        <w:rPr>
          <w:rFonts w:ascii="宋体" w:hAnsi="宋体" w:eastAsia="宋体" w:cs="宋体"/>
          <w:b/>
          <w:color w:val="auto"/>
          <w:sz w:val="24"/>
          <w:highlight w:val="none"/>
        </w:rPr>
        <w:t>.响应文件的</w:t>
      </w:r>
      <w:r>
        <w:rPr>
          <w:rFonts w:hint="eastAsia" w:ascii="宋体" w:hAnsi="宋体" w:eastAsia="宋体" w:cs="宋体"/>
          <w:b/>
          <w:color w:val="auto"/>
          <w:sz w:val="24"/>
          <w:highlight w:val="none"/>
          <w:lang w:eastAsia="zh-CN"/>
        </w:rPr>
        <w:t>递交</w:t>
      </w:r>
      <w:bookmarkEnd w:id="56"/>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6</w:t>
      </w:r>
      <w:r>
        <w:rPr>
          <w:rFonts w:ascii="宋体" w:hAnsi="宋体" w:eastAsia="宋体" w:cs="宋体"/>
          <w:b w:val="0"/>
          <w:bCs w:val="0"/>
          <w:color w:val="auto"/>
          <w:sz w:val="24"/>
          <w:highlight w:val="none"/>
        </w:rPr>
        <w:t>.1本项目实行电子</w:t>
      </w:r>
      <w:r>
        <w:rPr>
          <w:rFonts w:hint="eastAsia" w:ascii="宋体" w:hAnsi="宋体" w:eastAsia="宋体" w:cs="宋体"/>
          <w:b w:val="0"/>
          <w:bCs w:val="0"/>
          <w:color w:val="auto"/>
          <w:sz w:val="24"/>
          <w:highlight w:val="none"/>
          <w:lang w:eastAsia="zh-CN"/>
        </w:rPr>
        <w:t>响应</w:t>
      </w:r>
      <w:r>
        <w:rPr>
          <w:rFonts w:ascii="宋体" w:hAnsi="宋体" w:eastAsia="宋体" w:cs="宋体"/>
          <w:b w:val="0"/>
          <w:bCs w:val="0"/>
          <w:color w:val="auto"/>
          <w:sz w:val="24"/>
          <w:highlight w:val="none"/>
        </w:rPr>
        <w:t>，供应商无须提交纸质响应文件。供</w:t>
      </w:r>
      <w:r>
        <w:rPr>
          <w:rFonts w:ascii="宋体" w:hAnsi="宋体" w:eastAsia="宋体" w:cs="宋体"/>
          <w:color w:val="auto"/>
          <w:sz w:val="24"/>
          <w:highlight w:val="none"/>
        </w:rPr>
        <w:t>应商应按照本项目</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的要求编制、加密并递交响应文件。供应商在使用系统进行响应文件的过程中遇到涉及平台使用的任何问题，可致电平台技术支持热线咨询，咨询电话请见磋商公告。</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16.2</w:t>
      </w:r>
      <w:r>
        <w:rPr>
          <w:rFonts w:hint="eastAsia" w:ascii="宋体" w:hAnsi="宋体" w:eastAsia="宋体" w:cs="宋体"/>
          <w:color w:val="auto"/>
          <w:sz w:val="24"/>
          <w:highlight w:val="none"/>
        </w:rPr>
        <w:t>供应商递交的电子响应文件因供应商自身原因而导致无法导入淄博网上开评标系统的，该响应文件视为无效响应文件，将导致其响应被拒绝。</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57" w:name="_Toc3117"/>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7</w:t>
      </w:r>
      <w:r>
        <w:rPr>
          <w:rFonts w:ascii="宋体" w:hAnsi="宋体" w:eastAsia="宋体" w:cs="宋体"/>
          <w:b/>
          <w:color w:val="auto"/>
          <w:sz w:val="24"/>
          <w:highlight w:val="none"/>
        </w:rPr>
        <w:t>.响应文件截止</w:t>
      </w:r>
      <w:bookmarkEnd w:id="57"/>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.1供应商应在响应截止时间前，</w:t>
      </w:r>
      <w:r>
        <w:rPr>
          <w:rFonts w:ascii="宋体" w:hAnsi="宋体" w:eastAsia="宋体" w:cs="宋体"/>
          <w:color w:val="auto"/>
          <w:sz w:val="24"/>
          <w:highlight w:val="none"/>
        </w:rPr>
        <w:t>将</w:t>
      </w:r>
      <w:r>
        <w:rPr>
          <w:rFonts w:hint="eastAsia" w:ascii="宋体" w:hAnsi="宋体" w:eastAsia="宋体" w:cs="宋体"/>
          <w:color w:val="auto"/>
          <w:sz w:val="24"/>
          <w:highlight w:val="none"/>
        </w:rPr>
        <w:t>响应</w:t>
      </w:r>
      <w:r>
        <w:rPr>
          <w:rFonts w:ascii="宋体" w:hAnsi="宋体" w:eastAsia="宋体" w:cs="宋体"/>
          <w:color w:val="auto"/>
          <w:sz w:val="24"/>
          <w:highlight w:val="none"/>
        </w:rPr>
        <w:t>文件按照</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要求的方式递交</w:t>
      </w:r>
      <w:r>
        <w:rPr>
          <w:rFonts w:hint="eastAsia" w:ascii="宋体" w:hAnsi="宋体" w:eastAsia="宋体" w:cs="宋体"/>
          <w:color w:val="auto"/>
          <w:sz w:val="24"/>
          <w:highlight w:val="none"/>
        </w:rPr>
        <w:t>。供应商递交响应文件的时间和地点详见</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.2采购人和采购代理机构将拒绝接收在响应截止时间后递交的响应文件。</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.3除</w:t>
      </w:r>
      <w:r>
        <w:rPr>
          <w:rFonts w:hint="eastAsia" w:ascii="宋体" w:hAnsi="宋体" w:eastAsia="宋体" w:cs="宋体"/>
          <w:color w:val="auto"/>
          <w:sz w:val="24"/>
          <w:highlight w:val="none"/>
          <w:u w:val="single"/>
        </w:rPr>
        <w:t>供应商须知资料表</w:t>
      </w:r>
      <w:r>
        <w:rPr>
          <w:rFonts w:hint="eastAsia" w:ascii="宋体" w:hAnsi="宋体" w:eastAsia="宋体" w:cs="宋体"/>
          <w:color w:val="auto"/>
          <w:sz w:val="24"/>
          <w:highlight w:val="none"/>
        </w:rPr>
        <w:t>另有规定外，供应商所递交的响应文件不予退还。</w:t>
      </w:r>
    </w:p>
    <w:p>
      <w:pPr>
        <w:pageBreakBefore w:val="0"/>
        <w:widowControl w:val="0"/>
        <w:kinsoku/>
        <w:wordWrap/>
        <w:overflowPunct/>
        <w:topLinePunct w:val="0"/>
        <w:bidi w:val="0"/>
        <w:snapToGrid/>
        <w:spacing w:line="500" w:lineRule="exact"/>
        <w:textAlignment w:val="auto"/>
        <w:outlineLvl w:val="2"/>
        <w:rPr>
          <w:rFonts w:ascii="宋体" w:hAnsi="宋体" w:eastAsia="宋体" w:cs="宋体"/>
          <w:b/>
          <w:color w:val="auto"/>
          <w:sz w:val="24"/>
          <w:highlight w:val="none"/>
        </w:rPr>
      </w:pPr>
      <w:bookmarkStart w:id="58" w:name="_Toc11129"/>
      <w:r>
        <w:rPr>
          <w:rFonts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8</w:t>
      </w:r>
      <w:r>
        <w:rPr>
          <w:rFonts w:ascii="宋体" w:hAnsi="宋体" w:eastAsia="宋体" w:cs="宋体"/>
          <w:b/>
          <w:color w:val="auto"/>
          <w:sz w:val="24"/>
          <w:highlight w:val="none"/>
        </w:rPr>
        <w:t>.响应文件的接收、修改与撤回</w:t>
      </w:r>
      <w:bookmarkEnd w:id="58"/>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.1采购人或</w:t>
      </w:r>
      <w:r>
        <w:rPr>
          <w:rFonts w:ascii="宋体" w:hAnsi="宋体" w:eastAsia="宋体" w:cs="宋体"/>
          <w:color w:val="auto"/>
          <w:sz w:val="24"/>
          <w:highlight w:val="none"/>
        </w:rPr>
        <w:t>采购代理机构将</w:t>
      </w:r>
      <w:r>
        <w:rPr>
          <w:rFonts w:hint="eastAsia" w:ascii="宋体" w:hAnsi="宋体" w:eastAsia="宋体" w:cs="宋体"/>
          <w:color w:val="auto"/>
          <w:sz w:val="24"/>
          <w:highlight w:val="none"/>
        </w:rPr>
        <w:t>通过淄博市公共资源交易平台系统自动</w:t>
      </w:r>
      <w:r>
        <w:rPr>
          <w:rFonts w:ascii="宋体" w:hAnsi="宋体" w:eastAsia="宋体" w:cs="宋体"/>
          <w:color w:val="auto"/>
          <w:sz w:val="24"/>
          <w:highlight w:val="none"/>
        </w:rPr>
        <w:t>接收</w:t>
      </w:r>
      <w:r>
        <w:rPr>
          <w:rFonts w:hint="eastAsia" w:ascii="宋体" w:hAnsi="宋体" w:eastAsia="宋体" w:cs="宋体"/>
          <w:color w:val="auto"/>
          <w:sz w:val="24"/>
          <w:highlight w:val="none"/>
        </w:rPr>
        <w:t>供应商上传的响应</w:t>
      </w:r>
      <w:r>
        <w:rPr>
          <w:rFonts w:ascii="宋体" w:hAnsi="宋体" w:eastAsia="宋体" w:cs="宋体"/>
          <w:color w:val="auto"/>
          <w:sz w:val="24"/>
          <w:highlight w:val="none"/>
        </w:rPr>
        <w:t>文件。</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.2递交响应文件以后，如果供应商要进行撤回的，须在提交响应文件截止时间前在淄博市公共资源交易</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系统中进行撤回。</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.3如果在提交响应文件截止时间前需要对已经成功生成并上传淄博市公共资源交易</w:t>
      </w:r>
      <w:r>
        <w:rPr>
          <w:rFonts w:hint="eastAsia" w:ascii="宋体" w:hAnsi="宋体" w:eastAsia="宋体" w:cs="宋体"/>
          <w:color w:val="auto"/>
          <w:sz w:val="24"/>
          <w:highlight w:val="none"/>
          <w:lang w:val="en-US" w:eastAsia="zh-CN"/>
        </w:rPr>
        <w:t>平台</w:t>
      </w:r>
      <w:r>
        <w:rPr>
          <w:rFonts w:hint="eastAsia" w:ascii="宋体" w:hAnsi="宋体" w:eastAsia="宋体" w:cs="宋体"/>
          <w:color w:val="auto"/>
          <w:sz w:val="24"/>
          <w:highlight w:val="none"/>
        </w:rPr>
        <w:t>系统的电子响应文件进行修改、补充的，供应商应当先撤回原文件，使用自备计算机和响应文件制作软件重新制作生成新的电子响应文件，并在提交响应文件截止时间前重新上传。</w:t>
      </w:r>
    </w:p>
    <w:p>
      <w:pPr>
        <w:pageBreakBefore w:val="0"/>
        <w:widowControl w:val="0"/>
        <w:kinsoku/>
        <w:wordWrap/>
        <w:overflowPunct/>
        <w:topLinePunct w:val="0"/>
        <w:bidi w:val="0"/>
        <w:snapToGrid/>
        <w:spacing w:line="50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.4在提交响应文件截止时间之后，供应商不得对其响应文件做任何修改。</w:t>
      </w:r>
    </w:p>
    <w:p>
      <w:pPr>
        <w:pageBreakBefore w:val="0"/>
        <w:widowControl w:val="0"/>
        <w:kinsoku/>
        <w:wordWrap/>
        <w:overflowPunct/>
        <w:topLinePunct w:val="0"/>
        <w:bidi w:val="0"/>
        <w:snapToGrid/>
        <w:spacing w:line="500" w:lineRule="exact"/>
        <w:ind w:firstLine="480" w:firstLineChars="200"/>
        <w:textAlignment w:val="auto"/>
        <w:rPr>
          <w:rFonts w:hint="eastAsia" w:ascii="宋体" w:hAnsi="宋体" w:eastAsia="宋体" w:cs="宋体"/>
          <w:color w:val="auto"/>
          <w:sz w:val="24"/>
          <w:highlight w:val="none"/>
        </w:rPr>
      </w:pPr>
    </w:p>
    <w:p>
      <w:pPr>
        <w:keepNext/>
        <w:keepLines/>
        <w:pageBreakBefore w:val="0"/>
        <w:widowControl w:val="0"/>
        <w:kinsoku/>
        <w:wordWrap/>
        <w:overflowPunct/>
        <w:topLinePunct w:val="0"/>
        <w:bidi w:val="0"/>
        <w:snapToGrid/>
        <w:spacing w:line="500" w:lineRule="exact"/>
        <w:ind w:left="565" w:hanging="540"/>
        <w:jc w:val="center"/>
        <w:textAlignment w:val="auto"/>
        <w:outlineLvl w:val="1"/>
        <w:rPr>
          <w:rFonts w:ascii="宋体" w:hAnsi="宋体" w:eastAsia="宋体" w:cs="宋体"/>
          <w:b/>
          <w:color w:val="auto"/>
          <w:sz w:val="28"/>
          <w:highlight w:val="none"/>
        </w:rPr>
      </w:pPr>
      <w:bookmarkStart w:id="59" w:name="_Toc32716"/>
      <w:r>
        <w:rPr>
          <w:rFonts w:ascii="宋体" w:hAnsi="宋体" w:eastAsia="宋体" w:cs="宋体"/>
          <w:b/>
          <w:color w:val="auto"/>
          <w:sz w:val="28"/>
          <w:highlight w:val="none"/>
        </w:rPr>
        <w:t>五</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开</w:t>
      </w:r>
      <w:r>
        <w:rPr>
          <w:rFonts w:hint="eastAsia" w:ascii="宋体" w:hAnsi="宋体" w:eastAsia="宋体" w:cs="宋体"/>
          <w:b/>
          <w:color w:val="auto"/>
          <w:sz w:val="28"/>
          <w:highlight w:val="none"/>
          <w:lang w:val="en-US" w:eastAsia="zh-CN"/>
        </w:rPr>
        <w:t>启</w:t>
      </w:r>
      <w:r>
        <w:rPr>
          <w:rFonts w:ascii="宋体" w:hAnsi="宋体" w:eastAsia="宋体" w:cs="宋体"/>
          <w:b/>
          <w:color w:val="auto"/>
          <w:sz w:val="28"/>
          <w:highlight w:val="none"/>
        </w:rPr>
        <w:t>及磋商</w:t>
      </w:r>
      <w:bookmarkEnd w:id="59"/>
    </w:p>
    <w:p>
      <w:pPr>
        <w:pStyle w:val="6"/>
        <w:pageBreakBefore w:val="0"/>
        <w:widowControl w:val="0"/>
        <w:kinsoku/>
        <w:wordWrap/>
        <w:overflowPunct/>
        <w:topLinePunct w:val="0"/>
        <w:bidi w:val="0"/>
        <w:snapToGrid/>
        <w:spacing w:before="0" w:after="0" w:line="500" w:lineRule="exact"/>
        <w:textAlignment w:val="auto"/>
        <w:outlineLvl w:val="2"/>
        <w:rPr>
          <w:rFonts w:hint="eastAsia" w:hAnsi="宋体" w:eastAsia="宋体" w:cs="宋体"/>
          <w:color w:val="auto"/>
          <w:highlight w:val="none"/>
          <w:u w:val="none"/>
          <w:lang w:eastAsia="zh-CN"/>
        </w:rPr>
      </w:pPr>
      <w:bookmarkStart w:id="60" w:name="_Toc62193410"/>
      <w:bookmarkStart w:id="61" w:name="_Toc18842"/>
      <w:r>
        <w:rPr>
          <w:rFonts w:hint="eastAsia" w:hAnsi="宋体" w:cs="宋体"/>
          <w:color w:val="auto"/>
          <w:highlight w:val="none"/>
          <w:u w:val="none"/>
        </w:rPr>
        <w:t>1</w:t>
      </w:r>
      <w:r>
        <w:rPr>
          <w:rFonts w:hint="eastAsia" w:hAnsi="宋体" w:cs="宋体"/>
          <w:color w:val="auto"/>
          <w:highlight w:val="none"/>
          <w:u w:val="none"/>
          <w:lang w:val="en-US" w:eastAsia="zh-CN"/>
        </w:rPr>
        <w:t>9</w:t>
      </w:r>
      <w:r>
        <w:rPr>
          <w:rFonts w:hint="eastAsia" w:hAnsi="宋体" w:cs="宋体"/>
          <w:color w:val="auto"/>
          <w:highlight w:val="none"/>
          <w:u w:val="none"/>
        </w:rPr>
        <w:t>.</w:t>
      </w:r>
      <w:bookmarkEnd w:id="60"/>
      <w:r>
        <w:rPr>
          <w:rFonts w:hint="eastAsia" w:hAnsi="宋体" w:cs="宋体"/>
          <w:color w:val="auto"/>
          <w:highlight w:val="none"/>
          <w:u w:val="none"/>
          <w:lang w:val="en-US" w:eastAsia="zh-CN"/>
        </w:rPr>
        <w:t>开启</w:t>
      </w:r>
      <w:bookmarkEnd w:id="61"/>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.1采购人和</w:t>
      </w:r>
      <w:r>
        <w:rPr>
          <w:rFonts w:ascii="宋体" w:hAnsi="宋体" w:cs="宋体"/>
          <w:color w:val="auto"/>
          <w:sz w:val="24"/>
          <w:highlight w:val="none"/>
        </w:rPr>
        <w:t>采购代理机构</w:t>
      </w:r>
      <w:r>
        <w:rPr>
          <w:rFonts w:hint="eastAsia" w:ascii="宋体" w:hAnsi="宋体" w:cs="宋体"/>
          <w:color w:val="auto"/>
          <w:sz w:val="24"/>
          <w:highlight w:val="none"/>
        </w:rPr>
        <w:t>将按</w:t>
      </w:r>
      <w:r>
        <w:rPr>
          <w:rFonts w:hint="eastAsia" w:ascii="宋体" w:hAnsi="宋体" w:eastAsia="宋体" w:cs="宋体"/>
          <w:color w:val="auto"/>
          <w:sz w:val="24"/>
          <w:highlight w:val="none"/>
          <w:u w:val="single"/>
        </w:rPr>
        <w:t>供应商须知资料表</w:t>
      </w:r>
      <w:r>
        <w:rPr>
          <w:rFonts w:hint="eastAsia" w:ascii="宋体" w:hAnsi="宋体" w:cs="宋体"/>
          <w:color w:val="auto"/>
          <w:sz w:val="24"/>
          <w:highlight w:val="none"/>
        </w:rPr>
        <w:t>规定的</w:t>
      </w:r>
      <w:r>
        <w:rPr>
          <w:rFonts w:hint="eastAsia" w:ascii="宋体" w:hAnsi="宋体" w:cs="宋体"/>
          <w:color w:val="auto"/>
          <w:sz w:val="24"/>
          <w:highlight w:val="none"/>
          <w:lang w:val="en-US" w:eastAsia="zh-CN"/>
        </w:rPr>
        <w:t>开启响应文件</w:t>
      </w:r>
      <w:r>
        <w:rPr>
          <w:rFonts w:hint="eastAsia" w:ascii="宋体" w:hAnsi="宋体" w:cs="宋体"/>
          <w:color w:val="auto"/>
          <w:sz w:val="24"/>
          <w:highlight w:val="none"/>
        </w:rPr>
        <w:t>时间和地点组织</w:t>
      </w:r>
      <w:r>
        <w:rPr>
          <w:rFonts w:hint="eastAsia" w:ascii="宋体" w:hAnsi="宋体" w:cs="宋体"/>
          <w:color w:val="auto"/>
          <w:sz w:val="24"/>
          <w:highlight w:val="none"/>
          <w:lang w:eastAsia="zh-CN"/>
        </w:rPr>
        <w:t>开启</w:t>
      </w:r>
      <w:r>
        <w:rPr>
          <w:rFonts w:hint="eastAsia" w:ascii="宋体" w:hAnsi="宋体" w:cs="宋体"/>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本项目采用网上开标模式。各供应商无需到达开标现场，请在</w:t>
      </w:r>
      <w:r>
        <w:rPr>
          <w:rFonts w:hint="eastAsia" w:ascii="宋体" w:hAnsi="宋体" w:cs="宋体"/>
          <w:color w:val="auto"/>
          <w:sz w:val="24"/>
          <w:highlight w:val="none"/>
          <w:lang w:eastAsia="zh-CN"/>
        </w:rPr>
        <w:t>开启</w:t>
      </w:r>
      <w:r>
        <w:rPr>
          <w:rFonts w:hint="eastAsia" w:ascii="宋体" w:hAnsi="宋体" w:cs="宋体"/>
          <w:color w:val="auto"/>
          <w:sz w:val="24"/>
          <w:highlight w:val="none"/>
        </w:rPr>
        <w:t>前登录淄博市公共资源交易网（http://ggzyjy.zibo.gov.cn/TPFront/）网上开标大厅。</w:t>
      </w:r>
    </w:p>
    <w:p>
      <w:pPr>
        <w:pageBreakBefore w:val="0"/>
        <w:widowControl w:val="0"/>
        <w:kinsoku/>
        <w:wordWrap/>
        <w:overflowPunct/>
        <w:topLinePunct w:val="0"/>
        <w:bidi w:val="0"/>
        <w:snapToGrid/>
        <w:spacing w:line="500" w:lineRule="exact"/>
        <w:ind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rPr>
        <w:t>1</w:t>
      </w:r>
      <w:r>
        <w:rPr>
          <w:rFonts w:hint="eastAsia" w:ascii="宋体" w:hAnsi="宋体" w:cs="宋体"/>
          <w:b/>
          <w:bCs/>
          <w:color w:val="auto"/>
          <w:sz w:val="24"/>
          <w:highlight w:val="none"/>
          <w:lang w:val="en-US" w:eastAsia="zh-CN"/>
        </w:rPr>
        <w:t>9</w:t>
      </w:r>
      <w:r>
        <w:rPr>
          <w:rFonts w:hint="eastAsia" w:ascii="宋体" w:hAnsi="宋体" w:cs="宋体"/>
          <w:b/>
          <w:bCs/>
          <w:color w:val="auto"/>
          <w:sz w:val="24"/>
          <w:highlight w:val="none"/>
        </w:rPr>
        <w:t>.2</w:t>
      </w:r>
      <w:r>
        <w:rPr>
          <w:rFonts w:hint="eastAsia" w:ascii="宋体" w:hAnsi="宋体" w:cs="宋体"/>
          <w:b/>
          <w:bCs/>
          <w:color w:val="auto"/>
          <w:sz w:val="24"/>
          <w:highlight w:val="none"/>
          <w:lang w:val="en-US" w:eastAsia="zh-CN"/>
        </w:rPr>
        <w:t>提交首次</w:t>
      </w:r>
      <w:r>
        <w:rPr>
          <w:rFonts w:hint="eastAsia" w:ascii="宋体" w:hAnsi="宋体" w:cs="宋体"/>
          <w:b/>
          <w:bCs/>
          <w:color w:val="auto"/>
          <w:sz w:val="24"/>
          <w:highlight w:val="none"/>
        </w:rPr>
        <w:t>响应</w:t>
      </w:r>
      <w:r>
        <w:rPr>
          <w:rFonts w:hint="eastAsia" w:ascii="宋体" w:hAnsi="宋体" w:cs="宋体"/>
          <w:b/>
          <w:bCs/>
          <w:color w:val="auto"/>
          <w:sz w:val="24"/>
          <w:highlight w:val="none"/>
          <w:lang w:val="en-US" w:eastAsia="zh-CN"/>
        </w:rPr>
        <w:t>文件</w:t>
      </w:r>
      <w:r>
        <w:rPr>
          <w:rFonts w:hint="eastAsia" w:ascii="宋体" w:hAnsi="宋体" w:cs="宋体"/>
          <w:b/>
          <w:bCs/>
          <w:color w:val="auto"/>
          <w:sz w:val="24"/>
          <w:highlight w:val="none"/>
        </w:rPr>
        <w:t>截止时间后，请各供应商根据网上</w:t>
      </w:r>
      <w:r>
        <w:rPr>
          <w:rFonts w:hint="eastAsia" w:ascii="宋体" w:hAnsi="宋体" w:cs="宋体"/>
          <w:b/>
          <w:bCs/>
          <w:color w:val="auto"/>
          <w:sz w:val="24"/>
          <w:highlight w:val="none"/>
          <w:lang w:eastAsia="zh-CN"/>
        </w:rPr>
        <w:t>开启</w:t>
      </w:r>
      <w:r>
        <w:rPr>
          <w:rFonts w:hint="eastAsia" w:ascii="宋体" w:hAnsi="宋体" w:cs="宋体"/>
          <w:b/>
          <w:bCs/>
          <w:color w:val="auto"/>
          <w:sz w:val="24"/>
          <w:highlight w:val="none"/>
        </w:rPr>
        <w:t>流程进行操作并对响应文件进行解密，以及答疑、澄清等。</w:t>
      </w:r>
      <w:r>
        <w:rPr>
          <w:rFonts w:hint="eastAsia" w:ascii="宋体" w:hAnsi="宋体" w:cs="宋体"/>
          <w:b/>
          <w:bCs/>
          <w:color w:val="auto"/>
          <w:sz w:val="24"/>
          <w:highlight w:val="none"/>
          <w:lang w:eastAsia="zh-CN"/>
        </w:rPr>
        <w:t>开启</w:t>
      </w:r>
      <w:r>
        <w:rPr>
          <w:rFonts w:hint="eastAsia" w:ascii="宋体" w:hAnsi="宋体" w:cs="宋体"/>
          <w:b/>
          <w:bCs/>
          <w:color w:val="auto"/>
          <w:sz w:val="24"/>
          <w:highlight w:val="none"/>
        </w:rPr>
        <w:t>时，由各供应商在解密开始时间后20分钟内完成解密工作（以网上开标系统解密倒计时为准）</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因供应商自身原因导致未在规定时间内成功解密响应文件的，</w:t>
      </w:r>
      <w:r>
        <w:rPr>
          <w:rFonts w:hint="eastAsia" w:ascii="宋体" w:hAnsi="宋体" w:cs="宋体"/>
          <w:b/>
          <w:bCs/>
          <w:color w:val="auto"/>
          <w:sz w:val="24"/>
          <w:highlight w:val="none"/>
          <w:lang w:val="en-US" w:eastAsia="zh-CN"/>
        </w:rPr>
        <w:t>视为撤销其响应文件</w:t>
      </w:r>
      <w:r>
        <w:rPr>
          <w:rFonts w:hint="eastAsia" w:ascii="宋体" w:hAnsi="宋体" w:cs="宋体"/>
          <w:b/>
          <w:bCs/>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b w:val="0"/>
          <w:bCs w:val="0"/>
          <w:snapToGrid w:val="0"/>
          <w:color w:val="auto"/>
          <w:sz w:val="24"/>
          <w:highlight w:val="none"/>
        </w:rPr>
      </w:pPr>
      <w:r>
        <w:rPr>
          <w:rFonts w:hint="eastAsia" w:ascii="宋体" w:hAnsi="宋体"/>
          <w:b w:val="0"/>
          <w:bCs w:val="0"/>
          <w:snapToGrid w:val="0"/>
          <w:color w:val="auto"/>
          <w:sz w:val="24"/>
          <w:highlight w:val="none"/>
        </w:rPr>
        <w:t>1</w:t>
      </w:r>
      <w:r>
        <w:rPr>
          <w:rFonts w:hint="eastAsia" w:ascii="宋体" w:hAnsi="宋体"/>
          <w:b w:val="0"/>
          <w:bCs w:val="0"/>
          <w:snapToGrid w:val="0"/>
          <w:color w:val="auto"/>
          <w:sz w:val="24"/>
          <w:highlight w:val="none"/>
          <w:lang w:val="en-US" w:eastAsia="zh-CN"/>
        </w:rPr>
        <w:t>9</w:t>
      </w:r>
      <w:r>
        <w:rPr>
          <w:rFonts w:hint="eastAsia" w:ascii="宋体" w:hAnsi="宋体"/>
          <w:b w:val="0"/>
          <w:bCs w:val="0"/>
          <w:color w:val="auto"/>
          <w:sz w:val="24"/>
          <w:highlight w:val="none"/>
        </w:rPr>
        <w:t>.</w:t>
      </w:r>
      <w:r>
        <w:rPr>
          <w:rFonts w:hint="eastAsia" w:ascii="宋体" w:hAnsi="宋体"/>
          <w:b w:val="0"/>
          <w:bCs w:val="0"/>
          <w:snapToGrid w:val="0"/>
          <w:color w:val="auto"/>
          <w:sz w:val="24"/>
          <w:highlight w:val="none"/>
        </w:rPr>
        <w:t>3</w:t>
      </w:r>
      <w:r>
        <w:rPr>
          <w:rFonts w:ascii="宋体" w:hAnsi="宋体"/>
          <w:b w:val="0"/>
          <w:bCs w:val="0"/>
          <w:snapToGrid w:val="0"/>
          <w:color w:val="auto"/>
          <w:sz w:val="24"/>
          <w:highlight w:val="none"/>
        </w:rPr>
        <w:t>采购代理机构</w:t>
      </w:r>
      <w:r>
        <w:rPr>
          <w:rFonts w:hint="eastAsia" w:ascii="宋体" w:hAnsi="宋体"/>
          <w:b w:val="0"/>
          <w:bCs w:val="0"/>
          <w:snapToGrid w:val="0"/>
          <w:color w:val="auto"/>
          <w:sz w:val="24"/>
          <w:highlight w:val="none"/>
        </w:rPr>
        <w:t>将对开</w:t>
      </w:r>
      <w:r>
        <w:rPr>
          <w:rFonts w:hint="eastAsia" w:ascii="宋体" w:hAnsi="宋体"/>
          <w:b w:val="0"/>
          <w:bCs w:val="0"/>
          <w:snapToGrid w:val="0"/>
          <w:color w:val="auto"/>
          <w:sz w:val="24"/>
          <w:highlight w:val="none"/>
          <w:lang w:val="en-US" w:eastAsia="zh-CN"/>
        </w:rPr>
        <w:t>启</w:t>
      </w:r>
      <w:r>
        <w:rPr>
          <w:rFonts w:ascii="宋体" w:hAnsi="宋体"/>
          <w:b w:val="0"/>
          <w:bCs w:val="0"/>
          <w:snapToGrid w:val="0"/>
          <w:color w:val="auto"/>
          <w:sz w:val="24"/>
          <w:highlight w:val="none"/>
        </w:rPr>
        <w:t>过程</w:t>
      </w:r>
      <w:r>
        <w:rPr>
          <w:rFonts w:hint="eastAsia" w:ascii="宋体" w:hAnsi="宋体"/>
          <w:b w:val="0"/>
          <w:bCs w:val="0"/>
          <w:snapToGrid w:val="0"/>
          <w:color w:val="auto"/>
          <w:sz w:val="24"/>
          <w:highlight w:val="none"/>
        </w:rPr>
        <w:t>进行记录，并存档备查。</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b w:val="0"/>
          <w:bCs w:val="0"/>
          <w:color w:val="auto"/>
          <w:sz w:val="24"/>
          <w:highlight w:val="none"/>
        </w:rPr>
      </w:pPr>
      <w:r>
        <w:rPr>
          <w:rFonts w:hint="eastAsia" w:ascii="宋体" w:hAnsi="宋体" w:cs="宋体"/>
          <w:b w:val="0"/>
          <w:bCs w:val="0"/>
          <w:color w:val="auto"/>
          <w:sz w:val="24"/>
          <w:highlight w:val="none"/>
        </w:rPr>
        <w:t>1</w:t>
      </w:r>
      <w:r>
        <w:rPr>
          <w:rFonts w:hint="eastAsia" w:hAnsi="宋体" w:cs="宋体"/>
          <w:b w:val="0"/>
          <w:bCs w:val="0"/>
          <w:color w:val="auto"/>
          <w:sz w:val="24"/>
          <w:highlight w:val="none"/>
          <w:lang w:val="en-US" w:eastAsia="zh-CN"/>
        </w:rPr>
        <w:t>9</w:t>
      </w:r>
      <w:r>
        <w:rPr>
          <w:rFonts w:hint="eastAsia" w:ascii="宋体" w:hAnsi="宋体" w:cs="宋体"/>
          <w:b w:val="0"/>
          <w:bCs w:val="0"/>
          <w:color w:val="auto"/>
          <w:sz w:val="24"/>
          <w:highlight w:val="none"/>
        </w:rPr>
        <w:t>.4</w:t>
      </w:r>
      <w:r>
        <w:rPr>
          <w:rFonts w:hint="eastAsia" w:ascii="宋体" w:hAnsi="宋体"/>
          <w:b w:val="0"/>
          <w:bCs w:val="0"/>
          <w:color w:val="auto"/>
          <w:sz w:val="24"/>
          <w:highlight w:val="none"/>
        </w:rPr>
        <w:t>采购代理机构</w:t>
      </w:r>
      <w:r>
        <w:rPr>
          <w:rFonts w:hint="eastAsia" w:ascii="宋体" w:hAnsi="宋体"/>
          <w:b w:val="0"/>
          <w:bCs w:val="0"/>
          <w:color w:val="auto"/>
          <w:sz w:val="24"/>
          <w:highlight w:val="none"/>
          <w:lang w:val="en-US" w:eastAsia="zh-CN"/>
        </w:rPr>
        <w:t>按照</w:t>
      </w:r>
      <w:r>
        <w:rPr>
          <w:rFonts w:hint="eastAsia" w:ascii="宋体" w:hAnsi="宋体"/>
          <w:b w:val="0"/>
          <w:bCs w:val="0"/>
          <w:color w:val="auto"/>
          <w:sz w:val="24"/>
          <w:highlight w:val="none"/>
          <w:u w:val="single"/>
        </w:rPr>
        <w:t>供应商须知资料表</w:t>
      </w:r>
      <w:r>
        <w:rPr>
          <w:rFonts w:hint="eastAsia" w:ascii="宋体" w:hAnsi="宋体"/>
          <w:b w:val="0"/>
          <w:bCs w:val="0"/>
          <w:color w:val="auto"/>
          <w:sz w:val="24"/>
          <w:highlight w:val="none"/>
          <w:u w:val="none"/>
          <w:lang w:val="en-US" w:eastAsia="zh-CN"/>
        </w:rPr>
        <w:t>要求</w:t>
      </w:r>
      <w:r>
        <w:rPr>
          <w:rFonts w:hint="eastAsia" w:ascii="宋体" w:hAnsi="宋体"/>
          <w:b w:val="0"/>
          <w:bCs w:val="0"/>
          <w:color w:val="auto"/>
          <w:sz w:val="24"/>
          <w:highlight w:val="none"/>
        </w:rPr>
        <w:t>通过网上开标大厅进行开</w:t>
      </w:r>
      <w:r>
        <w:rPr>
          <w:rFonts w:hint="eastAsia" w:ascii="宋体" w:hAnsi="宋体"/>
          <w:b w:val="0"/>
          <w:bCs w:val="0"/>
          <w:color w:val="auto"/>
          <w:sz w:val="24"/>
          <w:highlight w:val="none"/>
          <w:lang w:val="en-US" w:eastAsia="zh-CN"/>
        </w:rPr>
        <w:t>启</w:t>
      </w:r>
      <w:r>
        <w:rPr>
          <w:rFonts w:hint="eastAsia" w:ascii="宋体" w:hAnsi="宋体"/>
          <w:b w:val="0"/>
          <w:bCs w:val="0"/>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b w:val="0"/>
          <w:bCs w:val="0"/>
          <w:snapToGrid w:val="0"/>
          <w:color w:val="auto"/>
          <w:sz w:val="24"/>
          <w:highlight w:val="none"/>
        </w:rPr>
      </w:pPr>
      <w:r>
        <w:rPr>
          <w:rFonts w:hint="eastAsia" w:ascii="宋体" w:hAnsi="宋体" w:cs="宋体"/>
          <w:b w:val="0"/>
          <w:bCs w:val="0"/>
          <w:snapToGrid w:val="0"/>
          <w:color w:val="auto"/>
          <w:sz w:val="24"/>
          <w:highlight w:val="none"/>
        </w:rPr>
        <w:t>对开</w:t>
      </w:r>
      <w:r>
        <w:rPr>
          <w:rFonts w:hint="eastAsia" w:ascii="宋体" w:hAnsi="宋体" w:cs="宋体"/>
          <w:b w:val="0"/>
          <w:bCs w:val="0"/>
          <w:snapToGrid w:val="0"/>
          <w:color w:val="auto"/>
          <w:sz w:val="24"/>
          <w:highlight w:val="none"/>
          <w:lang w:val="en-US" w:eastAsia="zh-CN"/>
        </w:rPr>
        <w:t>启过程及结果</w:t>
      </w:r>
      <w:r>
        <w:rPr>
          <w:rFonts w:hint="eastAsia" w:ascii="宋体" w:hAnsi="宋体" w:cs="宋体"/>
          <w:b w:val="0"/>
          <w:bCs w:val="0"/>
          <w:snapToGrid w:val="0"/>
          <w:color w:val="auto"/>
          <w:sz w:val="24"/>
          <w:highlight w:val="none"/>
        </w:rPr>
        <w:t>有异议，以及认为采购人、采购代理机构相关工作人员有需要回避的情形的，应在网上开标大厅中提出询问或者回避申请。</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b w:val="0"/>
          <w:bCs w:val="0"/>
          <w:snapToGrid w:val="0"/>
          <w:color w:val="auto"/>
          <w:sz w:val="24"/>
          <w:highlight w:val="none"/>
        </w:rPr>
      </w:pPr>
      <w:r>
        <w:rPr>
          <w:rFonts w:hint="eastAsia" w:ascii="宋体" w:hAnsi="宋体" w:cs="宋体"/>
          <w:b w:val="0"/>
          <w:bCs w:val="0"/>
          <w:snapToGrid w:val="0"/>
          <w:color w:val="auto"/>
          <w:sz w:val="24"/>
          <w:highlight w:val="none"/>
        </w:rPr>
        <w:t>供应商在开</w:t>
      </w:r>
      <w:r>
        <w:rPr>
          <w:rFonts w:hint="eastAsia" w:ascii="宋体" w:hAnsi="宋体" w:cs="宋体"/>
          <w:b w:val="0"/>
          <w:bCs w:val="0"/>
          <w:snapToGrid w:val="0"/>
          <w:color w:val="auto"/>
          <w:sz w:val="24"/>
          <w:highlight w:val="none"/>
          <w:lang w:val="en-US" w:eastAsia="zh-CN"/>
        </w:rPr>
        <w:t>启</w:t>
      </w:r>
      <w:r>
        <w:rPr>
          <w:rFonts w:hint="eastAsia" w:ascii="宋体" w:hAnsi="宋体" w:cs="宋体"/>
          <w:b w:val="0"/>
          <w:bCs w:val="0"/>
          <w:snapToGrid w:val="0"/>
          <w:color w:val="auto"/>
          <w:sz w:val="24"/>
          <w:highlight w:val="none"/>
        </w:rPr>
        <w:t>前应根据“网上开标大厅操作手册（投标人）”（具体操作请参考淄博市公共资源交易网→办事指南→服务指南→网上开标大厅操作手册（投标人））提前调试电脑，技术咨询电话：400-998-0000。</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b w:val="0"/>
          <w:bCs w:val="0"/>
          <w:snapToGrid w:val="0"/>
          <w:color w:val="auto"/>
          <w:sz w:val="24"/>
          <w:highlight w:val="none"/>
        </w:rPr>
      </w:pPr>
      <w:r>
        <w:rPr>
          <w:rFonts w:hint="eastAsia" w:ascii="宋体" w:hAnsi="宋体" w:cs="宋体"/>
          <w:b w:val="0"/>
          <w:bCs w:val="0"/>
          <w:snapToGrid w:val="0"/>
          <w:color w:val="auto"/>
          <w:sz w:val="24"/>
          <w:highlight w:val="none"/>
        </w:rPr>
        <w:t>在项目开评标全过程中，供应商应保持实时在线状态，参与远程交互的法定代表人（非法人组织的负责人）或其授权代表应始终为同一个人，中途不得更换，在废标、澄清、提疑、传送文件等情况需要交互时，供应商一端参与交互的人员将被视为本项目供应商的法定代表人（非法人组织的负责人）或其授权代表。磋商小组会随时通过网上开评标系统发出询标信息，供应商应在磋商小组规定时间内通过网上开标大厅或企业会员系统进行回复，未能按时答复的，磋商小组将视同其放弃澄清、说明、补正、最后报价等。</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b w:val="0"/>
          <w:bCs w:val="0"/>
          <w:snapToGrid w:val="0"/>
          <w:color w:val="auto"/>
          <w:sz w:val="24"/>
          <w:highlight w:val="none"/>
        </w:rPr>
      </w:pPr>
      <w:r>
        <w:rPr>
          <w:rFonts w:hint="eastAsia" w:ascii="宋体" w:hAnsi="宋体" w:cs="宋体"/>
          <w:b w:val="0"/>
          <w:bCs w:val="0"/>
          <w:snapToGrid w:val="0"/>
          <w:color w:val="auto"/>
          <w:sz w:val="24"/>
          <w:highlight w:val="none"/>
        </w:rPr>
        <w:t>本项目下载、上传、</w:t>
      </w:r>
      <w:r>
        <w:rPr>
          <w:rFonts w:hint="eastAsia" w:ascii="宋体" w:hAnsi="宋体" w:cs="宋体"/>
          <w:b w:val="0"/>
          <w:bCs w:val="0"/>
          <w:snapToGrid w:val="0"/>
          <w:color w:val="auto"/>
          <w:sz w:val="24"/>
          <w:highlight w:val="none"/>
          <w:lang w:val="en-US" w:eastAsia="zh-CN"/>
        </w:rPr>
        <w:t>开启</w:t>
      </w:r>
      <w:r>
        <w:rPr>
          <w:rFonts w:hint="eastAsia" w:ascii="宋体" w:hAnsi="宋体" w:cs="宋体"/>
          <w:b w:val="0"/>
          <w:bCs w:val="0"/>
          <w:snapToGrid w:val="0"/>
          <w:color w:val="auto"/>
          <w:sz w:val="24"/>
          <w:highlight w:val="none"/>
        </w:rPr>
        <w:t>均通过互联网操作，供应商应充分考虑网络拥堵及平台操作所需时间等因素，保证在开评标期间电脑、网络、预留电话等能够正常使用。</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b w:val="0"/>
          <w:bCs w:val="0"/>
          <w:snapToGrid w:val="0"/>
          <w:color w:val="auto"/>
          <w:sz w:val="24"/>
          <w:highlight w:val="none"/>
        </w:rPr>
      </w:pPr>
      <w:r>
        <w:rPr>
          <w:rFonts w:hint="eastAsia" w:ascii="宋体" w:hAnsi="宋体" w:cs="宋体"/>
          <w:b w:val="0"/>
          <w:bCs w:val="0"/>
          <w:snapToGrid w:val="0"/>
          <w:color w:val="auto"/>
          <w:sz w:val="24"/>
          <w:highlight w:val="none"/>
        </w:rPr>
        <w:t>因以上造成的一切后果由供应商自行承担。</w:t>
      </w:r>
    </w:p>
    <w:p>
      <w:pPr>
        <w:keepNext/>
        <w:keepLines/>
        <w:pageBreakBefore w:val="0"/>
        <w:widowControl w:val="0"/>
        <w:kinsoku/>
        <w:wordWrap/>
        <w:overflowPunct/>
        <w:topLinePunct w:val="0"/>
        <w:autoSpaceDE/>
        <w:autoSpaceDN/>
        <w:bidi w:val="0"/>
        <w:adjustRightInd/>
        <w:snapToGrid/>
        <w:spacing w:line="500" w:lineRule="exact"/>
        <w:ind w:left="0"/>
        <w:jc w:val="left"/>
        <w:textAlignment w:val="auto"/>
        <w:outlineLvl w:val="2"/>
        <w:rPr>
          <w:rFonts w:ascii="宋体" w:hAnsi="宋体" w:eastAsia="宋体" w:cs="宋体"/>
          <w:b/>
          <w:color w:val="auto"/>
          <w:sz w:val="24"/>
          <w:highlight w:val="none"/>
        </w:rPr>
      </w:pPr>
      <w:bookmarkStart w:id="62" w:name="_Toc16270"/>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0</w:t>
      </w:r>
      <w:r>
        <w:rPr>
          <w:rFonts w:ascii="宋体" w:hAnsi="宋体" w:eastAsia="宋体" w:cs="宋体"/>
          <w:b/>
          <w:color w:val="auto"/>
          <w:sz w:val="24"/>
          <w:highlight w:val="none"/>
        </w:rPr>
        <w:t>.资格审查</w:t>
      </w:r>
      <w:bookmarkEnd w:id="62"/>
    </w:p>
    <w:p>
      <w:pPr>
        <w:pageBreakBefore w:val="0"/>
        <w:widowControl w:val="0"/>
        <w:tabs>
          <w:tab w:val="left" w:pos="0"/>
        </w:tabs>
        <w:kinsoku/>
        <w:wordWrap/>
        <w:overflowPunct/>
        <w:topLinePunct w:val="0"/>
        <w:autoSpaceDE/>
        <w:autoSpaceDN/>
        <w:bidi w:val="0"/>
        <w:adjustRightInd/>
        <w:snapToGrid/>
        <w:spacing w:line="500" w:lineRule="exact"/>
        <w:ind w:left="0" w:firstLine="480" w:firstLineChars="200"/>
        <w:textAlignment w:val="auto"/>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color w:val="auto"/>
          <w:sz w:val="24"/>
          <w:highlight w:val="none"/>
        </w:rPr>
        <w:t>2</w:t>
      </w:r>
      <w:r>
        <w:rPr>
          <w:rFonts w:hint="eastAsia" w:cs="宋体" w:asciiTheme="minorEastAsia" w:hAnsiTheme="minorEastAsia"/>
          <w:color w:val="auto"/>
          <w:sz w:val="24"/>
          <w:highlight w:val="none"/>
          <w:lang w:val="en-US" w:eastAsia="zh-CN"/>
        </w:rPr>
        <w:t>0</w:t>
      </w:r>
      <w:r>
        <w:rPr>
          <w:rFonts w:hint="eastAsia" w:cs="宋体" w:asciiTheme="minorEastAsia" w:hAnsiTheme="minorEastAsia"/>
          <w:color w:val="auto"/>
          <w:sz w:val="24"/>
          <w:highlight w:val="none"/>
        </w:rPr>
        <w:t>.</w:t>
      </w:r>
      <w:r>
        <w:rPr>
          <w:rFonts w:hint="eastAsia" w:cs="宋体" w:asciiTheme="minorEastAsia" w:hAnsiTheme="minorEastAsia"/>
          <w:color w:val="auto"/>
          <w:sz w:val="24"/>
          <w:highlight w:val="none"/>
          <w:lang w:val="en-US" w:eastAsia="zh-CN"/>
        </w:rPr>
        <w:t>1</w:t>
      </w:r>
      <w:r>
        <w:rPr>
          <w:rFonts w:hint="eastAsia" w:cs="宋体" w:asciiTheme="minorEastAsia" w:hAnsiTheme="minorEastAsia"/>
          <w:color w:val="auto"/>
          <w:sz w:val="24"/>
          <w:highlight w:val="none"/>
        </w:rPr>
        <w:t>采购人或采购代理机构依据法律法规和</w:t>
      </w:r>
      <w:r>
        <w:rPr>
          <w:rFonts w:hint="eastAsia" w:cs="宋体" w:asciiTheme="minorEastAsia" w:hAnsiTheme="minorEastAsia"/>
          <w:color w:val="auto"/>
          <w:sz w:val="24"/>
          <w:highlight w:val="none"/>
          <w:lang w:eastAsia="zh-CN"/>
        </w:rPr>
        <w:t>采购文件</w:t>
      </w:r>
      <w:r>
        <w:rPr>
          <w:rFonts w:hint="eastAsia" w:cs="宋体" w:asciiTheme="minorEastAsia" w:hAnsiTheme="minorEastAsia"/>
          <w:color w:val="auto"/>
          <w:sz w:val="24"/>
          <w:highlight w:val="none"/>
        </w:rPr>
        <w:t>中规定的内容，对供应商的资格进行审查。未通过资格审查的供应商不进入磋商；通过资格审查的供应商不足3家的，不得磋商</w:t>
      </w:r>
      <w:r>
        <w:rPr>
          <w:rFonts w:hint="eastAsia" w:cs="宋体" w:asciiTheme="minorEastAsia" w:hAnsiTheme="minorEastAsia"/>
          <w:color w:val="auto"/>
          <w:sz w:val="24"/>
          <w:highlight w:val="none"/>
          <w:lang w:eastAsia="zh-CN"/>
        </w:rPr>
        <w:t>，</w:t>
      </w:r>
      <w:r>
        <w:rPr>
          <w:rFonts w:hint="eastAsia" w:cs="宋体" w:asciiTheme="minorEastAsia" w:hAnsiTheme="minorEastAsia"/>
          <w:color w:val="auto"/>
          <w:sz w:val="24"/>
          <w:highlight w:val="none"/>
          <w:lang w:val="en-US" w:eastAsia="zh-CN"/>
        </w:rPr>
        <w:t>法律规定的其他情形除外。</w:t>
      </w:r>
    </w:p>
    <w:p>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cs="宋体" w:asciiTheme="minorEastAsia" w:hAnsiTheme="minorEastAsia"/>
          <w:b w:val="0"/>
          <w:bCs/>
          <w:color w:val="auto"/>
          <w:sz w:val="24"/>
          <w:highlight w:val="none"/>
        </w:rPr>
      </w:pPr>
      <w:r>
        <w:rPr>
          <w:rFonts w:hint="eastAsia" w:ascii="宋体" w:hAnsi="宋体"/>
          <w:color w:val="auto"/>
          <w:sz w:val="24"/>
          <w:highlight w:val="none"/>
          <w:lang w:val="en-US" w:eastAsia="zh-CN"/>
        </w:rPr>
        <w:t>20</w:t>
      </w:r>
      <w:r>
        <w:rPr>
          <w:rFonts w:ascii="宋体" w:hAnsi="宋体"/>
          <w:color w:val="auto"/>
          <w:sz w:val="24"/>
          <w:highlight w:val="none"/>
        </w:rPr>
        <w:t>.2</w:t>
      </w:r>
      <w:r>
        <w:rPr>
          <w:rFonts w:hint="eastAsia" w:ascii="宋体" w:hAnsi="宋体"/>
          <w:color w:val="auto"/>
          <w:sz w:val="24"/>
          <w:highlight w:val="none"/>
        </w:rPr>
        <w:t>采购人或采购代理机构将按</w:t>
      </w:r>
      <w:r>
        <w:rPr>
          <w:rFonts w:hint="eastAsia" w:ascii="宋体" w:hAnsi="宋体"/>
          <w:color w:val="auto"/>
          <w:sz w:val="24"/>
          <w:highlight w:val="none"/>
          <w:u w:val="single"/>
        </w:rPr>
        <w:t>供应商须知资料表</w:t>
      </w:r>
      <w:r>
        <w:rPr>
          <w:rFonts w:hint="eastAsia" w:ascii="宋体" w:hAnsi="宋体"/>
          <w:color w:val="auto"/>
          <w:sz w:val="24"/>
          <w:highlight w:val="none"/>
        </w:rPr>
        <w:t>中规定的时间查询供应商的信用记录。</w:t>
      </w:r>
      <w:r>
        <w:rPr>
          <w:rFonts w:hint="eastAsia" w:ascii="宋体" w:hAnsi="宋体" w:cs="宋体"/>
          <w:color w:val="auto"/>
          <w:sz w:val="24"/>
          <w:highlight w:val="none"/>
        </w:rPr>
        <w:t>供应商在中国政府采购网（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highlight w:val="none"/>
        </w:rPr>
        <w:t>www.ccgp.gov.cn</w:t>
      </w:r>
      <w:r>
        <w:rPr>
          <w:rFonts w:hint="eastAsia" w:ascii="宋体" w:hAnsi="宋体" w:cs="宋体"/>
          <w:color w:val="auto"/>
          <w:highlight w:val="none"/>
        </w:rPr>
        <w:fldChar w:fldCharType="end"/>
      </w:r>
      <w:r>
        <w:rPr>
          <w:rFonts w:hint="eastAsia" w:ascii="宋体" w:hAnsi="宋体" w:cs="宋体"/>
          <w:color w:val="auto"/>
          <w:sz w:val="24"/>
          <w:highlight w:val="none"/>
        </w:rPr>
        <w:t>）被列入政府采购严重违法失信行为记录名单，</w:t>
      </w:r>
      <w:r>
        <w:rPr>
          <w:rFonts w:ascii="宋体" w:hAnsi="宋体" w:cs="宋体"/>
          <w:color w:val="auto"/>
          <w:sz w:val="24"/>
          <w:highlight w:val="none"/>
        </w:rPr>
        <w:t>或</w:t>
      </w:r>
      <w:r>
        <w:rPr>
          <w:rFonts w:hint="eastAsia" w:ascii="宋体" w:hAnsi="宋体" w:cs="宋体"/>
          <w:color w:val="auto"/>
          <w:sz w:val="24"/>
          <w:highlight w:val="none"/>
        </w:rPr>
        <w:t>在“信用中国”网站（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highlight w:val="none"/>
        </w:rPr>
        <w:t>www.creditchina.gov.cn</w:t>
      </w:r>
      <w:r>
        <w:rPr>
          <w:rFonts w:hint="eastAsia" w:ascii="宋体" w:hAnsi="宋体" w:cs="宋体"/>
          <w:color w:val="auto"/>
          <w:highlight w:val="none"/>
        </w:rPr>
        <w:fldChar w:fldCharType="end"/>
      </w:r>
      <w:r>
        <w:rPr>
          <w:rFonts w:hint="eastAsia" w:ascii="宋体" w:hAnsi="宋体" w:cs="宋体"/>
          <w:color w:val="auto"/>
          <w:sz w:val="24"/>
          <w:highlight w:val="none"/>
        </w:rPr>
        <w:t>）被列入失信被执行人、重大税收违法案件当事人名单</w:t>
      </w:r>
      <w:r>
        <w:rPr>
          <w:rFonts w:hint="eastAsia" w:ascii="宋体" w:hAnsi="宋体" w:cs="宋体"/>
          <w:color w:val="auto"/>
          <w:sz w:val="24"/>
          <w:highlight w:val="none"/>
          <w:lang w:val="en-US" w:eastAsia="zh-CN"/>
        </w:rPr>
        <w:t>的</w:t>
      </w:r>
      <w:r>
        <w:rPr>
          <w:rFonts w:hint="eastAsia" w:ascii="宋体" w:hAnsi="宋体"/>
          <w:b/>
          <w:color w:val="auto"/>
          <w:sz w:val="24"/>
          <w:highlight w:val="none"/>
        </w:rPr>
        <w:t>，</w:t>
      </w:r>
      <w:r>
        <w:rPr>
          <w:rFonts w:hint="eastAsia" w:ascii="宋体" w:hAnsi="宋体"/>
          <w:b w:val="0"/>
          <w:bCs/>
          <w:color w:val="auto"/>
          <w:sz w:val="24"/>
          <w:highlight w:val="none"/>
        </w:rPr>
        <w:t>其响应将被</w:t>
      </w:r>
      <w:r>
        <w:rPr>
          <w:rFonts w:hint="eastAsia" w:ascii="宋体" w:hAnsi="宋体"/>
          <w:b w:val="0"/>
          <w:bCs/>
          <w:color w:val="auto"/>
          <w:sz w:val="24"/>
          <w:highlight w:val="none"/>
          <w:lang w:val="en-US" w:eastAsia="zh-CN"/>
        </w:rPr>
        <w:t>拒绝</w:t>
      </w:r>
      <w:r>
        <w:rPr>
          <w:rFonts w:hint="eastAsia" w:ascii="宋体" w:hAnsi="宋体" w:cs="宋体"/>
          <w:b w:val="0"/>
          <w:bCs/>
          <w:color w:val="auto"/>
          <w:sz w:val="24"/>
          <w:highlight w:val="none"/>
        </w:rPr>
        <w:t>。</w:t>
      </w:r>
    </w:p>
    <w:p>
      <w:pPr>
        <w:pageBreakBefore w:val="0"/>
        <w:widowControl w:val="0"/>
        <w:kinsoku/>
        <w:wordWrap/>
        <w:overflowPunct/>
        <w:topLinePunct w:val="0"/>
        <w:autoSpaceDE/>
        <w:autoSpaceDN/>
        <w:bidi w:val="0"/>
        <w:adjustRightInd/>
        <w:snapToGrid/>
        <w:spacing w:line="500" w:lineRule="exact"/>
        <w:ind w:left="0" w:firstLine="480" w:firstLineChars="200"/>
        <w:jc w:val="left"/>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rPr>
        <w:t>以联合体形式进行响应的，联合体任何成员存在以上不良信用记录的，联合体其响应将被</w:t>
      </w:r>
      <w:r>
        <w:rPr>
          <w:rFonts w:hint="eastAsia" w:ascii="宋体" w:hAnsi="宋体"/>
          <w:b w:val="0"/>
          <w:bCs/>
          <w:color w:val="auto"/>
          <w:sz w:val="24"/>
          <w:highlight w:val="none"/>
          <w:lang w:val="en-US" w:eastAsia="zh-CN"/>
        </w:rPr>
        <w:t>拒绝</w:t>
      </w:r>
      <w:r>
        <w:rPr>
          <w:rFonts w:hint="eastAsia" w:ascii="宋体" w:hAnsi="宋体" w:cs="宋体"/>
          <w:b w:val="0"/>
          <w:bCs/>
          <w:color w:val="auto"/>
          <w:sz w:val="24"/>
          <w:highlight w:val="none"/>
        </w:rPr>
        <w:t>。</w:t>
      </w:r>
    </w:p>
    <w:p>
      <w:pPr>
        <w:pageBreakBefore w:val="0"/>
        <w:widowControl w:val="0"/>
        <w:tabs>
          <w:tab w:val="left" w:pos="0"/>
        </w:tabs>
        <w:kinsoku/>
        <w:wordWrap/>
        <w:overflowPunct/>
        <w:topLinePunct w:val="0"/>
        <w:autoSpaceDE/>
        <w:autoSpaceDN/>
        <w:bidi w:val="0"/>
        <w:adjustRightInd/>
        <w:snapToGrid/>
        <w:spacing w:line="500" w:lineRule="exact"/>
        <w:ind w:left="0" w:firstLine="480" w:firstLineChars="200"/>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20.3</w:t>
      </w:r>
      <w:r>
        <w:rPr>
          <w:rFonts w:hint="eastAsia" w:ascii="宋体" w:hAnsi="宋体" w:cs="宋体"/>
          <w:b w:val="0"/>
          <w:bCs/>
          <w:color w:val="auto"/>
          <w:sz w:val="24"/>
          <w:highlight w:val="none"/>
        </w:rPr>
        <w:t>采购人或采购代理机构将信用记录查询情况签字并存档备查。供应商信用记录情况以采购人或采购代理机构查询结果为准。供应商自行提供的与网站信息不一致的其他证明材料亦不作为资格审查的依据。</w:t>
      </w:r>
    </w:p>
    <w:p>
      <w:pPr>
        <w:pageBreakBefore w:val="0"/>
        <w:widowControl w:val="0"/>
        <w:tabs>
          <w:tab w:val="left" w:pos="0"/>
        </w:tabs>
        <w:kinsoku/>
        <w:wordWrap/>
        <w:overflowPunct/>
        <w:topLinePunct w:val="0"/>
        <w:autoSpaceDE/>
        <w:autoSpaceDN/>
        <w:bidi w:val="0"/>
        <w:adjustRightInd/>
        <w:snapToGrid/>
        <w:spacing w:line="500" w:lineRule="exact"/>
        <w:ind w:left="0" w:firstLine="480" w:firstLineChars="200"/>
        <w:textAlignment w:val="auto"/>
        <w:rPr>
          <w:rFonts w:hint="eastAsia" w:ascii="宋体" w:hAnsi="宋体" w:cs="宋体"/>
          <w:b w:val="0"/>
          <w:bCs/>
          <w:color w:val="auto"/>
          <w:sz w:val="24"/>
          <w:highlight w:val="none"/>
        </w:rPr>
      </w:pPr>
      <w:r>
        <w:rPr>
          <w:rFonts w:hint="eastAsia" w:ascii="宋体" w:hAnsi="宋体"/>
          <w:b w:val="0"/>
          <w:bCs/>
          <w:color w:val="auto"/>
          <w:sz w:val="24"/>
          <w:highlight w:val="none"/>
        </w:rPr>
        <w:t>在</w:t>
      </w:r>
      <w:r>
        <w:rPr>
          <w:rFonts w:hint="eastAsia" w:cs="宋体" w:asciiTheme="minorEastAsia" w:hAnsiTheme="minorEastAsia"/>
          <w:b w:val="0"/>
          <w:bCs/>
          <w:color w:val="auto"/>
          <w:sz w:val="24"/>
          <w:highlight w:val="none"/>
          <w:lang w:eastAsia="zh-CN"/>
        </w:rPr>
        <w:t>采购文件</w:t>
      </w:r>
      <w:r>
        <w:rPr>
          <w:rFonts w:hint="eastAsia" w:ascii="宋体" w:hAnsi="宋体"/>
          <w:b w:val="0"/>
          <w:bCs/>
          <w:color w:val="auto"/>
          <w:sz w:val="24"/>
          <w:highlight w:val="none"/>
        </w:rPr>
        <w:t>规定的查询时间之后，网站信息发生的任何变更均不再作为评审依据</w:t>
      </w:r>
      <w:r>
        <w:rPr>
          <w:rFonts w:hint="eastAsia" w:ascii="宋体" w:hAnsi="宋体" w:cs="宋体"/>
          <w:b w:val="0"/>
          <w:bCs/>
          <w:color w:val="auto"/>
          <w:sz w:val="24"/>
          <w:highlight w:val="none"/>
        </w:rPr>
        <w:t>。</w:t>
      </w:r>
    </w:p>
    <w:p>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Calibri" w:hAnsi="Calibri" w:eastAsia="Calibri" w:cs="Calibri"/>
          <w:b w:val="0"/>
          <w:bCs/>
          <w:color w:val="auto"/>
          <w:highlight w:val="none"/>
          <w:u w:val="single"/>
        </w:rPr>
      </w:pPr>
      <w:r>
        <w:rPr>
          <w:rFonts w:hint="eastAsia" w:cs="宋体" w:asciiTheme="minorEastAsia" w:hAnsiTheme="minorEastAsia"/>
          <w:b w:val="0"/>
          <w:bCs/>
          <w:color w:val="auto"/>
          <w:sz w:val="24"/>
          <w:highlight w:val="none"/>
        </w:rPr>
        <w:t>供应商自行提供的与网站信息不一致的其他证明材料不作为资格审查</w:t>
      </w:r>
      <w:r>
        <w:rPr>
          <w:rFonts w:cs="宋体" w:asciiTheme="minorEastAsia" w:hAnsiTheme="minorEastAsia"/>
          <w:b w:val="0"/>
          <w:bCs/>
          <w:color w:val="auto"/>
          <w:sz w:val="24"/>
          <w:highlight w:val="none"/>
        </w:rPr>
        <w:t>的</w:t>
      </w:r>
      <w:r>
        <w:rPr>
          <w:rFonts w:hint="eastAsia" w:cs="宋体" w:asciiTheme="minorEastAsia" w:hAnsiTheme="minorEastAsia"/>
          <w:b w:val="0"/>
          <w:bCs/>
          <w:color w:val="auto"/>
          <w:sz w:val="24"/>
          <w:highlight w:val="none"/>
        </w:rPr>
        <w:t>依据。</w:t>
      </w:r>
    </w:p>
    <w:p>
      <w:pPr>
        <w:pageBreakBefore w:val="0"/>
        <w:widowControl w:val="0"/>
        <w:kinsoku/>
        <w:wordWrap/>
        <w:overflowPunct/>
        <w:topLinePunct w:val="0"/>
        <w:bidi w:val="0"/>
        <w:snapToGrid/>
        <w:spacing w:line="500" w:lineRule="exact"/>
        <w:textAlignment w:val="auto"/>
        <w:outlineLvl w:val="2"/>
        <w:rPr>
          <w:rFonts w:ascii="宋体" w:hAnsi="宋体" w:eastAsia="宋体" w:cs="宋体"/>
          <w:b/>
          <w:color w:val="auto"/>
          <w:sz w:val="24"/>
          <w:highlight w:val="none"/>
        </w:rPr>
      </w:pPr>
      <w:bookmarkStart w:id="63" w:name="_Toc11402"/>
      <w:r>
        <w:rPr>
          <w:rFonts w:hint="eastAsia" w:ascii="宋体" w:hAnsi="宋体" w:eastAsia="宋体" w:cs="宋体"/>
          <w:b/>
          <w:color w:val="auto"/>
          <w:sz w:val="24"/>
          <w:highlight w:val="none"/>
          <w:lang w:val="en-US" w:eastAsia="zh-CN"/>
        </w:rPr>
        <w:t>21</w:t>
      </w:r>
      <w:r>
        <w:rPr>
          <w:rFonts w:ascii="宋体" w:hAnsi="宋体" w:eastAsia="宋体" w:cs="宋体"/>
          <w:b/>
          <w:color w:val="auto"/>
          <w:sz w:val="24"/>
          <w:highlight w:val="none"/>
        </w:rPr>
        <w:t>. 磋商小组</w:t>
      </w:r>
      <w:bookmarkEnd w:id="63"/>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ascii="宋体" w:hAnsi="宋体" w:eastAsia="宋体" w:cs="宋体"/>
          <w:b w:val="0"/>
          <w:bCs w:val="0"/>
          <w:color w:val="auto"/>
          <w:sz w:val="24"/>
          <w:highlight w:val="none"/>
        </w:rPr>
        <w:t>.1采购代理机构将按照</w:t>
      </w:r>
      <w:r>
        <w:rPr>
          <w:rFonts w:hint="eastAsia" w:ascii="宋体" w:hAnsi="宋体"/>
          <w:b w:val="0"/>
          <w:bCs w:val="0"/>
          <w:color w:val="auto"/>
          <w:sz w:val="24"/>
          <w:highlight w:val="none"/>
        </w:rPr>
        <w:t>《政府采购评审专家管理办法》财库</w:t>
      </w:r>
      <w:r>
        <w:rPr>
          <w:rFonts w:hint="eastAsia" w:ascii="宋体" w:hAnsi="宋体" w:cs="宋体"/>
          <w:b w:val="0"/>
          <w:bCs w:val="0"/>
          <w:color w:val="auto"/>
          <w:sz w:val="24"/>
          <w:highlight w:val="none"/>
        </w:rPr>
        <w:t>〔201</w:t>
      </w:r>
      <w:r>
        <w:rPr>
          <w:rFonts w:hint="eastAsia" w:ascii="宋体" w:hAnsi="宋体" w:cs="宋体"/>
          <w:b w:val="0"/>
          <w:bCs w:val="0"/>
          <w:color w:val="auto"/>
          <w:sz w:val="24"/>
          <w:highlight w:val="none"/>
          <w:lang w:val="en-US" w:eastAsia="zh-CN"/>
        </w:rPr>
        <w:t>6</w:t>
      </w:r>
      <w:r>
        <w:rPr>
          <w:rFonts w:hint="eastAsia" w:ascii="宋体" w:hAnsi="宋体" w:cs="宋体"/>
          <w:b w:val="0"/>
          <w:bCs w:val="0"/>
          <w:color w:val="auto"/>
          <w:sz w:val="24"/>
          <w:highlight w:val="none"/>
        </w:rPr>
        <w:t>〕</w:t>
      </w:r>
      <w:r>
        <w:rPr>
          <w:rFonts w:hint="eastAsia" w:ascii="宋体" w:hAnsi="宋体"/>
          <w:b w:val="0"/>
          <w:bCs w:val="0"/>
          <w:color w:val="auto"/>
          <w:sz w:val="24"/>
          <w:highlight w:val="none"/>
        </w:rPr>
        <w:t>198号）、《山东省</w:t>
      </w:r>
      <w:r>
        <w:rPr>
          <w:rFonts w:hint="eastAsia" w:ascii="宋体" w:hAnsi="宋体" w:eastAsia="宋体" w:cs="宋体"/>
          <w:b w:val="0"/>
          <w:bCs w:val="0"/>
          <w:color w:val="auto"/>
          <w:sz w:val="24"/>
          <w:highlight w:val="none"/>
        </w:rPr>
        <w:t>政府采购评审专家管理实施办法》鲁财采〔201</w:t>
      </w:r>
      <w:r>
        <w:rPr>
          <w:rFonts w:hint="eastAsia" w:ascii="宋体" w:hAnsi="宋体" w:eastAsia="宋体" w:cs="宋体"/>
          <w:b w:val="0"/>
          <w:bCs w:val="0"/>
          <w:color w:val="auto"/>
          <w:sz w:val="24"/>
          <w:highlight w:val="none"/>
          <w:lang w:val="en-US" w:eastAsia="zh-CN"/>
        </w:rPr>
        <w:t>8</w:t>
      </w:r>
      <w:r>
        <w:rPr>
          <w:rFonts w:hint="eastAsia" w:ascii="宋体" w:hAnsi="宋体" w:eastAsia="宋体" w:cs="宋体"/>
          <w:b w:val="0"/>
          <w:bCs w:val="0"/>
          <w:color w:val="auto"/>
          <w:sz w:val="24"/>
          <w:highlight w:val="none"/>
        </w:rPr>
        <w:t>〕66号）、《山东省政府采购评审专家抽取规则》鲁财采〔201</w:t>
      </w:r>
      <w:r>
        <w:rPr>
          <w:rFonts w:hint="eastAsia" w:ascii="宋体" w:hAnsi="宋体" w:eastAsia="宋体" w:cs="宋体"/>
          <w:b w:val="0"/>
          <w:bCs w:val="0"/>
          <w:color w:val="auto"/>
          <w:sz w:val="24"/>
          <w:highlight w:val="none"/>
          <w:lang w:val="en-US" w:eastAsia="zh-CN"/>
        </w:rPr>
        <w:t>7</w:t>
      </w:r>
      <w:r>
        <w:rPr>
          <w:rFonts w:hint="eastAsia" w:ascii="宋体" w:hAnsi="宋体" w:eastAsia="宋体" w:cs="宋体"/>
          <w:b w:val="0"/>
          <w:bCs w:val="0"/>
          <w:color w:val="auto"/>
          <w:sz w:val="24"/>
          <w:highlight w:val="none"/>
        </w:rPr>
        <w:t>〕64号）</w:t>
      </w:r>
      <w:r>
        <w:rPr>
          <w:rFonts w:ascii="宋体" w:hAnsi="宋体" w:eastAsia="宋体" w:cs="宋体"/>
          <w:b w:val="0"/>
          <w:bCs w:val="0"/>
          <w:color w:val="auto"/>
          <w:sz w:val="24"/>
          <w:highlight w:val="none"/>
        </w:rPr>
        <w:t>及有关规定组建磋商小组。磋商小组由采购人代表</w:t>
      </w:r>
      <w:r>
        <w:rPr>
          <w:rFonts w:hint="eastAsia" w:ascii="宋体" w:hAnsi="宋体" w:eastAsia="宋体" w:cs="宋体"/>
          <w:b w:val="0"/>
          <w:bCs w:val="0"/>
          <w:color w:val="auto"/>
          <w:sz w:val="24"/>
          <w:highlight w:val="none"/>
          <w:u w:val="single"/>
          <w:lang w:val="en-US" w:eastAsia="zh-CN"/>
        </w:rPr>
        <w:t xml:space="preserve"> 1 </w:t>
      </w:r>
      <w:r>
        <w:rPr>
          <w:rFonts w:ascii="宋体" w:hAnsi="宋体" w:eastAsia="宋体" w:cs="宋体"/>
          <w:b w:val="0"/>
          <w:bCs w:val="0"/>
          <w:color w:val="auto"/>
          <w:sz w:val="24"/>
          <w:highlight w:val="none"/>
        </w:rPr>
        <w:t>人</w:t>
      </w:r>
      <w:r>
        <w:rPr>
          <w:rFonts w:hint="eastAsia" w:ascii="宋体" w:hAnsi="宋体" w:eastAsia="宋体" w:cs="宋体"/>
          <w:b w:val="0"/>
          <w:bCs w:val="0"/>
          <w:color w:val="auto"/>
          <w:sz w:val="24"/>
          <w:highlight w:val="none"/>
        </w:rPr>
        <w:t>和评审</w:t>
      </w:r>
      <w:r>
        <w:rPr>
          <w:rFonts w:ascii="宋体" w:hAnsi="宋体" w:eastAsia="宋体" w:cs="宋体"/>
          <w:b w:val="0"/>
          <w:bCs w:val="0"/>
          <w:color w:val="auto"/>
          <w:sz w:val="24"/>
          <w:highlight w:val="none"/>
        </w:rPr>
        <w:t>专家</w:t>
      </w:r>
      <w:r>
        <w:rPr>
          <w:rFonts w:hint="eastAsia" w:ascii="宋体" w:hAnsi="宋体" w:eastAsia="宋体" w:cs="宋体"/>
          <w:b w:val="0"/>
          <w:bCs w:val="0"/>
          <w:color w:val="auto"/>
          <w:sz w:val="24"/>
          <w:highlight w:val="none"/>
          <w:u w:val="single"/>
          <w:lang w:val="en-US" w:eastAsia="zh-CN"/>
        </w:rPr>
        <w:t xml:space="preserve"> 2 </w:t>
      </w:r>
      <w:r>
        <w:rPr>
          <w:rFonts w:ascii="宋体" w:hAnsi="宋体" w:eastAsia="宋体" w:cs="宋体"/>
          <w:b w:val="0"/>
          <w:bCs w:val="0"/>
          <w:color w:val="auto"/>
          <w:sz w:val="24"/>
          <w:highlight w:val="none"/>
        </w:rPr>
        <w:t>人组成。</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ascii="宋体" w:hAnsi="宋体" w:eastAsia="宋体" w:cs="宋体"/>
          <w:b w:val="0"/>
          <w:bCs w:val="0"/>
          <w:color w:val="auto"/>
          <w:sz w:val="24"/>
          <w:highlight w:val="none"/>
        </w:rPr>
        <w:t>.2 磋商小组具有依据</w:t>
      </w:r>
      <w:r>
        <w:rPr>
          <w:rFonts w:hint="eastAsia" w:ascii="宋体" w:hAnsi="宋体" w:eastAsia="宋体" w:cs="宋体"/>
          <w:b w:val="0"/>
          <w:bCs w:val="0"/>
          <w:color w:val="auto"/>
          <w:sz w:val="24"/>
          <w:highlight w:val="none"/>
          <w:lang w:val="en-US" w:eastAsia="zh-CN"/>
        </w:rPr>
        <w:t>采购文件</w:t>
      </w:r>
      <w:r>
        <w:rPr>
          <w:rFonts w:ascii="宋体" w:hAnsi="宋体" w:eastAsia="宋体" w:cs="宋体"/>
          <w:b w:val="0"/>
          <w:bCs w:val="0"/>
          <w:color w:val="auto"/>
          <w:sz w:val="24"/>
          <w:highlight w:val="none"/>
        </w:rPr>
        <w:t>进行独立评审的权力，且不受外界任何因素的干扰。磋商小组成员需对评审结果独立写出评审意见，并承担责任。磋商小组成员若拒绝在评审报告上签字且不陈述其不同意理由的，视为同意和接受。</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ascii="宋体" w:hAnsi="宋体" w:eastAsia="宋体" w:cs="宋体"/>
          <w:b w:val="0"/>
          <w:bCs w:val="0"/>
          <w:color w:val="auto"/>
          <w:sz w:val="24"/>
          <w:highlight w:val="none"/>
        </w:rPr>
        <w:t>.3 磋商小组的职责：</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（1）审查响应文件是否符合</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要求；</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（2）要求供应商对响应文件有关事项做出解释或者澄清；</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（3）按照</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规定的评分标准进行评比和打分；</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（4）推荐成交</w:t>
      </w:r>
      <w:r>
        <w:rPr>
          <w:rFonts w:hint="eastAsia" w:ascii="宋体" w:hAnsi="宋体" w:eastAsia="宋体" w:cs="宋体"/>
          <w:b w:val="0"/>
          <w:bCs w:val="0"/>
          <w:color w:val="auto"/>
          <w:sz w:val="24"/>
          <w:highlight w:val="none"/>
          <w:lang w:eastAsia="zh-CN"/>
        </w:rPr>
        <w:t>候选人</w:t>
      </w:r>
      <w:r>
        <w:rPr>
          <w:rFonts w:ascii="宋体" w:hAnsi="宋体" w:eastAsia="宋体" w:cs="宋体"/>
          <w:b w:val="0"/>
          <w:bCs w:val="0"/>
          <w:color w:val="auto"/>
          <w:sz w:val="24"/>
          <w:highlight w:val="none"/>
        </w:rPr>
        <w:t>名单，或者受采购人委托按照事先确定的办法直接确定成交供应商；</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（5）向采购单位或者有关部门报告非法干预评审工作的行为。</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21</w:t>
      </w:r>
      <w:r>
        <w:rPr>
          <w:rFonts w:ascii="宋体" w:hAnsi="宋体" w:eastAsia="宋体" w:cs="宋体"/>
          <w:b w:val="0"/>
          <w:bCs w:val="0"/>
          <w:color w:val="auto"/>
          <w:sz w:val="24"/>
          <w:highlight w:val="none"/>
        </w:rPr>
        <w:t>.4磋商小组的义务：</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（1）遵纪守法，客观、公正、廉洁地履行职责；</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（2）按照</w:t>
      </w:r>
      <w:r>
        <w:rPr>
          <w:rFonts w:hint="eastAsia" w:ascii="宋体" w:hAnsi="宋体" w:eastAsia="宋体" w:cs="宋体"/>
          <w:b w:val="0"/>
          <w:bCs w:val="0"/>
          <w:color w:val="auto"/>
          <w:sz w:val="24"/>
          <w:highlight w:val="none"/>
          <w:lang w:eastAsia="zh-CN"/>
        </w:rPr>
        <w:t>采购文件</w:t>
      </w:r>
      <w:r>
        <w:rPr>
          <w:rFonts w:ascii="宋体" w:hAnsi="宋体" w:eastAsia="宋体" w:cs="宋体"/>
          <w:b w:val="0"/>
          <w:bCs w:val="0"/>
          <w:color w:val="auto"/>
          <w:sz w:val="24"/>
          <w:highlight w:val="none"/>
        </w:rPr>
        <w:t xml:space="preserve">规定的评审办法和评审标准进行评审，对评审意见承担个人责任；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（3）对评审过程和结果，以及供应商的商业秘密保密；</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t>（4）参与评审报告的起草；</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（5）配合</w:t>
      </w:r>
      <w:r>
        <w:rPr>
          <w:rFonts w:hint="eastAsia" w:ascii="宋体" w:hAnsi="宋体"/>
          <w:color w:val="auto"/>
          <w:sz w:val="24"/>
          <w:highlight w:val="none"/>
          <w:lang w:val="en-US" w:eastAsia="zh-CN"/>
        </w:rPr>
        <w:t>采购</w:t>
      </w:r>
      <w:r>
        <w:rPr>
          <w:rFonts w:hint="eastAsia" w:ascii="宋体" w:hAnsi="宋体"/>
          <w:color w:val="auto"/>
          <w:sz w:val="24"/>
          <w:highlight w:val="none"/>
        </w:rPr>
        <w:t>单位答复供应商提出的质疑</w:t>
      </w:r>
      <w:r>
        <w:rPr>
          <w:rFonts w:hint="eastAsia" w:ascii="宋体" w:hAnsi="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（6）配合财政部门的投诉处理工作</w:t>
      </w:r>
      <w:r>
        <w:rPr>
          <w:rFonts w:hint="eastAsia" w:ascii="宋体" w:hAnsi="宋体"/>
          <w:color w:val="auto"/>
          <w:sz w:val="24"/>
          <w:highlight w:val="none"/>
          <w:lang w:eastAsia="zh-CN"/>
        </w:rPr>
        <w:t>。</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color w:val="auto"/>
          <w:sz w:val="24"/>
          <w:highlight w:val="none"/>
        </w:rPr>
      </w:pPr>
      <w:bookmarkStart w:id="64" w:name="_Toc24127"/>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2</w:t>
      </w:r>
      <w:r>
        <w:rPr>
          <w:rFonts w:ascii="宋体" w:hAnsi="宋体" w:eastAsia="宋体" w:cs="宋体"/>
          <w:b/>
          <w:color w:val="auto"/>
          <w:sz w:val="24"/>
          <w:highlight w:val="none"/>
        </w:rPr>
        <w:t>.响应文件符合性审查与澄清</w:t>
      </w:r>
      <w:bookmarkEnd w:id="64"/>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.1符合性审查是指依据</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的规定，从响应文件的有效性、完整性和响应程度对</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的响应程度进行审查，以确定是否对</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的实质性要求做出响应。</w:t>
      </w:r>
      <w:bookmarkStart w:id="65" w:name="_Hlt522424701"/>
      <w:bookmarkEnd w:id="65"/>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.2经磋商小组集体审核通过，对于不符合条件的供应商要说明其不符合要求的原因，由其法定代表人（非法人组织的负责人）或其授权代表签章，供应商代表拒不签章的，并不影响磋商小组所做出的结论。</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.3响应文件的澄清</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3.1在磋商期间，磋商小组将通过网上开评标系统要求供应商对其响应文件中含义不明确、对同类问题表述不一致或者有明显文字和计算错误的内容，以及磋商小组认为供应商的报价明显低于其他通过符合性检查供应商的报价，有可能影响履约的情况作必要的澄清、说明或补正。供应商的澄清、说明或补正应在磋商小组规定的时间内通过网上开评标系统进行，并不得超出响应文件范围或者改变响应文件的实质性内容。</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.3.2供应商的澄清、说明或补正将作为响应文件的一部分。</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3.3磋商小组要求供应商澄清、说明或者更正响应文件应当以书面形式作出。供应商的澄清、说明或者更正应当加盖供应商公章及法定代表人（非法人组织的负责人）或其授权代表签章。由授权代表签字的，应当附法定代表人（非法人组织的负责人）授权书。供应商为自然人的，应当由本人签字并附身份证明。否则，磋商小组有权不予认可。</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.4响应文件报价出现前后不一致的，按照下列规定修正：</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（1）响应文件中报价一览表内容与响应文件中相应内容不一致的，以报价一览表为准；</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（2）大写金额和小写金额不一致的，以大写金额为准；</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s="宋体"/>
          <w:color w:val="auto"/>
          <w:sz w:val="24"/>
          <w:highlight w:val="none"/>
        </w:rPr>
        <w:t>（3）单价金额小数点或者百分比有明显错位的，以报价一览表的总</w:t>
      </w:r>
      <w:r>
        <w:rPr>
          <w:rFonts w:hint="eastAsia" w:ascii="宋体" w:hAnsi="宋体"/>
          <w:color w:val="auto"/>
          <w:sz w:val="24"/>
          <w:highlight w:val="none"/>
        </w:rPr>
        <w:t>价为准，并修改单价；</w:t>
      </w:r>
    </w:p>
    <w:p>
      <w:pPr>
        <w:pageBreakBefore w:val="0"/>
        <w:widowControl w:val="0"/>
        <w:kinsoku/>
        <w:wordWrap/>
        <w:overflowPunct/>
        <w:topLinePunct w:val="0"/>
        <w:bidi w:val="0"/>
        <w:snapToGrid/>
        <w:spacing w:line="500" w:lineRule="exact"/>
        <w:ind w:left="479" w:leftChars="228"/>
        <w:textAlignment w:val="auto"/>
        <w:rPr>
          <w:rFonts w:ascii="宋体" w:hAnsi="宋体"/>
          <w:color w:val="auto"/>
          <w:sz w:val="24"/>
          <w:highlight w:val="none"/>
        </w:rPr>
      </w:pPr>
      <w:r>
        <w:rPr>
          <w:rFonts w:hint="eastAsia" w:ascii="宋体" w:hAnsi="宋体"/>
          <w:color w:val="auto"/>
          <w:sz w:val="24"/>
          <w:highlight w:val="none"/>
        </w:rPr>
        <w:t>（4）总价金额与按单价汇总金额不一致的，以单价金额计算结果为准。</w:t>
      </w:r>
    </w:p>
    <w:p>
      <w:pPr>
        <w:pageBreakBefore w:val="0"/>
        <w:widowControl w:val="0"/>
        <w:kinsoku/>
        <w:wordWrap/>
        <w:overflowPunct/>
        <w:topLinePunct w:val="0"/>
        <w:bidi w:val="0"/>
        <w:snapToGrid/>
        <w:spacing w:line="500" w:lineRule="exact"/>
        <w:ind w:firstLine="480" w:firstLineChars="200"/>
        <w:textAlignment w:val="auto"/>
        <w:rPr>
          <w:rFonts w:ascii="宋体" w:hAnsi="宋体"/>
          <w:b w:val="0"/>
          <w:bCs/>
          <w:color w:val="auto"/>
          <w:sz w:val="24"/>
          <w:highlight w:val="none"/>
        </w:rPr>
      </w:pPr>
      <w:r>
        <w:rPr>
          <w:rFonts w:hint="eastAsia" w:ascii="宋体" w:hAnsi="宋体"/>
          <w:color w:val="auto"/>
          <w:sz w:val="24"/>
          <w:highlight w:val="none"/>
        </w:rPr>
        <w:t>同时出现两种以上不一致的，按照前款规定的顺序修正。修正后的报价按照第2</w:t>
      </w:r>
      <w:r>
        <w:rPr>
          <w:rFonts w:hint="eastAsia" w:ascii="宋体" w:hAnsi="宋体"/>
          <w:color w:val="auto"/>
          <w:sz w:val="24"/>
          <w:highlight w:val="none"/>
          <w:lang w:val="en-US" w:eastAsia="zh-CN"/>
        </w:rPr>
        <w:t>2</w:t>
      </w:r>
      <w:r>
        <w:rPr>
          <w:rFonts w:hint="eastAsia" w:ascii="宋体" w:hAnsi="宋体"/>
          <w:color w:val="auto"/>
          <w:sz w:val="24"/>
          <w:highlight w:val="none"/>
        </w:rPr>
        <w:t>.2条的规定经供应商确认后产生约束力，供应商不确认的，将被认定为</w:t>
      </w:r>
      <w:r>
        <w:rPr>
          <w:rFonts w:hint="eastAsia" w:ascii="宋体" w:hAnsi="宋体"/>
          <w:b w:val="0"/>
          <w:bCs/>
          <w:color w:val="auto"/>
          <w:sz w:val="24"/>
          <w:highlight w:val="none"/>
        </w:rPr>
        <w:t>响应无效。</w:t>
      </w:r>
    </w:p>
    <w:p>
      <w:pPr>
        <w:pageBreakBefore w:val="0"/>
        <w:widowControl w:val="0"/>
        <w:kinsoku/>
        <w:wordWrap/>
        <w:overflowPunct/>
        <w:topLinePunct w:val="0"/>
        <w:bidi w:val="0"/>
        <w:snapToGrid/>
        <w:spacing w:line="500" w:lineRule="exact"/>
        <w:ind w:firstLine="480" w:firstLineChars="200"/>
        <w:textAlignment w:val="auto"/>
        <w:rPr>
          <w:rFonts w:ascii="宋体" w:hAnsi="宋体"/>
          <w:b w:val="0"/>
          <w:bCs/>
          <w:color w:val="auto"/>
          <w:sz w:val="24"/>
          <w:highlight w:val="none"/>
        </w:rPr>
      </w:pPr>
      <w:r>
        <w:rPr>
          <w:rFonts w:hint="eastAsia" w:ascii="宋体" w:hAnsi="宋体"/>
          <w:b w:val="0"/>
          <w:bCs/>
          <w:color w:val="auto"/>
          <w:sz w:val="24"/>
          <w:highlight w:val="none"/>
        </w:rPr>
        <w:t>对不同文字文本响应文件的解释发生异议的，以中文文本为准。</w:t>
      </w:r>
    </w:p>
    <w:p>
      <w:pPr>
        <w:pageBreakBefore w:val="0"/>
        <w:widowControl w:val="0"/>
        <w:kinsoku/>
        <w:wordWrap/>
        <w:overflowPunct/>
        <w:topLinePunct w:val="0"/>
        <w:bidi w:val="0"/>
        <w:snapToGrid/>
        <w:spacing w:line="5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已提交响应文件的供应商，在提交最后报价之前，可以根据磋商情况退出磋商。</w:t>
      </w:r>
    </w:p>
    <w:p>
      <w:pPr>
        <w:pageBreakBefore w:val="0"/>
        <w:widowControl w:val="0"/>
        <w:kinsoku/>
        <w:wordWrap/>
        <w:overflowPunct/>
        <w:topLinePunct w:val="0"/>
        <w:bidi w:val="0"/>
        <w:snapToGrid/>
        <w:spacing w:line="500" w:lineRule="exact"/>
        <w:textAlignment w:val="auto"/>
        <w:outlineLvl w:val="2"/>
        <w:rPr>
          <w:rFonts w:hint="eastAsia" w:ascii="宋体" w:hAnsi="宋体" w:eastAsia="宋体" w:cs="宋体"/>
          <w:b/>
          <w:color w:val="auto"/>
          <w:sz w:val="24"/>
          <w:highlight w:val="none"/>
          <w:lang w:val="en-US" w:eastAsia="zh-CN"/>
        </w:rPr>
      </w:pPr>
      <w:bookmarkStart w:id="66" w:name="_Toc28563"/>
      <w:r>
        <w:rPr>
          <w:rFonts w:hint="eastAsia" w:ascii="宋体" w:hAnsi="宋体" w:eastAsia="宋体" w:cs="宋体"/>
          <w:b/>
          <w:color w:val="auto"/>
          <w:sz w:val="24"/>
          <w:highlight w:val="none"/>
          <w:lang w:val="en-US" w:eastAsia="zh-CN"/>
        </w:rPr>
        <w:t>23.响应偏离</w:t>
      </w:r>
      <w:bookmarkEnd w:id="66"/>
    </w:p>
    <w:p>
      <w:pPr>
        <w:pageBreakBefore w:val="0"/>
        <w:widowControl w:val="0"/>
        <w:kinsoku/>
        <w:wordWrap/>
        <w:overflowPunct/>
        <w:topLinePunct w:val="0"/>
        <w:bidi w:val="0"/>
        <w:snapToGrid/>
        <w:spacing w:line="500" w:lineRule="exact"/>
        <w:ind w:firstLine="480" w:firstLineChars="200"/>
        <w:textAlignment w:val="auto"/>
        <w:rPr>
          <w:rFonts w:hint="default" w:eastAsia="宋体"/>
          <w:b w:val="0"/>
          <w:bCs/>
          <w:color w:val="auto"/>
          <w:highlight w:val="none"/>
          <w:u w:val="none"/>
          <w:lang w:val="en-US" w:eastAsia="zh-CN"/>
        </w:rPr>
      </w:pPr>
      <w:r>
        <w:rPr>
          <w:rFonts w:hint="eastAsia" w:ascii="宋体" w:hAnsi="宋体" w:cs="宋体"/>
          <w:color w:val="auto"/>
          <w:sz w:val="24"/>
          <w:highlight w:val="none"/>
        </w:rPr>
        <w:t>磋商小组可以接受响应文件中不构成实质性偏离的不正规或不一致。</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67" w:name="_Toc22252"/>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4</w:t>
      </w:r>
      <w:r>
        <w:rPr>
          <w:rFonts w:ascii="宋体" w:hAnsi="宋体" w:eastAsia="宋体" w:cs="宋体"/>
          <w:b/>
          <w:color w:val="auto"/>
          <w:sz w:val="24"/>
          <w:highlight w:val="none"/>
        </w:rPr>
        <w:t>.无效响应</w:t>
      </w:r>
      <w:bookmarkEnd w:id="67"/>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rPr>
        <w:t>.1在</w:t>
      </w:r>
      <w:r>
        <w:rPr>
          <w:rFonts w:ascii="宋体" w:hAnsi="宋体" w:cs="宋体"/>
          <w:color w:val="auto"/>
          <w:sz w:val="24"/>
          <w:highlight w:val="none"/>
        </w:rPr>
        <w:t>比较</w:t>
      </w:r>
      <w:r>
        <w:rPr>
          <w:rFonts w:ascii="宋体" w:hAnsi="宋体" w:eastAsia="宋体" w:cs="宋体"/>
          <w:color w:val="auto"/>
          <w:sz w:val="24"/>
          <w:highlight w:val="none"/>
        </w:rPr>
        <w:t>与评价之前，磋商小组要审查每份响应文件是否实质上响应了</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的要求，未实质性响应</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的响应文件按无效响应处理。</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rPr>
        <w:t>.2如发现下列情况之一的，其响应将被认定为响应无效：</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ascii="宋体" w:hAnsi="宋体" w:eastAsia="宋体" w:cs="宋体"/>
          <w:color w:val="auto"/>
          <w:sz w:val="24"/>
          <w:highlight w:val="none"/>
        </w:rPr>
        <w:t>（1）</w:t>
      </w:r>
      <w:r>
        <w:rPr>
          <w:rFonts w:hint="eastAsia" w:ascii="宋体" w:hAnsi="宋体"/>
          <w:color w:val="auto"/>
          <w:sz w:val="24"/>
          <w:highlight w:val="none"/>
        </w:rPr>
        <w:t>不具备《中华人民共和国政府采购法》第二十二条规定条件；</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s="宋体"/>
          <w:color w:val="auto"/>
          <w:sz w:val="24"/>
          <w:highlight w:val="none"/>
        </w:rPr>
        <w:t>未</w:t>
      </w:r>
      <w:r>
        <w:rPr>
          <w:rFonts w:hint="eastAsia" w:ascii="宋体" w:hAnsi="宋体"/>
          <w:color w:val="auto"/>
          <w:sz w:val="24"/>
          <w:highlight w:val="none"/>
        </w:rPr>
        <w:t>按照</w:t>
      </w:r>
      <w:r>
        <w:rPr>
          <w:rFonts w:hint="eastAsia" w:ascii="宋体" w:hAnsi="宋体"/>
          <w:color w:val="auto"/>
          <w:sz w:val="24"/>
          <w:highlight w:val="none"/>
          <w:lang w:eastAsia="zh-CN"/>
        </w:rPr>
        <w:t>采购文件</w:t>
      </w:r>
      <w:r>
        <w:rPr>
          <w:rFonts w:hint="eastAsia" w:ascii="宋体" w:hAnsi="宋体"/>
          <w:color w:val="auto"/>
          <w:sz w:val="24"/>
          <w:highlight w:val="none"/>
        </w:rPr>
        <w:t>规定要求签署的；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（3）响应分项报价表未按要求填写；</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（4）未满足</w:t>
      </w:r>
      <w:r>
        <w:rPr>
          <w:rFonts w:hint="eastAsia" w:ascii="宋体" w:hAnsi="宋体"/>
          <w:color w:val="auto"/>
          <w:sz w:val="24"/>
          <w:highlight w:val="none"/>
          <w:lang w:eastAsia="zh-CN"/>
        </w:rPr>
        <w:t>采购文件</w:t>
      </w:r>
      <w:r>
        <w:rPr>
          <w:rFonts w:hint="eastAsia" w:ascii="宋体" w:hAnsi="宋体"/>
          <w:color w:val="auto"/>
          <w:sz w:val="24"/>
          <w:highlight w:val="none"/>
        </w:rPr>
        <w:t>中商务和技术条款的实质性要求的；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（5）违反</w:t>
      </w:r>
      <w:r>
        <w:rPr>
          <w:rFonts w:hint="eastAsia" w:ascii="宋体" w:hAnsi="宋体"/>
          <w:color w:val="auto"/>
          <w:sz w:val="24"/>
          <w:highlight w:val="none"/>
          <w:lang w:eastAsia="zh-CN"/>
        </w:rPr>
        <w:t>采购文件</w:t>
      </w:r>
      <w:r>
        <w:rPr>
          <w:rFonts w:hint="eastAsia" w:ascii="宋体" w:hAnsi="宋体"/>
          <w:color w:val="auto"/>
          <w:sz w:val="24"/>
          <w:highlight w:val="none"/>
        </w:rPr>
        <w:t>规定提供进口产品的；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（6）未按</w:t>
      </w:r>
      <w:r>
        <w:rPr>
          <w:rFonts w:hint="eastAsia" w:ascii="宋体" w:hAnsi="宋体"/>
          <w:color w:val="auto"/>
          <w:sz w:val="24"/>
          <w:highlight w:val="none"/>
          <w:lang w:eastAsia="zh-CN"/>
        </w:rPr>
        <w:t>采购文件</w:t>
      </w:r>
      <w:r>
        <w:rPr>
          <w:rFonts w:hint="eastAsia" w:ascii="宋体" w:hAnsi="宋体"/>
          <w:color w:val="auto"/>
          <w:sz w:val="24"/>
          <w:highlight w:val="none"/>
        </w:rPr>
        <w:t>规定提供政府强制采购节能产品证明材料的；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（7）报价超过项目预算或最高限价的、拒绝报价、报价不确定、无报价或</w:t>
      </w:r>
      <w:r>
        <w:rPr>
          <w:rFonts w:hint="eastAsia" w:ascii="宋体" w:hAnsi="宋体"/>
          <w:color w:val="auto"/>
          <w:sz w:val="24"/>
          <w:highlight w:val="none"/>
          <w:lang w:val="zh-CN"/>
        </w:rPr>
        <w:t>未按采购文件要求报价的</w:t>
      </w:r>
      <w:r>
        <w:rPr>
          <w:rFonts w:hint="eastAsia" w:ascii="宋体" w:hAnsi="宋体"/>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（8）响应有效期不足的；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（9）联合体响应文件未附联合体响应协议书的；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（10）不符合</w:t>
      </w:r>
      <w:r>
        <w:rPr>
          <w:rFonts w:hint="eastAsia" w:ascii="宋体" w:hAnsi="宋体"/>
          <w:color w:val="auto"/>
          <w:sz w:val="24"/>
          <w:highlight w:val="none"/>
          <w:lang w:eastAsia="zh-CN"/>
        </w:rPr>
        <w:t>采购文件</w:t>
      </w:r>
      <w:r>
        <w:rPr>
          <w:rFonts w:hint="eastAsia" w:ascii="宋体" w:hAnsi="宋体"/>
          <w:color w:val="auto"/>
          <w:sz w:val="24"/>
          <w:highlight w:val="none"/>
        </w:rPr>
        <w:t>中有关分包规定的；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（11）属于串通响应，或者依法被视为串通响应；</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12）磋商小组认为供应商的报价明显低于其他通过符合性审查供应商的报价，有可能影响服务质量或者不能诚信履约的，要求供应商在磋商小组规定的时间内提供书面说明，但该供应商未提交相关证明材料以证明其报价合理性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（13）响应文件含有采购人不能接受的附加条件的；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（14）不具备</w:t>
      </w:r>
      <w:r>
        <w:rPr>
          <w:rFonts w:hint="eastAsia" w:ascii="宋体" w:hAnsi="宋体"/>
          <w:color w:val="auto"/>
          <w:sz w:val="24"/>
          <w:highlight w:val="none"/>
          <w:lang w:eastAsia="zh-CN"/>
        </w:rPr>
        <w:t>采购文件</w:t>
      </w:r>
      <w:r>
        <w:rPr>
          <w:rFonts w:hint="eastAsia" w:ascii="宋体" w:hAnsi="宋体"/>
          <w:color w:val="auto"/>
          <w:sz w:val="24"/>
          <w:highlight w:val="none"/>
        </w:rPr>
        <w:t>中规定的资格要求的；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（15）响应文件未完全满足</w:t>
      </w:r>
      <w:r>
        <w:rPr>
          <w:rFonts w:hint="eastAsia" w:ascii="宋体" w:hAnsi="宋体"/>
          <w:color w:val="auto"/>
          <w:sz w:val="24"/>
          <w:highlight w:val="none"/>
          <w:lang w:eastAsia="zh-CN"/>
        </w:rPr>
        <w:t>采购文件</w:t>
      </w:r>
      <w:r>
        <w:rPr>
          <w:rFonts w:hint="eastAsia" w:ascii="宋体" w:hAnsi="宋体"/>
          <w:color w:val="auto"/>
          <w:sz w:val="24"/>
          <w:highlight w:val="none"/>
        </w:rPr>
        <w:t>中带有“★”号的条款或指标，或超过</w:t>
      </w:r>
      <w:r>
        <w:rPr>
          <w:rFonts w:hint="eastAsia" w:ascii="宋体" w:hAnsi="宋体"/>
          <w:color w:val="auto"/>
          <w:sz w:val="24"/>
          <w:highlight w:val="none"/>
          <w:lang w:eastAsia="zh-CN"/>
        </w:rPr>
        <w:t>采购文件</w:t>
      </w:r>
      <w:r>
        <w:rPr>
          <w:rFonts w:hint="eastAsia" w:ascii="宋体" w:hAnsi="宋体"/>
          <w:color w:val="auto"/>
          <w:sz w:val="24"/>
          <w:highlight w:val="none"/>
        </w:rPr>
        <w:t>规定的允许出现偏差的最大范围、幅度和最高项数；</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（16）响应文件提供虚假材料；</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）对采购人、采购代理机构、磋商小组及其他工作人员施加影响，有碍公平、公正；</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8</w:t>
      </w:r>
      <w:r>
        <w:rPr>
          <w:rFonts w:hint="eastAsia" w:ascii="宋体" w:hAnsi="宋体"/>
          <w:color w:val="auto"/>
          <w:sz w:val="24"/>
          <w:highlight w:val="none"/>
        </w:rPr>
        <w:t>）供应商递交的电子响应文件均无法满足正常开标、评标使用功能的；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19</w:t>
      </w:r>
      <w:r>
        <w:rPr>
          <w:rFonts w:hint="eastAsia" w:ascii="宋体" w:hAnsi="宋体"/>
          <w:color w:val="auto"/>
          <w:sz w:val="24"/>
          <w:highlight w:val="none"/>
        </w:rPr>
        <w:t>）由于供应商的自身原因，（包括但不限于以下情况：忘记 CA 锁密码、CA 锁过期、上传响应文件后更新 CA 锁），在规定时间内解密不成功的；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0</w:t>
      </w:r>
      <w:r>
        <w:rPr>
          <w:rFonts w:hint="eastAsia" w:ascii="宋体" w:hAnsi="宋体"/>
          <w:color w:val="auto"/>
          <w:sz w:val="24"/>
          <w:highlight w:val="none"/>
        </w:rPr>
        <w:t>）不同供应商的响应文件存在非正常一致的；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）不同供应商的响应文件由同一单位或者同一个人编制，电子响应文件的文件制作机器码或者文件创建标识码一致的；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）上传电子响应文件的IP地址相同，经磋商小组认定否决其响应的；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3</w:t>
      </w:r>
      <w:r>
        <w:rPr>
          <w:rFonts w:hint="eastAsia" w:ascii="宋体" w:hAnsi="宋体"/>
          <w:color w:val="auto"/>
          <w:sz w:val="24"/>
          <w:highlight w:val="none"/>
        </w:rPr>
        <w:t>）对</w:t>
      </w:r>
      <w:r>
        <w:rPr>
          <w:rFonts w:hint="eastAsia" w:ascii="宋体" w:hAnsi="宋体"/>
          <w:color w:val="auto"/>
          <w:sz w:val="24"/>
          <w:highlight w:val="none"/>
          <w:lang w:eastAsia="zh-CN"/>
        </w:rPr>
        <w:t>采购文件</w:t>
      </w:r>
      <w:r>
        <w:rPr>
          <w:rFonts w:hint="eastAsia" w:ascii="宋体" w:hAnsi="宋体"/>
          <w:color w:val="auto"/>
          <w:sz w:val="24"/>
          <w:highlight w:val="none"/>
          <w:lang w:val="en-US" w:eastAsia="zh-CN"/>
        </w:rPr>
        <w:t>中</w:t>
      </w:r>
      <w:r>
        <w:rPr>
          <w:rFonts w:hint="eastAsia" w:ascii="宋体" w:hAnsi="宋体"/>
          <w:color w:val="auto"/>
          <w:sz w:val="24"/>
          <w:highlight w:val="none"/>
        </w:rPr>
        <w:t>的技术要求整体复制粘贴经磋商小组认定与所提供服务不符的；</w:t>
      </w:r>
    </w:p>
    <w:p>
      <w:pPr>
        <w:pageBreakBefore w:val="0"/>
        <w:widowControl w:val="0"/>
        <w:kinsoku/>
        <w:wordWrap/>
        <w:overflowPunct/>
        <w:topLinePunct w:val="0"/>
        <w:bidi w:val="0"/>
        <w:snapToGrid/>
        <w:spacing w:line="50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）属于</w:t>
      </w:r>
      <w:r>
        <w:rPr>
          <w:rFonts w:hint="eastAsia" w:ascii="宋体" w:hAnsi="宋体"/>
          <w:color w:val="auto"/>
          <w:sz w:val="24"/>
          <w:highlight w:val="none"/>
          <w:lang w:eastAsia="zh-CN"/>
        </w:rPr>
        <w:t>采购文件</w:t>
      </w:r>
      <w:r>
        <w:rPr>
          <w:rFonts w:hint="eastAsia" w:ascii="宋体" w:hAnsi="宋体"/>
          <w:color w:val="auto"/>
          <w:sz w:val="24"/>
          <w:highlight w:val="none"/>
        </w:rPr>
        <w:t>规定的其他响应无效情形；</w:t>
      </w:r>
    </w:p>
    <w:p>
      <w:pPr>
        <w:keepNext/>
        <w:keepLines/>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w:t>
      </w:r>
      <w:r>
        <w:rPr>
          <w:rFonts w:hint="eastAsia" w:ascii="宋体" w:hAnsi="宋体"/>
          <w:color w:val="auto"/>
          <w:sz w:val="24"/>
          <w:highlight w:val="none"/>
        </w:rPr>
        <w:t>）不符合法规和</w:t>
      </w:r>
      <w:r>
        <w:rPr>
          <w:rFonts w:hint="eastAsia" w:ascii="宋体" w:hAnsi="宋体"/>
          <w:color w:val="auto"/>
          <w:sz w:val="24"/>
          <w:highlight w:val="none"/>
          <w:lang w:eastAsia="zh-CN"/>
        </w:rPr>
        <w:t>采购文件</w:t>
      </w:r>
      <w:r>
        <w:rPr>
          <w:rFonts w:hint="eastAsia" w:ascii="宋体" w:hAnsi="宋体"/>
          <w:color w:val="auto"/>
          <w:sz w:val="24"/>
          <w:highlight w:val="none"/>
        </w:rPr>
        <w:t>中规定的其他实质性要求的。</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68" w:name="_Toc25302"/>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5</w:t>
      </w:r>
      <w:r>
        <w:rPr>
          <w:rFonts w:ascii="宋体" w:hAnsi="宋体" w:eastAsia="宋体" w:cs="宋体"/>
          <w:b/>
          <w:color w:val="auto"/>
          <w:sz w:val="24"/>
          <w:highlight w:val="none"/>
        </w:rPr>
        <w:t>.磋商</w:t>
      </w:r>
      <w:bookmarkEnd w:id="68"/>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w:t>
      </w:r>
      <w:r>
        <w:rPr>
          <w:rFonts w:ascii="宋体" w:hAnsi="宋体" w:eastAsia="宋体" w:cs="宋体"/>
          <w:color w:val="auto"/>
          <w:sz w:val="24"/>
          <w:highlight w:val="none"/>
        </w:rPr>
        <w:t>.1</w:t>
      </w:r>
      <w:r>
        <w:rPr>
          <w:rFonts w:hint="eastAsia" w:ascii="宋体" w:hAnsi="宋体" w:cs="宋体"/>
          <w:color w:val="auto"/>
          <w:sz w:val="24"/>
          <w:highlight w:val="none"/>
        </w:rPr>
        <w:t>磋商小组所有成员集中与</w:t>
      </w:r>
      <w:r>
        <w:rPr>
          <w:rFonts w:hint="eastAsia" w:ascii="宋体" w:hAnsi="宋体" w:cs="宋体"/>
          <w:color w:val="auto"/>
          <w:sz w:val="24"/>
          <w:highlight w:val="none"/>
          <w:lang w:val="en-US" w:eastAsia="zh-CN"/>
        </w:rPr>
        <w:t>单一</w:t>
      </w:r>
      <w:r>
        <w:rPr>
          <w:rFonts w:hint="eastAsia" w:ascii="宋体" w:hAnsi="宋体" w:cs="宋体"/>
          <w:color w:val="auto"/>
          <w:sz w:val="24"/>
          <w:highlight w:val="none"/>
        </w:rPr>
        <w:t>供应商分别进行磋商。</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.2在磋商过程中，磋商小组可以根据</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和磋商情况实质性变动采购需求中的技术、服务要求以及合同条款，但不得变动</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中的其他内容。实质性变动的内容，须经采购人代表确认。</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.3对</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作出的实质性变动是</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的有效组成部分，磋商小组应当及时以书面形式同时通知所有参加磋商的供应商。</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.4供应商应当按照</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的变动情况和磋商小组的要求重新提交响应文件，并由其法定代表人（非法人组织的负责人）或其授权代表签章。供应商为自然人的，应当由本人签字并附身份证明。</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.5 本项目共</w:t>
      </w:r>
      <w:r>
        <w:rPr>
          <w:rFonts w:hint="eastAsia" w:ascii="宋体" w:hAnsi="宋体" w:cs="宋体"/>
          <w:color w:val="auto"/>
          <w:sz w:val="24"/>
          <w:highlight w:val="none"/>
          <w:u w:val="single"/>
          <w:lang w:val="en-US" w:eastAsia="zh-CN"/>
        </w:rPr>
        <w:t xml:space="preserve"> 2 </w:t>
      </w:r>
      <w:r>
        <w:rPr>
          <w:rFonts w:hint="eastAsia" w:ascii="宋体" w:hAnsi="宋体" w:cs="宋体"/>
          <w:color w:val="auto"/>
          <w:sz w:val="24"/>
          <w:highlight w:val="none"/>
        </w:rPr>
        <w:t>轮报价。</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能够详细列明采购标的的技术、服务要求的，磋商结束后，磋商小组应当要求所有实质性响应的供应商在规定时间内提交</w:t>
      </w:r>
      <w:r>
        <w:rPr>
          <w:rFonts w:hint="eastAsia" w:ascii="宋体" w:hAnsi="宋体" w:cs="宋体"/>
          <w:color w:val="auto"/>
          <w:sz w:val="24"/>
          <w:highlight w:val="none"/>
          <w:lang w:val="en-US" w:eastAsia="zh-CN"/>
        </w:rPr>
        <w:t>下</w:t>
      </w:r>
      <w:r>
        <w:rPr>
          <w:rFonts w:hint="eastAsia" w:ascii="宋体" w:hAnsi="宋体" w:cs="宋体"/>
          <w:color w:val="auto"/>
          <w:sz w:val="24"/>
          <w:highlight w:val="none"/>
        </w:rPr>
        <w:t>一轮报价，该报价为最后报价，提交最后报价的供应商不得少于3家</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法律规定的其他情形除外。</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w:t>
      </w:r>
      <w:r>
        <w:rPr>
          <w:rFonts w:hint="eastAsia" w:ascii="宋体" w:hAnsi="宋体" w:cs="宋体"/>
          <w:color w:val="auto"/>
          <w:sz w:val="24"/>
          <w:highlight w:val="none"/>
          <w:lang w:val="en-US" w:eastAsia="zh-CN"/>
        </w:rPr>
        <w:t>下</w:t>
      </w:r>
      <w:r>
        <w:rPr>
          <w:rFonts w:hint="eastAsia" w:ascii="宋体" w:hAnsi="宋体" w:cs="宋体"/>
          <w:color w:val="auto"/>
          <w:sz w:val="24"/>
          <w:highlight w:val="none"/>
        </w:rPr>
        <w:t>一轮报价，该报价为最后报价。</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6最后报价是供应商响应文件的有效组成部分，供应商法定代表人（非法人组织的负责人）或其授权代表对最后报价签章确认。节能、环保产品、中小微企业产品价格认定均按照最后报价后的浮动比例同比例进行调整。</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.7已提交响应文件的供应商，在提交最后报价之前，可以根据磋商情况退出磋商。该退出申请由供应商法定代表人（非法人组织的负责人）或其授权代表签章确认。</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69" w:name="_Toc32110"/>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6</w:t>
      </w:r>
      <w:r>
        <w:rPr>
          <w:rFonts w:ascii="宋体" w:hAnsi="宋体" w:eastAsia="宋体" w:cs="宋体"/>
          <w:b/>
          <w:color w:val="auto"/>
          <w:sz w:val="24"/>
          <w:highlight w:val="none"/>
        </w:rPr>
        <w:t>.比较和评价</w:t>
      </w:r>
      <w:bookmarkEnd w:id="69"/>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.1</w:t>
      </w:r>
      <w:r>
        <w:rPr>
          <w:rFonts w:hint="eastAsia" w:ascii="宋体" w:hAnsi="宋体" w:cs="宋体"/>
          <w:color w:val="auto"/>
          <w:sz w:val="24"/>
          <w:highlight w:val="none"/>
        </w:rPr>
        <w:t>经磋商确定最终采购需求和提交最后报价的供应商后，磋商小组将根据</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确定的</w:t>
      </w:r>
      <w:r>
        <w:rPr>
          <w:rFonts w:hint="eastAsia" w:ascii="宋体" w:hAnsi="宋体" w:cs="宋体"/>
          <w:b w:val="0"/>
          <w:bCs w:val="0"/>
          <w:color w:val="auto"/>
          <w:sz w:val="24"/>
          <w:highlight w:val="none"/>
        </w:rPr>
        <w:t>评审方法和标准、</w:t>
      </w:r>
      <w:r>
        <w:rPr>
          <w:rFonts w:hint="eastAsia" w:ascii="宋体" w:hAnsi="宋体" w:cs="宋体"/>
          <w:b w:val="0"/>
          <w:bCs w:val="0"/>
          <w:color w:val="auto"/>
          <w:sz w:val="24"/>
          <w:highlight w:val="none"/>
          <w:lang w:eastAsia="zh-CN"/>
        </w:rPr>
        <w:t>采购文件</w:t>
      </w:r>
      <w:r>
        <w:rPr>
          <w:rFonts w:hint="eastAsia" w:ascii="宋体" w:hAnsi="宋体" w:cs="宋体"/>
          <w:b w:val="0"/>
          <w:bCs w:val="0"/>
          <w:color w:val="auto"/>
          <w:sz w:val="24"/>
          <w:highlight w:val="none"/>
        </w:rPr>
        <w:t>规定的程序、评定成交的标准等事项与实质性响应文件</w:t>
      </w:r>
      <w:r>
        <w:rPr>
          <w:rFonts w:hint="eastAsia" w:ascii="宋体" w:hAnsi="宋体" w:cs="宋体"/>
          <w:color w:val="auto"/>
          <w:sz w:val="24"/>
          <w:highlight w:val="none"/>
        </w:rPr>
        <w:t>，对其技术部分和商务部分作进一步的比较和评价。</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.2 磋商</w:t>
      </w:r>
      <w:r>
        <w:rPr>
          <w:rFonts w:hint="eastAsia" w:ascii="宋体" w:hAnsi="宋体" w:cs="宋体"/>
          <w:color w:val="auto"/>
          <w:sz w:val="24"/>
          <w:highlight w:val="none"/>
          <w:lang w:val="en-US" w:eastAsia="zh-CN"/>
        </w:rPr>
        <w:t>小组经磋商确定最终采购需求和提交最后报价的供应商后，由磋商小组采用综合评分法对提交最后报价的供应商的响应文件和最后报价进行综合评分，</w:t>
      </w:r>
      <w:r>
        <w:rPr>
          <w:rFonts w:hint="eastAsia" w:ascii="宋体" w:hAnsi="宋体" w:cs="宋体"/>
          <w:color w:val="auto"/>
          <w:sz w:val="24"/>
          <w:highlight w:val="none"/>
        </w:rPr>
        <w:t>详细评审标准见</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第</w:t>
      </w:r>
      <w:r>
        <w:rPr>
          <w:rFonts w:hint="eastAsia" w:ascii="宋体" w:hAnsi="宋体" w:cs="宋体"/>
          <w:color w:val="auto"/>
          <w:sz w:val="24"/>
          <w:highlight w:val="none"/>
          <w:lang w:val="en-US" w:eastAsia="zh-CN"/>
        </w:rPr>
        <w:t>四</w:t>
      </w:r>
      <w:r>
        <w:rPr>
          <w:rFonts w:hint="eastAsia" w:ascii="宋体" w:hAnsi="宋体" w:cs="宋体"/>
          <w:color w:val="auto"/>
          <w:sz w:val="24"/>
          <w:highlight w:val="none"/>
        </w:rPr>
        <w:t>章。</w:t>
      </w:r>
    </w:p>
    <w:p>
      <w:pPr>
        <w:pStyle w:val="11"/>
        <w:pageBreakBefore w:val="0"/>
        <w:widowControl w:val="0"/>
        <w:kinsoku/>
        <w:wordWrap/>
        <w:overflowPunct/>
        <w:topLinePunct w:val="0"/>
        <w:bidi w:val="0"/>
        <w:snapToGrid/>
        <w:spacing w:line="500" w:lineRule="exact"/>
        <w:ind w:firstLine="480" w:firstLineChars="200"/>
        <w:jc w:val="left"/>
        <w:textAlignment w:val="auto"/>
        <w:rPr>
          <w:rFonts w:hint="eastAsia" w:hAnsi="宋体"/>
          <w:strike w:val="0"/>
          <w:dstrike w:val="0"/>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 xml:space="preserve">.3 </w:t>
      </w:r>
      <w:r>
        <w:rPr>
          <w:rFonts w:hint="eastAsia" w:hAnsi="宋体"/>
          <w:color w:val="auto"/>
          <w:sz w:val="24"/>
          <w:szCs w:val="24"/>
          <w:highlight w:val="none"/>
        </w:rPr>
        <w:t>根据《政府采购促进中小企业发展</w:t>
      </w:r>
      <w:r>
        <w:rPr>
          <w:rFonts w:hint="eastAsia" w:hAnsi="宋体"/>
          <w:color w:val="auto"/>
          <w:sz w:val="24"/>
          <w:szCs w:val="24"/>
          <w:highlight w:val="none"/>
          <w:lang w:eastAsia="zh-CN"/>
        </w:rPr>
        <w:t>管理</w:t>
      </w:r>
      <w:r>
        <w:rPr>
          <w:rFonts w:hint="eastAsia" w:hAnsi="宋体"/>
          <w:color w:val="auto"/>
          <w:sz w:val="24"/>
          <w:szCs w:val="24"/>
          <w:highlight w:val="none"/>
        </w:rPr>
        <w:t>办法》（财库﹝</w:t>
      </w:r>
      <w:r>
        <w:rPr>
          <w:rFonts w:hint="eastAsia" w:hAnsi="宋体"/>
          <w:color w:val="auto"/>
          <w:sz w:val="24"/>
          <w:szCs w:val="24"/>
          <w:highlight w:val="none"/>
          <w:lang w:val="en-US" w:eastAsia="zh-CN"/>
        </w:rPr>
        <w:t>2020</w:t>
      </w:r>
      <w:r>
        <w:rPr>
          <w:rFonts w:hint="eastAsia" w:hAnsi="宋体"/>
          <w:color w:val="auto"/>
          <w:sz w:val="24"/>
          <w:szCs w:val="24"/>
          <w:highlight w:val="none"/>
        </w:rPr>
        <w:t>﹞</w:t>
      </w:r>
      <w:r>
        <w:rPr>
          <w:rFonts w:hint="eastAsia" w:hAnsi="宋体"/>
          <w:color w:val="auto"/>
          <w:sz w:val="24"/>
          <w:szCs w:val="24"/>
          <w:highlight w:val="none"/>
          <w:lang w:val="en-US" w:eastAsia="zh-CN"/>
        </w:rPr>
        <w:t>46</w:t>
      </w:r>
      <w:r>
        <w:rPr>
          <w:rFonts w:hint="eastAsia" w:hAnsi="宋体"/>
          <w:color w:val="auto"/>
          <w:sz w:val="24"/>
          <w:szCs w:val="24"/>
          <w:highlight w:val="none"/>
        </w:rPr>
        <w:t>号）、《</w:t>
      </w:r>
      <w:r>
        <w:rPr>
          <w:rFonts w:hAnsi="宋体"/>
          <w:color w:val="auto"/>
          <w:sz w:val="24"/>
          <w:szCs w:val="24"/>
          <w:highlight w:val="none"/>
        </w:rPr>
        <w:t>财政部 司法部关于政府采购支持监狱企业发展有关问题的通知</w:t>
      </w:r>
      <w:r>
        <w:rPr>
          <w:rFonts w:hint="eastAsia" w:hAnsi="宋体"/>
          <w:color w:val="auto"/>
          <w:sz w:val="24"/>
          <w:szCs w:val="24"/>
          <w:highlight w:val="none"/>
        </w:rPr>
        <w:t>》（财库〔2014〕68号）和《三部门联合发布关于促进残疾人就业政府采购政策的通知》（</w:t>
      </w:r>
      <w:bookmarkStart w:id="70" w:name="sendNo"/>
      <w:r>
        <w:rPr>
          <w:rFonts w:hint="eastAsia" w:hAnsi="宋体"/>
          <w:bCs/>
          <w:color w:val="auto"/>
          <w:sz w:val="24"/>
          <w:szCs w:val="24"/>
          <w:highlight w:val="none"/>
        </w:rPr>
        <w:t>财库〔</w:t>
      </w:r>
      <w:bookmarkEnd w:id="70"/>
      <w:r>
        <w:rPr>
          <w:rFonts w:hint="eastAsia" w:hAnsi="宋体"/>
          <w:bCs/>
          <w:color w:val="auto"/>
          <w:sz w:val="24"/>
          <w:szCs w:val="24"/>
          <w:highlight w:val="none"/>
        </w:rPr>
        <w:t>2017〕141号</w:t>
      </w:r>
      <w:r>
        <w:rPr>
          <w:rFonts w:hint="eastAsia" w:hAnsi="宋体"/>
          <w:color w:val="auto"/>
          <w:sz w:val="24"/>
          <w:szCs w:val="24"/>
          <w:highlight w:val="none"/>
        </w:rPr>
        <w:t>）的规定，对满足价格扣除条件且在</w:t>
      </w:r>
      <w:r>
        <w:rPr>
          <w:rFonts w:hint="eastAsia" w:hAnsi="宋体"/>
          <w:color w:val="auto"/>
          <w:sz w:val="24"/>
          <w:szCs w:val="24"/>
          <w:highlight w:val="none"/>
          <w:lang w:eastAsia="zh-CN"/>
        </w:rPr>
        <w:t>响应</w:t>
      </w:r>
      <w:r>
        <w:rPr>
          <w:rFonts w:hint="eastAsia" w:hAnsi="宋体"/>
          <w:color w:val="auto"/>
          <w:sz w:val="24"/>
          <w:szCs w:val="24"/>
          <w:highlight w:val="none"/>
        </w:rPr>
        <w:t>文件中提交了</w:t>
      </w:r>
      <w:r>
        <w:rPr>
          <w:rFonts w:hint="eastAsia" w:hAnsi="宋体"/>
          <w:color w:val="auto"/>
          <w:sz w:val="24"/>
          <w:szCs w:val="24"/>
          <w:highlight w:val="none"/>
          <w:lang w:eastAsia="zh-CN"/>
        </w:rPr>
        <w:t>《中小企业</w:t>
      </w:r>
      <w:r>
        <w:rPr>
          <w:rFonts w:hint="eastAsia" w:hAnsi="宋体"/>
          <w:color w:val="auto"/>
          <w:sz w:val="24"/>
          <w:szCs w:val="24"/>
          <w:highlight w:val="none"/>
        </w:rPr>
        <w:t>声明函》或省级以上监狱管理局、戒毒管理局（含新疆生产建设兵团）出具的属于监狱企业的证明文件的</w:t>
      </w:r>
      <w:r>
        <w:rPr>
          <w:rFonts w:hint="eastAsia" w:hAnsi="宋体"/>
          <w:color w:val="auto"/>
          <w:sz w:val="24"/>
          <w:szCs w:val="24"/>
          <w:highlight w:val="none"/>
          <w:lang w:eastAsia="zh-CN"/>
        </w:rPr>
        <w:t>供应商</w:t>
      </w:r>
      <w:r>
        <w:rPr>
          <w:rFonts w:hint="eastAsia" w:hAnsi="宋体"/>
          <w:color w:val="auto"/>
          <w:sz w:val="24"/>
          <w:szCs w:val="24"/>
          <w:highlight w:val="none"/>
        </w:rPr>
        <w:t>，其</w:t>
      </w:r>
      <w:r>
        <w:rPr>
          <w:rFonts w:hint="eastAsia" w:hAnsi="宋体"/>
          <w:color w:val="auto"/>
          <w:sz w:val="24"/>
          <w:szCs w:val="24"/>
          <w:highlight w:val="none"/>
          <w:lang w:eastAsia="zh-CN"/>
        </w:rPr>
        <w:t>报价</w:t>
      </w:r>
      <w:r>
        <w:rPr>
          <w:rFonts w:hint="eastAsia" w:hAnsi="宋体"/>
          <w:color w:val="auto"/>
          <w:sz w:val="24"/>
          <w:szCs w:val="24"/>
          <w:highlight w:val="none"/>
        </w:rPr>
        <w:t>扣除</w:t>
      </w:r>
      <w:r>
        <w:rPr>
          <w:rFonts w:hint="eastAsia" w:hAnsi="宋体"/>
          <w:color w:val="auto"/>
          <w:sz w:val="24"/>
          <w:szCs w:val="24"/>
          <w:highlight w:val="none"/>
          <w:u w:val="single"/>
          <w:lang w:val="en-US" w:eastAsia="zh-CN"/>
        </w:rPr>
        <w:t>8</w:t>
      </w:r>
      <w:r>
        <w:rPr>
          <w:rFonts w:hint="eastAsia" w:hAnsi="宋体"/>
          <w:color w:val="auto"/>
          <w:sz w:val="24"/>
          <w:szCs w:val="24"/>
          <w:highlight w:val="none"/>
        </w:rPr>
        <w:t>%后参与评审</w:t>
      </w:r>
      <w:r>
        <w:rPr>
          <w:rFonts w:hint="eastAsia" w:hAnsi="宋体"/>
          <w:color w:val="auto"/>
          <w:sz w:val="24"/>
          <w:szCs w:val="24"/>
          <w:highlight w:val="none"/>
          <w:lang w:val="en-US" w:eastAsia="zh-CN"/>
        </w:rPr>
        <w:t>,</w:t>
      </w:r>
      <w:r>
        <w:rPr>
          <w:rFonts w:hint="eastAsia" w:hAnsi="宋体"/>
          <w:color w:val="auto"/>
          <w:sz w:val="24"/>
          <w:szCs w:val="24"/>
          <w:highlight w:val="none"/>
        </w:rPr>
        <w:t>对于同时属于小微企业、监狱企业或残疾人福利性单位的，不重复进行</w:t>
      </w:r>
      <w:r>
        <w:rPr>
          <w:rFonts w:hint="eastAsia" w:hAnsi="宋体"/>
          <w:color w:val="auto"/>
          <w:sz w:val="24"/>
          <w:szCs w:val="24"/>
          <w:highlight w:val="none"/>
          <w:lang w:eastAsia="zh-CN"/>
        </w:rPr>
        <w:t>报价</w:t>
      </w:r>
      <w:r>
        <w:rPr>
          <w:rFonts w:hint="eastAsia" w:hAnsi="宋体"/>
          <w:color w:val="auto"/>
          <w:sz w:val="24"/>
          <w:szCs w:val="24"/>
          <w:highlight w:val="none"/>
        </w:rPr>
        <w:t>扣除。</w:t>
      </w:r>
      <w:r>
        <w:rPr>
          <w:rFonts w:hint="eastAsia" w:hAnsi="宋体"/>
          <w:strike w:val="0"/>
          <w:dstrike w:val="0"/>
          <w:color w:val="auto"/>
          <w:sz w:val="24"/>
          <w:szCs w:val="24"/>
          <w:highlight w:val="none"/>
        </w:rPr>
        <w:t>具体办法及比例详见</w:t>
      </w:r>
      <w:r>
        <w:rPr>
          <w:rFonts w:hint="eastAsia" w:hAnsi="宋体"/>
          <w:strike w:val="0"/>
          <w:dstrike w:val="0"/>
          <w:color w:val="auto"/>
          <w:sz w:val="24"/>
          <w:szCs w:val="24"/>
          <w:highlight w:val="none"/>
          <w:lang w:eastAsia="zh-CN"/>
        </w:rPr>
        <w:t>采购文件</w:t>
      </w:r>
      <w:r>
        <w:rPr>
          <w:rFonts w:hint="eastAsia" w:hAnsi="宋体"/>
          <w:strike w:val="0"/>
          <w:dstrike w:val="0"/>
          <w:color w:val="auto"/>
          <w:sz w:val="24"/>
          <w:szCs w:val="24"/>
          <w:highlight w:val="none"/>
        </w:rPr>
        <w:t>第</w:t>
      </w:r>
      <w:r>
        <w:rPr>
          <w:rFonts w:hint="eastAsia" w:hAnsi="宋体"/>
          <w:strike w:val="0"/>
          <w:dstrike w:val="0"/>
          <w:color w:val="auto"/>
          <w:sz w:val="24"/>
          <w:szCs w:val="24"/>
          <w:highlight w:val="none"/>
          <w:lang w:val="en-US" w:eastAsia="zh-CN"/>
        </w:rPr>
        <w:t>四</w:t>
      </w:r>
      <w:r>
        <w:rPr>
          <w:rFonts w:hint="eastAsia" w:hAnsi="宋体"/>
          <w:strike w:val="0"/>
          <w:dstrike w:val="0"/>
          <w:color w:val="auto"/>
          <w:sz w:val="24"/>
          <w:szCs w:val="24"/>
          <w:highlight w:val="none"/>
        </w:rPr>
        <w:t>章。</w:t>
      </w:r>
    </w:p>
    <w:p>
      <w:pPr>
        <w:pStyle w:val="11"/>
        <w:pageBreakBefore w:val="0"/>
        <w:widowControl w:val="0"/>
        <w:kinsoku/>
        <w:wordWrap/>
        <w:overflowPunct/>
        <w:topLinePunct w:val="0"/>
        <w:bidi w:val="0"/>
        <w:snapToGrid/>
        <w:spacing w:line="500" w:lineRule="exact"/>
        <w:ind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lang w:val="en-US" w:eastAsia="zh-CN"/>
        </w:rPr>
        <w:t>26.4</w:t>
      </w:r>
      <w:r>
        <w:rPr>
          <w:rFonts w:hint="eastAsia" w:hAnsi="宋体"/>
          <w:color w:val="auto"/>
          <w:sz w:val="24"/>
          <w:szCs w:val="24"/>
          <w:highlight w:val="none"/>
        </w:rPr>
        <w:t>大中型企业与小微企业组成联合体或者大中型企业向一家或者多家小微企业分包的采购项目，对于联合协议或者分包意向协议约定小微企业的合同份额占到合同总金额30%以上的，应当对联合体或者大中型企业的报价给予</w:t>
      </w:r>
      <w:r>
        <w:rPr>
          <w:rFonts w:hint="eastAsia" w:hAnsi="宋体"/>
          <w:color w:val="auto"/>
          <w:sz w:val="24"/>
          <w:szCs w:val="24"/>
          <w:highlight w:val="none"/>
          <w:u w:val="single"/>
          <w:lang w:val="en-US" w:eastAsia="zh-CN"/>
        </w:rPr>
        <w:t>2</w:t>
      </w:r>
      <w:r>
        <w:rPr>
          <w:rFonts w:hint="eastAsia" w:hAnsi="宋体"/>
          <w:color w:val="auto"/>
          <w:sz w:val="24"/>
          <w:szCs w:val="24"/>
          <w:highlight w:val="none"/>
        </w:rPr>
        <w:t>%的扣除，用扣除后的价格参加评审。联合体各方均为小型、微型企业和监狱企业的，联合体视同为小型、微型企业和监狱企业。</w:t>
      </w:r>
    </w:p>
    <w:p>
      <w:pPr>
        <w:pStyle w:val="11"/>
        <w:pageBreakBefore w:val="0"/>
        <w:widowControl w:val="0"/>
        <w:kinsoku/>
        <w:wordWrap/>
        <w:overflowPunct/>
        <w:topLinePunct w:val="0"/>
        <w:bidi w:val="0"/>
        <w:snapToGrid/>
        <w:spacing w:line="500" w:lineRule="exact"/>
        <w:ind w:firstLine="480" w:firstLineChars="200"/>
        <w:jc w:val="left"/>
        <w:textAlignment w:val="auto"/>
        <w:rPr>
          <w:rFonts w:hint="eastAsia" w:ascii="宋体" w:hAnsi="宋体" w:cs="宋体"/>
          <w:color w:val="auto"/>
          <w:kern w:val="2"/>
          <w:sz w:val="24"/>
          <w:szCs w:val="24"/>
          <w:highlight w:val="none"/>
          <w:lang w:val="zh-CN" w:eastAsia="zh-CN" w:bidi="ar-SA"/>
        </w:rPr>
      </w:pPr>
      <w:r>
        <w:rPr>
          <w:rFonts w:hint="eastAsia" w:ascii="宋体" w:hAnsi="宋体" w:cs="宋体"/>
          <w:color w:val="auto"/>
          <w:kern w:val="2"/>
          <w:sz w:val="24"/>
          <w:szCs w:val="24"/>
          <w:highlight w:val="none"/>
          <w:lang w:val="zh-CN" w:eastAsia="zh-CN" w:bidi="ar-SA"/>
        </w:rPr>
        <w:t>2</w:t>
      </w:r>
      <w:r>
        <w:rPr>
          <w:rFonts w:hint="eastAsia" w:hAnsi="宋体" w:cs="宋体"/>
          <w:color w:val="auto"/>
          <w:kern w:val="2"/>
          <w:sz w:val="24"/>
          <w:szCs w:val="24"/>
          <w:highlight w:val="none"/>
          <w:lang w:val="en-US" w:eastAsia="zh-CN" w:bidi="ar-SA"/>
        </w:rPr>
        <w:t>6.5</w:t>
      </w:r>
      <w:r>
        <w:rPr>
          <w:rFonts w:hint="eastAsia" w:ascii="宋体" w:hAnsi="宋体" w:cs="宋体"/>
          <w:color w:val="auto"/>
          <w:kern w:val="2"/>
          <w:sz w:val="24"/>
          <w:szCs w:val="24"/>
          <w:highlight w:val="none"/>
          <w:lang w:val="zh-CN" w:eastAsia="zh-CN" w:bidi="ar-SA"/>
        </w:rPr>
        <w:t>供应商所投产品如被列入财政部与国家主管部门颁发的节能产品</w:t>
      </w:r>
      <w:r>
        <w:rPr>
          <w:rFonts w:hint="eastAsia" w:hAnsi="宋体" w:cs="宋体"/>
          <w:color w:val="auto"/>
          <w:kern w:val="2"/>
          <w:sz w:val="24"/>
          <w:szCs w:val="24"/>
          <w:highlight w:val="none"/>
          <w:lang w:val="en-US" w:eastAsia="zh-CN" w:bidi="ar-SA"/>
        </w:rPr>
        <w:t>政府采购品目清单</w:t>
      </w:r>
      <w:r>
        <w:rPr>
          <w:rFonts w:hint="eastAsia" w:ascii="宋体" w:hAnsi="宋体" w:cs="宋体"/>
          <w:color w:val="auto"/>
          <w:kern w:val="2"/>
          <w:sz w:val="24"/>
          <w:szCs w:val="24"/>
          <w:highlight w:val="none"/>
          <w:lang w:val="zh-CN" w:eastAsia="zh-CN" w:bidi="ar-SA"/>
        </w:rPr>
        <w:t>或环境标志产品</w:t>
      </w:r>
      <w:r>
        <w:rPr>
          <w:rFonts w:hint="eastAsia" w:hAnsi="宋体" w:cs="宋体"/>
          <w:color w:val="auto"/>
          <w:kern w:val="2"/>
          <w:sz w:val="24"/>
          <w:szCs w:val="24"/>
          <w:highlight w:val="none"/>
          <w:lang w:val="en-US" w:eastAsia="zh-CN" w:bidi="ar-SA"/>
        </w:rPr>
        <w:t>政府采购品目清单的</w:t>
      </w:r>
      <w:r>
        <w:rPr>
          <w:rFonts w:hint="eastAsia" w:ascii="宋体" w:hAnsi="宋体" w:cs="宋体"/>
          <w:color w:val="auto"/>
          <w:kern w:val="2"/>
          <w:sz w:val="24"/>
          <w:szCs w:val="24"/>
          <w:highlight w:val="none"/>
          <w:lang w:val="zh-CN" w:eastAsia="zh-CN" w:bidi="ar-SA"/>
        </w:rPr>
        <w:t>，</w:t>
      </w:r>
      <w:r>
        <w:rPr>
          <w:rFonts w:hint="eastAsia" w:ascii="宋体" w:hAnsi="宋体" w:cs="宋体"/>
          <w:color w:val="auto"/>
          <w:kern w:val="2"/>
          <w:sz w:val="24"/>
          <w:szCs w:val="24"/>
          <w:highlight w:val="none"/>
          <w:lang w:val="en-US" w:eastAsia="zh-CN" w:bidi="ar-SA"/>
        </w:rPr>
        <w:t>应当</w:t>
      </w:r>
      <w:r>
        <w:rPr>
          <w:rFonts w:hint="eastAsia" w:ascii="宋体" w:hAnsi="宋体" w:cs="宋体"/>
          <w:color w:val="auto"/>
          <w:kern w:val="2"/>
          <w:sz w:val="24"/>
          <w:szCs w:val="24"/>
          <w:highlight w:val="none"/>
          <w:lang w:val="zh-CN" w:eastAsia="zh-CN" w:bidi="ar-SA"/>
        </w:rPr>
        <w:t>提供</w:t>
      </w:r>
      <w:r>
        <w:rPr>
          <w:rFonts w:hint="eastAsia" w:ascii="宋体" w:hAnsi="宋体" w:cs="宋体"/>
          <w:color w:val="auto"/>
          <w:kern w:val="2"/>
          <w:sz w:val="24"/>
          <w:szCs w:val="24"/>
          <w:highlight w:val="none"/>
          <w:lang w:val="en-US" w:eastAsia="zh-CN" w:bidi="ar-SA"/>
        </w:rPr>
        <w:t>国家确定的认证机构出具的、处于有效期之内的</w:t>
      </w:r>
      <w:r>
        <w:rPr>
          <w:rFonts w:hint="eastAsia" w:ascii="宋体" w:hAnsi="宋体" w:cs="宋体"/>
          <w:color w:val="auto"/>
          <w:kern w:val="2"/>
          <w:sz w:val="24"/>
          <w:szCs w:val="24"/>
          <w:highlight w:val="none"/>
          <w:lang w:val="zh-CN" w:eastAsia="zh-CN" w:bidi="ar-SA"/>
        </w:rPr>
        <w:t>产品认证证书或提供加盖供应商公章的节能产品认证结果信息发布平台或中国政府采购网（www.ccgp.gov.cn）产品网站查询截图，在评标时给予认证产品</w:t>
      </w:r>
      <w:r>
        <w:rPr>
          <w:rFonts w:hint="eastAsia" w:hAnsi="宋体" w:cs="宋体"/>
          <w:color w:val="auto"/>
          <w:kern w:val="2"/>
          <w:sz w:val="24"/>
          <w:szCs w:val="24"/>
          <w:highlight w:val="none"/>
          <w:u w:val="single"/>
          <w:lang w:val="en-US" w:eastAsia="zh-CN" w:bidi="ar-SA"/>
        </w:rPr>
        <w:t>5%</w:t>
      </w:r>
      <w:r>
        <w:rPr>
          <w:rFonts w:hint="eastAsia" w:ascii="宋体" w:hAnsi="宋体" w:cs="宋体"/>
          <w:color w:val="auto"/>
          <w:kern w:val="2"/>
          <w:sz w:val="24"/>
          <w:szCs w:val="24"/>
          <w:highlight w:val="none"/>
          <w:lang w:val="zh-CN" w:eastAsia="zh-CN" w:bidi="ar-SA"/>
        </w:rPr>
        <w:t>的评审价格扣除优惠或者给予不超过</w:t>
      </w:r>
      <w:r>
        <w:rPr>
          <w:rFonts w:hint="eastAsia" w:hAnsi="宋体" w:cs="宋体"/>
          <w:color w:val="auto"/>
          <w:kern w:val="2"/>
          <w:sz w:val="24"/>
          <w:szCs w:val="24"/>
          <w:highlight w:val="none"/>
          <w:u w:val="single"/>
          <w:lang w:val="en-US" w:eastAsia="zh-CN" w:bidi="ar-SA"/>
        </w:rPr>
        <w:t>5分</w:t>
      </w:r>
      <w:r>
        <w:rPr>
          <w:rFonts w:hint="eastAsia" w:ascii="宋体" w:hAnsi="宋体" w:cs="宋体"/>
          <w:color w:val="auto"/>
          <w:kern w:val="2"/>
          <w:sz w:val="24"/>
          <w:szCs w:val="24"/>
          <w:highlight w:val="none"/>
          <w:lang w:val="zh-CN" w:eastAsia="zh-CN" w:bidi="ar-SA"/>
        </w:rPr>
        <w:t>的评审加分，同等条件下，优先采购认证产品。具体办法及比例详见</w:t>
      </w:r>
      <w:r>
        <w:rPr>
          <w:rFonts w:hint="eastAsia" w:hAnsi="宋体" w:cs="宋体"/>
          <w:color w:val="auto"/>
          <w:kern w:val="2"/>
          <w:sz w:val="24"/>
          <w:szCs w:val="24"/>
          <w:highlight w:val="none"/>
          <w:lang w:val="zh-CN" w:eastAsia="zh-CN" w:bidi="ar-SA"/>
        </w:rPr>
        <w:t>采购文件</w:t>
      </w:r>
      <w:r>
        <w:rPr>
          <w:rFonts w:hint="eastAsia" w:ascii="宋体" w:hAnsi="宋体" w:cs="宋体"/>
          <w:color w:val="auto"/>
          <w:kern w:val="2"/>
          <w:sz w:val="24"/>
          <w:szCs w:val="24"/>
          <w:highlight w:val="none"/>
          <w:lang w:val="zh-CN" w:eastAsia="zh-CN" w:bidi="ar-SA"/>
        </w:rPr>
        <w:t>第</w:t>
      </w:r>
      <w:r>
        <w:rPr>
          <w:rFonts w:hint="eastAsia" w:hAnsi="宋体" w:cs="宋体"/>
          <w:color w:val="auto"/>
          <w:kern w:val="2"/>
          <w:sz w:val="24"/>
          <w:szCs w:val="24"/>
          <w:highlight w:val="none"/>
          <w:lang w:val="en-US" w:eastAsia="zh-CN" w:bidi="ar-SA"/>
        </w:rPr>
        <w:t>四</w:t>
      </w:r>
      <w:r>
        <w:rPr>
          <w:rFonts w:hint="eastAsia" w:ascii="宋体" w:hAnsi="宋体" w:cs="宋体"/>
          <w:color w:val="auto"/>
          <w:kern w:val="2"/>
          <w:sz w:val="24"/>
          <w:szCs w:val="24"/>
          <w:highlight w:val="none"/>
          <w:lang w:val="zh-CN" w:eastAsia="zh-CN" w:bidi="ar-SA"/>
        </w:rPr>
        <w:t>章。</w:t>
      </w:r>
    </w:p>
    <w:p>
      <w:pPr>
        <w:pStyle w:val="7"/>
        <w:pageBreakBefore w:val="0"/>
        <w:widowControl w:val="0"/>
        <w:kinsoku/>
        <w:wordWrap/>
        <w:overflowPunct/>
        <w:topLinePunct w:val="0"/>
        <w:bidi w:val="0"/>
        <w:snapToGrid/>
        <w:spacing w:line="500" w:lineRule="exac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如采购人所采购产品为政府强制采购的节能产品，供应商应提供</w:t>
      </w:r>
      <w:r>
        <w:rPr>
          <w:rFonts w:hint="eastAsia" w:ascii="宋体" w:hAnsi="宋体" w:eastAsia="宋体" w:cs="宋体"/>
          <w:color w:val="auto"/>
          <w:kern w:val="2"/>
          <w:sz w:val="24"/>
          <w:szCs w:val="24"/>
          <w:highlight w:val="none"/>
          <w:lang w:val="en-US" w:eastAsia="zh-CN" w:bidi="ar-SA"/>
        </w:rPr>
        <w:t>国家确定的认证机构出具的、处于有效期之内的</w:t>
      </w:r>
      <w:r>
        <w:rPr>
          <w:rFonts w:hint="eastAsia" w:ascii="宋体" w:hAnsi="宋体" w:eastAsia="宋体" w:cs="宋体"/>
          <w:color w:val="auto"/>
          <w:kern w:val="2"/>
          <w:sz w:val="24"/>
          <w:szCs w:val="24"/>
          <w:highlight w:val="none"/>
          <w:lang w:val="zh-CN" w:eastAsia="zh-CN" w:bidi="ar-SA"/>
        </w:rPr>
        <w:t>产品认证证书或提供加盖供应商公章的节能产品认证结果信息发布平台或中国政府采购网（www.ccgp.gov.cn）产品网站查询截图，否则其响应将被认定为响应无效。</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 xml:space="preserve"> 公开发布的</w:t>
      </w:r>
      <w:r>
        <w:rPr>
          <w:rFonts w:hint="eastAsia" w:hAnsi="宋体" w:cs="宋体"/>
          <w:color w:val="auto"/>
          <w:sz w:val="24"/>
          <w:szCs w:val="24"/>
          <w:highlight w:val="none"/>
          <w:lang w:eastAsia="zh-CN"/>
        </w:rPr>
        <w:t>采购文件</w:t>
      </w:r>
      <w:r>
        <w:rPr>
          <w:rFonts w:hint="eastAsia" w:hAnsi="宋体" w:cs="宋体"/>
          <w:color w:val="auto"/>
          <w:sz w:val="24"/>
          <w:szCs w:val="24"/>
          <w:highlight w:val="none"/>
        </w:rPr>
        <w:t>中的评分细则，在磋商期间，不允许做出更改。</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7</w:t>
      </w:r>
      <w:r>
        <w:rPr>
          <w:rFonts w:hint="eastAsia" w:hAnsi="宋体" w:cs="宋体"/>
          <w:color w:val="auto"/>
          <w:sz w:val="24"/>
          <w:szCs w:val="24"/>
          <w:highlight w:val="none"/>
        </w:rPr>
        <w:t xml:space="preserve"> </w:t>
      </w:r>
      <w:r>
        <w:rPr>
          <w:rFonts w:hint="eastAsia" w:hAnsi="宋体" w:cs="宋体"/>
          <w:color w:val="auto"/>
          <w:sz w:val="24"/>
          <w:szCs w:val="24"/>
          <w:highlight w:val="none"/>
          <w:lang w:val="en-US" w:eastAsia="zh-CN"/>
        </w:rPr>
        <w:t>磋商小组应独立对每个供应商响应文件进行评审，系统将自动汇总每个供应商的得分</w:t>
      </w:r>
      <w:r>
        <w:rPr>
          <w:rFonts w:hint="eastAsia" w:hAnsi="宋体" w:cs="宋体"/>
          <w:color w:val="auto"/>
          <w:sz w:val="24"/>
          <w:szCs w:val="24"/>
          <w:highlight w:val="none"/>
        </w:rPr>
        <w:t>。</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8</w:t>
      </w:r>
      <w:r>
        <w:rPr>
          <w:rFonts w:hint="eastAsia" w:hAnsi="宋体" w:cs="宋体"/>
          <w:color w:val="auto"/>
          <w:sz w:val="24"/>
          <w:szCs w:val="24"/>
          <w:highlight w:val="none"/>
        </w:rPr>
        <w:t xml:space="preserve"> 磋商小组</w:t>
      </w:r>
      <w:r>
        <w:rPr>
          <w:rFonts w:hint="eastAsia" w:hAnsi="宋体" w:cs="宋体"/>
          <w:color w:val="auto"/>
          <w:sz w:val="24"/>
          <w:szCs w:val="24"/>
          <w:highlight w:val="none"/>
          <w:lang w:val="en-US" w:eastAsia="zh-CN"/>
        </w:rPr>
        <w:t>按照采购文件要求，</w:t>
      </w:r>
      <w:r>
        <w:rPr>
          <w:rFonts w:hint="eastAsia" w:hAnsi="宋体" w:cs="宋体"/>
          <w:color w:val="auto"/>
          <w:sz w:val="24"/>
          <w:szCs w:val="24"/>
          <w:highlight w:val="none"/>
        </w:rPr>
        <w:t>对供应商的</w:t>
      </w:r>
      <w:r>
        <w:rPr>
          <w:rFonts w:hint="eastAsia" w:hAnsi="宋体" w:cs="宋体"/>
          <w:color w:val="auto"/>
          <w:sz w:val="24"/>
          <w:szCs w:val="24"/>
          <w:highlight w:val="none"/>
          <w:lang w:val="en-US" w:eastAsia="zh-CN"/>
        </w:rPr>
        <w:t>评审结果</w:t>
      </w:r>
      <w:r>
        <w:rPr>
          <w:rFonts w:hint="eastAsia" w:hAnsi="宋体" w:cs="宋体"/>
          <w:color w:val="auto"/>
          <w:sz w:val="24"/>
          <w:szCs w:val="24"/>
          <w:highlight w:val="none"/>
        </w:rPr>
        <w:t>进行复核并签字确认。</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9</w:t>
      </w:r>
      <w:r>
        <w:rPr>
          <w:rFonts w:hint="eastAsia" w:hAnsi="宋体" w:cs="宋体"/>
          <w:color w:val="auto"/>
          <w:sz w:val="24"/>
          <w:szCs w:val="24"/>
          <w:highlight w:val="none"/>
        </w:rPr>
        <w:t>供应商得分是由磋商小组打分的算术平均值。</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w:t>
      </w:r>
      <w:r>
        <w:rPr>
          <w:rFonts w:hint="eastAsia" w:hAnsi="宋体" w:cs="宋体"/>
          <w:color w:val="auto"/>
          <w:sz w:val="24"/>
          <w:szCs w:val="24"/>
          <w:highlight w:val="none"/>
          <w:lang w:val="en-US" w:eastAsia="zh-CN"/>
        </w:rPr>
        <w:t>10</w:t>
      </w:r>
      <w:r>
        <w:rPr>
          <w:rFonts w:hint="eastAsia" w:hAnsi="宋体" w:cs="宋体"/>
          <w:color w:val="auto"/>
          <w:sz w:val="24"/>
          <w:szCs w:val="24"/>
          <w:highlight w:val="none"/>
        </w:rPr>
        <w:t xml:space="preserve"> 磋商小组判断响应文件的响应性仅基于响应文件本身而不靠外部因素。磋商小组将拒绝被确定为非实质性响应的</w:t>
      </w:r>
      <w:r>
        <w:rPr>
          <w:rFonts w:hint="eastAsia" w:hAnsi="宋体" w:cs="宋体"/>
          <w:color w:val="auto"/>
          <w:sz w:val="24"/>
          <w:szCs w:val="24"/>
          <w:highlight w:val="none"/>
          <w:lang w:eastAsia="zh-CN"/>
        </w:rPr>
        <w:t>响应</w:t>
      </w:r>
      <w:r>
        <w:rPr>
          <w:rFonts w:hint="eastAsia" w:hAnsi="宋体" w:cs="宋体"/>
          <w:color w:val="auto"/>
          <w:sz w:val="24"/>
          <w:szCs w:val="24"/>
          <w:highlight w:val="none"/>
        </w:rPr>
        <w:t>，供应商不能通过修正或撤销不符之处而使其响应成为实质性响应的</w:t>
      </w:r>
      <w:r>
        <w:rPr>
          <w:rFonts w:hint="eastAsia" w:hAnsi="宋体" w:cs="宋体"/>
          <w:color w:val="auto"/>
          <w:sz w:val="24"/>
          <w:szCs w:val="24"/>
          <w:highlight w:val="none"/>
          <w:lang w:eastAsia="zh-CN"/>
        </w:rPr>
        <w:t>响应</w:t>
      </w:r>
      <w:r>
        <w:rPr>
          <w:rFonts w:hint="eastAsia" w:hAnsi="宋体" w:cs="宋体"/>
          <w:color w:val="auto"/>
          <w:sz w:val="24"/>
          <w:szCs w:val="24"/>
          <w:highlight w:val="none"/>
        </w:rPr>
        <w:t>。磋商小组可以允许供应商修改其响应文件中不构成实质偏离的、微小的、非正规的不一致或不规则的地方。</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lang w:val="en-US" w:eastAsia="zh-CN"/>
        </w:rPr>
        <w:t>6</w:t>
      </w:r>
      <w:r>
        <w:rPr>
          <w:rFonts w:hint="eastAsia" w:hAnsi="宋体" w:cs="宋体"/>
          <w:color w:val="auto"/>
          <w:sz w:val="24"/>
          <w:szCs w:val="24"/>
          <w:highlight w:val="none"/>
        </w:rPr>
        <w:t>.1</w:t>
      </w:r>
      <w:r>
        <w:rPr>
          <w:rFonts w:hint="eastAsia" w:hAnsi="宋体" w:cs="宋体"/>
          <w:color w:val="auto"/>
          <w:sz w:val="24"/>
          <w:szCs w:val="24"/>
          <w:highlight w:val="none"/>
          <w:lang w:val="en-US" w:eastAsia="zh-CN"/>
        </w:rPr>
        <w:t>1</w:t>
      </w:r>
      <w:r>
        <w:rPr>
          <w:rFonts w:hint="eastAsia" w:hAnsi="宋体" w:cs="宋体"/>
          <w:color w:val="auto"/>
          <w:sz w:val="24"/>
          <w:szCs w:val="24"/>
          <w:highlight w:val="none"/>
        </w:rPr>
        <w:t>磋商过程要求：电子开标、磋商如出现下列情形，导致网上开评标系统无法正常运行或无法正常评审时，采取应急措施。</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（1）系统服务器发生故障，无法访问或无法使用系统；</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（2）系统的软件或数据库出现错误，不能进行正常操作；</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（3）系统发现有安全漏洞，存在潜在的泄密危险；</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（4）病毒发作或受到外来病毒的攻击；</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 xml:space="preserve">（5）出现其他不可抗拒的客观原因造成网上开评标系统无法正常使用。 </w:t>
      </w:r>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szCs w:val="24"/>
          <w:highlight w:val="none"/>
        </w:rPr>
      </w:pPr>
      <w:r>
        <w:rPr>
          <w:rFonts w:hint="eastAsia" w:hAnsi="宋体" w:cs="宋体"/>
          <w:color w:val="auto"/>
          <w:sz w:val="24"/>
          <w:szCs w:val="24"/>
          <w:highlight w:val="none"/>
        </w:rPr>
        <w:t>出现上述情况时，应对未开标的暂停开标。已在系统内开标、磋商的立即停止。采取应急措施时，必须对原有资料及信息作出妥善保密处理。</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71" w:name="_Toc9747"/>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.采购项目终止</w:t>
      </w:r>
      <w:bookmarkEnd w:id="71"/>
    </w:p>
    <w:p>
      <w:pPr>
        <w:pStyle w:val="11"/>
        <w:pageBreakBefore w:val="0"/>
        <w:widowControl w:val="0"/>
        <w:kinsoku/>
        <w:wordWrap/>
        <w:overflowPunct/>
        <w:topLinePunct w:val="0"/>
        <w:bidi w:val="0"/>
        <w:snapToGrid/>
        <w:spacing w:line="500" w:lineRule="exact"/>
        <w:ind w:firstLine="480" w:firstLineChars="200"/>
        <w:textAlignment w:val="auto"/>
        <w:rPr>
          <w:rFonts w:hAnsi="宋体" w:cs="宋体"/>
          <w:color w:val="auto"/>
          <w:sz w:val="24"/>
          <w:highlight w:val="none"/>
        </w:rPr>
      </w:pPr>
      <w:r>
        <w:rPr>
          <w:rFonts w:hint="eastAsia" w:hAnsi="宋体" w:cs="宋体"/>
          <w:color w:val="auto"/>
          <w:sz w:val="24"/>
          <w:highlight w:val="none"/>
        </w:rPr>
        <w:t>出现下列情形之一的，采购人</w:t>
      </w:r>
      <w:r>
        <w:rPr>
          <w:rFonts w:hint="eastAsia" w:hAnsi="宋体" w:cs="宋体"/>
          <w:color w:val="auto"/>
          <w:sz w:val="24"/>
          <w:highlight w:val="none"/>
          <w:lang w:val="en-US" w:eastAsia="zh-CN"/>
        </w:rPr>
        <w:t>或代理机构</w:t>
      </w:r>
      <w:r>
        <w:rPr>
          <w:rFonts w:hint="eastAsia" w:hAnsi="宋体" w:cs="宋体"/>
          <w:color w:val="auto"/>
          <w:sz w:val="24"/>
          <w:highlight w:val="none"/>
        </w:rPr>
        <w:t>应当终止竞争性磋商采购活动，发布项目终止公告并说明原因，重新开展采购活动：</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（1）因情况变化，不再符合规定的竞争性磋商采购方式适用情形的；</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（2）出现影响采购公正的违法、违规行为的；</w:t>
      </w:r>
    </w:p>
    <w:p>
      <w:pPr>
        <w:pageBreakBefore w:val="0"/>
        <w:widowControl w:val="0"/>
        <w:kinsoku/>
        <w:wordWrap/>
        <w:overflowPunct/>
        <w:topLinePunct w:val="0"/>
        <w:bidi w:val="0"/>
        <w:snapToGrid/>
        <w:spacing w:line="5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除《政府采购竞争性磋商采购方式管理暂行办法》第三条第四项规定的情形与《财政部关于政府采购竞争性磋商采购方式管理暂行办法有关问题的补充通知》规定的“采用竞争性磋商采购方式采购的政府购买服务项目（含政府和社会资本合作项目）”的情形外，在采购过程中符合要求的供应商或者报价未超过采购预算的供应商不足3家的。</w:t>
      </w:r>
    </w:p>
    <w:p>
      <w:pPr>
        <w:pageBreakBefore w:val="0"/>
        <w:widowControl w:val="0"/>
        <w:kinsoku/>
        <w:wordWrap/>
        <w:overflowPunct/>
        <w:topLinePunct w:val="0"/>
        <w:bidi w:val="0"/>
        <w:snapToGrid/>
        <w:spacing w:line="500" w:lineRule="exact"/>
        <w:ind w:left="479"/>
        <w:textAlignment w:val="auto"/>
        <w:rPr>
          <w:rFonts w:ascii="宋体" w:hAnsi="宋体" w:eastAsia="宋体" w:cs="宋体"/>
          <w:color w:val="auto"/>
          <w:sz w:val="24"/>
          <w:highlight w:val="none"/>
        </w:rPr>
      </w:pPr>
      <w:r>
        <w:rPr>
          <w:rFonts w:hint="eastAsia" w:ascii="宋体" w:hAnsi="宋体" w:cs="宋体"/>
          <w:color w:val="auto"/>
          <w:sz w:val="24"/>
          <w:highlight w:val="none"/>
        </w:rPr>
        <w:t>（4）因重大变故，采购任务取消的。</w:t>
      </w:r>
    </w:p>
    <w:p>
      <w:pPr>
        <w:keepNext/>
        <w:keepLines/>
        <w:pageBreakBefore w:val="0"/>
        <w:widowControl w:val="0"/>
        <w:kinsoku/>
        <w:wordWrap/>
        <w:overflowPunct/>
        <w:topLinePunct w:val="0"/>
        <w:bidi w:val="0"/>
        <w:snapToGrid/>
        <w:spacing w:line="500" w:lineRule="exact"/>
        <w:jc w:val="left"/>
        <w:textAlignment w:val="auto"/>
        <w:outlineLvl w:val="2"/>
        <w:rPr>
          <w:rFonts w:ascii="宋体" w:hAnsi="宋体" w:eastAsia="宋体" w:cs="宋体"/>
          <w:b/>
          <w:color w:val="auto"/>
          <w:sz w:val="24"/>
          <w:highlight w:val="none"/>
        </w:rPr>
      </w:pPr>
      <w:bookmarkStart w:id="72" w:name="_Toc26761"/>
      <w:r>
        <w:rPr>
          <w:rFonts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8</w:t>
      </w:r>
      <w:r>
        <w:rPr>
          <w:rFonts w:ascii="宋体" w:hAnsi="宋体" w:eastAsia="宋体" w:cs="宋体"/>
          <w:b/>
          <w:color w:val="auto"/>
          <w:sz w:val="24"/>
          <w:highlight w:val="none"/>
        </w:rPr>
        <w:t>.保密要求</w:t>
      </w:r>
      <w:bookmarkEnd w:id="72"/>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ascii="宋体" w:hAnsi="宋体" w:eastAsia="宋体" w:cs="宋体"/>
          <w:color w:val="auto"/>
          <w:sz w:val="24"/>
          <w:highlight w:val="none"/>
        </w:rPr>
        <w:t>.1</w:t>
      </w:r>
      <w:r>
        <w:rPr>
          <w:rFonts w:hint="eastAsia" w:ascii="宋体" w:hAnsi="宋体" w:cs="宋体"/>
          <w:color w:val="auto"/>
          <w:sz w:val="24"/>
          <w:highlight w:val="none"/>
        </w:rPr>
        <w:t>磋商将在严格保密的情况下进行。</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.2政府采购评审专家应当遵守磋商工作纪律，</w:t>
      </w:r>
      <w:r>
        <w:rPr>
          <w:rFonts w:hint="eastAsia" w:ascii="宋体" w:hAnsi="宋体" w:cs="宋体"/>
          <w:b w:val="0"/>
          <w:bCs/>
          <w:color w:val="auto"/>
          <w:sz w:val="24"/>
          <w:highlight w:val="none"/>
        </w:rPr>
        <w:t>不得记录、复制或者带走任何评标资料，不得泄露</w:t>
      </w:r>
      <w:r>
        <w:rPr>
          <w:rFonts w:hint="eastAsia" w:ascii="宋体" w:hAnsi="宋体" w:cs="宋体"/>
          <w:b w:val="0"/>
          <w:bCs/>
          <w:color w:val="auto"/>
          <w:sz w:val="24"/>
          <w:highlight w:val="none"/>
          <w:lang w:eastAsia="zh-CN"/>
        </w:rPr>
        <w:t>采购文件</w:t>
      </w:r>
      <w:r>
        <w:rPr>
          <w:rFonts w:hint="eastAsia" w:ascii="宋体" w:hAnsi="宋体" w:cs="宋体"/>
          <w:b w:val="0"/>
          <w:bCs/>
          <w:color w:val="auto"/>
          <w:sz w:val="24"/>
          <w:highlight w:val="none"/>
        </w:rPr>
        <w:t>、磋商情况和磋商中获悉的商业秘</w:t>
      </w:r>
      <w:r>
        <w:rPr>
          <w:rFonts w:hint="eastAsia" w:ascii="宋体" w:hAnsi="宋体" w:cs="宋体"/>
          <w:color w:val="auto"/>
          <w:sz w:val="24"/>
          <w:highlight w:val="none"/>
        </w:rPr>
        <w:t>密</w:t>
      </w:r>
      <w:r>
        <w:rPr>
          <w:rFonts w:ascii="宋体" w:hAnsi="宋体" w:eastAsia="宋体" w:cs="宋体"/>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p>
    <w:p>
      <w:pPr>
        <w:keepNext/>
        <w:keepLines/>
        <w:pageBreakBefore w:val="0"/>
        <w:widowControl w:val="0"/>
        <w:kinsoku/>
        <w:wordWrap/>
        <w:overflowPunct/>
        <w:topLinePunct w:val="0"/>
        <w:bidi w:val="0"/>
        <w:snapToGrid/>
        <w:spacing w:line="500" w:lineRule="exact"/>
        <w:ind w:left="565" w:hanging="540"/>
        <w:jc w:val="center"/>
        <w:textAlignment w:val="auto"/>
        <w:outlineLvl w:val="1"/>
        <w:rPr>
          <w:rFonts w:ascii="宋体" w:hAnsi="宋体" w:eastAsia="宋体" w:cs="宋体"/>
          <w:b/>
          <w:color w:val="auto"/>
          <w:sz w:val="28"/>
          <w:highlight w:val="none"/>
        </w:rPr>
      </w:pPr>
      <w:bookmarkStart w:id="73" w:name="_Toc15074"/>
      <w:r>
        <w:rPr>
          <w:rFonts w:ascii="宋体" w:hAnsi="宋体" w:eastAsia="宋体" w:cs="宋体"/>
          <w:b/>
          <w:color w:val="auto"/>
          <w:sz w:val="28"/>
          <w:highlight w:val="none"/>
        </w:rPr>
        <w:t>六</w:t>
      </w:r>
      <w:r>
        <w:rPr>
          <w:rFonts w:hint="eastAsia" w:ascii="宋体" w:hAnsi="宋体" w:eastAsia="宋体" w:cs="宋体"/>
          <w:b/>
          <w:color w:val="auto"/>
          <w:sz w:val="28"/>
          <w:highlight w:val="none"/>
          <w:lang w:eastAsia="zh-CN"/>
        </w:rPr>
        <w:t>、</w:t>
      </w:r>
      <w:r>
        <w:rPr>
          <w:rFonts w:ascii="宋体" w:hAnsi="宋体" w:eastAsia="宋体" w:cs="宋体"/>
          <w:b/>
          <w:color w:val="auto"/>
          <w:sz w:val="28"/>
          <w:highlight w:val="none"/>
        </w:rPr>
        <w:t>确定成交</w:t>
      </w:r>
      <w:bookmarkEnd w:id="73"/>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74" w:name="_Toc515647788"/>
      <w:bookmarkStart w:id="75" w:name="_Toc23762"/>
      <w:bookmarkStart w:id="76" w:name="_Toc62193420"/>
      <w:bookmarkStart w:id="77" w:name="_Toc520356170"/>
      <w:bookmarkStart w:id="78" w:name="_Toc23617"/>
      <w:bookmarkStart w:id="79" w:name="_Ref467307010"/>
      <w:bookmarkStart w:id="80" w:name="_Toc18904"/>
      <w:r>
        <w:rPr>
          <w:rFonts w:hint="eastAsia" w:hAnsi="宋体" w:cs="宋体"/>
          <w:color w:val="auto"/>
          <w:highlight w:val="none"/>
          <w:u w:val="none"/>
        </w:rPr>
        <w:t>2</w:t>
      </w:r>
      <w:r>
        <w:rPr>
          <w:rFonts w:hint="eastAsia" w:hAnsi="宋体" w:cs="宋体"/>
          <w:color w:val="auto"/>
          <w:highlight w:val="none"/>
          <w:u w:val="none"/>
          <w:lang w:val="en-US" w:eastAsia="zh-CN"/>
        </w:rPr>
        <w:t>9</w:t>
      </w:r>
      <w:r>
        <w:rPr>
          <w:rFonts w:hint="eastAsia" w:hAnsi="宋体" w:cs="宋体"/>
          <w:color w:val="auto"/>
          <w:highlight w:val="none"/>
          <w:u w:val="none"/>
        </w:rPr>
        <w:t>.成交</w:t>
      </w:r>
      <w:r>
        <w:rPr>
          <w:rFonts w:hint="eastAsia" w:hAnsi="宋体" w:cs="宋体"/>
          <w:color w:val="auto"/>
          <w:highlight w:val="none"/>
          <w:u w:val="none"/>
          <w:lang w:eastAsia="zh-CN"/>
        </w:rPr>
        <w:t>候选人</w:t>
      </w:r>
      <w:r>
        <w:rPr>
          <w:rFonts w:hint="eastAsia" w:hAnsi="宋体" w:cs="宋体"/>
          <w:color w:val="auto"/>
          <w:highlight w:val="none"/>
          <w:u w:val="none"/>
        </w:rPr>
        <w:t>的确定原则及标准</w:t>
      </w:r>
      <w:bookmarkEnd w:id="74"/>
      <w:bookmarkEnd w:id="75"/>
      <w:bookmarkEnd w:id="76"/>
      <w:bookmarkEnd w:id="77"/>
      <w:bookmarkEnd w:id="78"/>
      <w:bookmarkEnd w:id="79"/>
      <w:bookmarkEnd w:id="80"/>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除</w:t>
      </w:r>
      <w:r>
        <w:rPr>
          <w:rFonts w:hint="eastAsia" w:ascii="宋体" w:hAnsi="宋体" w:cs="宋体"/>
          <w:color w:val="auto"/>
          <w:sz w:val="24"/>
          <w:highlight w:val="none"/>
          <w:lang w:val="en-US" w:eastAsia="zh-CN"/>
        </w:rPr>
        <w:t>31</w:t>
      </w:r>
      <w:r>
        <w:rPr>
          <w:rFonts w:hint="eastAsia" w:ascii="宋体" w:hAnsi="宋体" w:cs="宋体"/>
          <w:color w:val="auto"/>
          <w:sz w:val="24"/>
          <w:highlight w:val="none"/>
        </w:rPr>
        <w:t>条规定外，对实质上响应</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的供应商按下列方法进行排序，确定成交</w:t>
      </w:r>
      <w:r>
        <w:rPr>
          <w:rFonts w:hint="eastAsia" w:ascii="宋体" w:hAnsi="宋体" w:cs="宋体"/>
          <w:color w:val="auto"/>
          <w:sz w:val="24"/>
          <w:highlight w:val="none"/>
          <w:lang w:eastAsia="zh-CN"/>
        </w:rPr>
        <w:t>候选人</w:t>
      </w:r>
      <w:r>
        <w:rPr>
          <w:rFonts w:hint="eastAsia" w:ascii="宋体" w:hAnsi="宋体" w:cs="宋体"/>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hint="eastAsia" w:eastAsiaTheme="minorEastAsia"/>
          <w:color w:val="auto"/>
          <w:highlight w:val="none"/>
          <w:lang w:eastAsia="zh-CN"/>
        </w:rPr>
      </w:pPr>
      <w:r>
        <w:rPr>
          <w:rFonts w:hint="eastAsia" w:ascii="宋体" w:hAnsi="宋体" w:cs="宋体"/>
          <w:color w:val="auto"/>
          <w:sz w:val="24"/>
          <w:highlight w:val="none"/>
          <w:lang w:val="en-US" w:eastAsia="zh-CN"/>
        </w:rPr>
        <w:t>详见采购文件第四章</w:t>
      </w:r>
      <w:r>
        <w:rPr>
          <w:rFonts w:hint="eastAsia" w:ascii="宋体" w:hAnsi="宋体" w:cs="宋体"/>
          <w:color w:val="auto"/>
          <w:sz w:val="24"/>
          <w:highlight w:val="none"/>
          <w:lang w:eastAsia="zh-CN"/>
        </w:rPr>
        <w:t>。</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81" w:name="_Toc62193421"/>
      <w:bookmarkStart w:id="82" w:name="_Toc515647789"/>
      <w:bookmarkStart w:id="83" w:name="_Toc9653"/>
      <w:bookmarkStart w:id="84" w:name="_Toc23951"/>
      <w:bookmarkStart w:id="85" w:name="_Toc20842"/>
      <w:r>
        <w:rPr>
          <w:rFonts w:hint="eastAsia" w:hAnsi="宋体" w:cs="宋体"/>
          <w:color w:val="auto"/>
          <w:highlight w:val="none"/>
          <w:u w:val="none"/>
          <w:lang w:val="en-US" w:eastAsia="zh-CN"/>
        </w:rPr>
        <w:t>30</w:t>
      </w:r>
      <w:r>
        <w:rPr>
          <w:rFonts w:hint="eastAsia" w:hAnsi="宋体" w:cs="宋体"/>
          <w:color w:val="auto"/>
          <w:highlight w:val="none"/>
          <w:u w:val="none"/>
        </w:rPr>
        <w:t>.确定成交</w:t>
      </w:r>
      <w:r>
        <w:rPr>
          <w:rFonts w:hint="eastAsia" w:hAnsi="宋体" w:cs="宋体"/>
          <w:color w:val="auto"/>
          <w:highlight w:val="none"/>
          <w:u w:val="none"/>
          <w:lang w:eastAsia="zh-CN"/>
        </w:rPr>
        <w:t>候选人</w:t>
      </w:r>
      <w:r>
        <w:rPr>
          <w:rFonts w:hint="eastAsia" w:hAnsi="宋体" w:cs="宋体"/>
          <w:color w:val="auto"/>
          <w:highlight w:val="none"/>
          <w:u w:val="none"/>
        </w:rPr>
        <w:t>和成交供应商</w:t>
      </w:r>
      <w:bookmarkEnd w:id="81"/>
      <w:bookmarkEnd w:id="82"/>
      <w:bookmarkEnd w:id="83"/>
      <w:bookmarkEnd w:id="84"/>
      <w:bookmarkEnd w:id="85"/>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磋商小组将根据评标标准，按</w:t>
      </w:r>
      <w:r>
        <w:rPr>
          <w:rFonts w:hint="eastAsia" w:ascii="宋体" w:hAnsi="宋体" w:cs="宋体"/>
          <w:color w:val="auto"/>
          <w:sz w:val="24"/>
          <w:highlight w:val="none"/>
          <w:u w:val="single"/>
        </w:rPr>
        <w:t>供应商须知资料表</w:t>
      </w:r>
      <w:r>
        <w:rPr>
          <w:rFonts w:hint="eastAsia" w:ascii="宋体" w:hAnsi="宋体" w:cs="宋体"/>
          <w:color w:val="auto"/>
          <w:sz w:val="24"/>
          <w:highlight w:val="none"/>
        </w:rPr>
        <w:t>中规定数量推荐成交</w:t>
      </w:r>
      <w:r>
        <w:rPr>
          <w:rFonts w:hint="eastAsia" w:ascii="宋体" w:hAnsi="宋体" w:cs="宋体"/>
          <w:color w:val="auto"/>
          <w:sz w:val="24"/>
          <w:highlight w:val="none"/>
          <w:lang w:eastAsia="zh-CN"/>
        </w:rPr>
        <w:t>候选人</w:t>
      </w:r>
      <w:r>
        <w:rPr>
          <w:rFonts w:hint="eastAsia" w:ascii="宋体" w:hAnsi="宋体" w:cs="宋体"/>
          <w:color w:val="auto"/>
          <w:sz w:val="24"/>
          <w:highlight w:val="none"/>
        </w:rPr>
        <w:t>或根据采购人的委托直接确定成交供应商。</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86" w:name="_Toc62193422"/>
      <w:bookmarkStart w:id="87" w:name="_Toc51176613"/>
      <w:bookmarkStart w:id="88" w:name="_Toc2569"/>
      <w:r>
        <w:rPr>
          <w:rFonts w:hint="eastAsia" w:hAnsi="宋体" w:cs="宋体"/>
          <w:color w:val="auto"/>
          <w:highlight w:val="none"/>
          <w:u w:val="none"/>
          <w:lang w:val="en-US" w:eastAsia="zh-CN"/>
        </w:rPr>
        <w:t>31</w:t>
      </w:r>
      <w:r>
        <w:rPr>
          <w:rFonts w:hint="eastAsia" w:hAnsi="宋体" w:cs="宋体"/>
          <w:color w:val="auto"/>
          <w:highlight w:val="none"/>
          <w:u w:val="none"/>
        </w:rPr>
        <w:t>.采购任务取消</w:t>
      </w:r>
      <w:bookmarkEnd w:id="86"/>
      <w:bookmarkEnd w:id="87"/>
      <w:bookmarkEnd w:id="88"/>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因重大变故采购任务取消时，采购人有权拒绝任何供应商成交，对受影响的供应商不承担任何责任。</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89" w:name="_Toc520356174"/>
      <w:bookmarkStart w:id="90" w:name="_Toc518923095"/>
      <w:bookmarkStart w:id="91" w:name="_Toc19087101"/>
      <w:bookmarkStart w:id="92" w:name="_Toc62193423"/>
      <w:bookmarkStart w:id="93" w:name="_Toc27673"/>
      <w:r>
        <w:rPr>
          <w:rFonts w:hint="eastAsia" w:hAnsi="宋体" w:cs="宋体"/>
          <w:color w:val="auto"/>
          <w:highlight w:val="none"/>
          <w:u w:val="none"/>
        </w:rPr>
        <w:t>3</w:t>
      </w:r>
      <w:r>
        <w:rPr>
          <w:rFonts w:hint="eastAsia" w:hAnsi="宋体" w:cs="宋体"/>
          <w:color w:val="auto"/>
          <w:highlight w:val="none"/>
          <w:u w:val="none"/>
          <w:lang w:val="en-US" w:eastAsia="zh-CN"/>
        </w:rPr>
        <w:t>2</w:t>
      </w:r>
      <w:r>
        <w:rPr>
          <w:rFonts w:hint="eastAsia" w:hAnsi="宋体" w:cs="宋体"/>
          <w:color w:val="auto"/>
          <w:highlight w:val="none"/>
          <w:u w:val="none"/>
        </w:rPr>
        <w:t>.发出成交</w:t>
      </w:r>
      <w:bookmarkEnd w:id="89"/>
      <w:r>
        <w:rPr>
          <w:rFonts w:hint="eastAsia" w:hAnsi="宋体" w:cs="宋体"/>
          <w:color w:val="auto"/>
          <w:highlight w:val="none"/>
          <w:u w:val="none"/>
        </w:rPr>
        <w:t>通知书</w:t>
      </w:r>
      <w:bookmarkEnd w:id="90"/>
      <w:bookmarkEnd w:id="91"/>
      <w:bookmarkEnd w:id="92"/>
      <w:bookmarkEnd w:id="93"/>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在响应有效期内，成交供应商确定后，采购人或者采购代理机构按照规定应同时公告供应商未中标的原因，发布成交公告，在公告成交结果的同时，向成交供应商发出成交通知书，成交通知书是合同的组成部分。</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94" w:name="_Ref467307062"/>
      <w:bookmarkStart w:id="95" w:name="_Ref467306978"/>
      <w:bookmarkStart w:id="96" w:name="_Ref467306377"/>
      <w:bookmarkStart w:id="97" w:name="_Toc520356175"/>
      <w:bookmarkStart w:id="98" w:name="_Toc19087104"/>
      <w:bookmarkStart w:id="99" w:name="_Toc518923096"/>
      <w:bookmarkStart w:id="100" w:name="_Toc62193424"/>
      <w:bookmarkStart w:id="101" w:name="_Ref467307204"/>
      <w:bookmarkStart w:id="102" w:name="_Toc29774"/>
      <w:r>
        <w:rPr>
          <w:rFonts w:hint="eastAsia" w:hAnsi="宋体" w:cs="宋体"/>
          <w:color w:val="auto"/>
          <w:highlight w:val="none"/>
          <w:u w:val="none"/>
        </w:rPr>
        <w:t>3</w:t>
      </w:r>
      <w:r>
        <w:rPr>
          <w:rFonts w:hint="eastAsia" w:hAnsi="宋体" w:cs="宋体"/>
          <w:color w:val="auto"/>
          <w:highlight w:val="none"/>
          <w:u w:val="none"/>
          <w:lang w:val="en-US" w:eastAsia="zh-CN"/>
        </w:rPr>
        <w:t>3</w:t>
      </w:r>
      <w:r>
        <w:rPr>
          <w:rFonts w:hint="eastAsia" w:hAnsi="宋体" w:cs="宋体"/>
          <w:color w:val="auto"/>
          <w:highlight w:val="none"/>
          <w:u w:val="none"/>
        </w:rPr>
        <w:t>.签订合同</w:t>
      </w:r>
      <w:bookmarkEnd w:id="94"/>
      <w:bookmarkEnd w:id="95"/>
      <w:bookmarkEnd w:id="96"/>
      <w:bookmarkEnd w:id="97"/>
      <w:bookmarkEnd w:id="98"/>
      <w:bookmarkEnd w:id="99"/>
      <w:bookmarkEnd w:id="100"/>
      <w:bookmarkEnd w:id="101"/>
      <w:bookmarkEnd w:id="102"/>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.1成交供应商应当自发出成交通知书之日起10个工作日内，与采购人签订合同。</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.2</w:t>
      </w:r>
      <w:bookmarkStart w:id="103" w:name="_Ref467306425"/>
      <w:bookmarkStart w:id="104" w:name="_Ref467307090"/>
      <w:bookmarkStart w:id="105" w:name="_Toc520356176"/>
      <w:r>
        <w:rPr>
          <w:rFonts w:hint="eastAsia" w:ascii="宋体" w:hAnsi="宋体" w:cs="宋体"/>
          <w:color w:val="auto"/>
          <w:sz w:val="24"/>
          <w:highlight w:val="none"/>
          <w:lang w:eastAsia="zh-CN"/>
        </w:rPr>
        <w:t>采购文件</w:t>
      </w:r>
      <w:r>
        <w:rPr>
          <w:rFonts w:hint="eastAsia" w:ascii="宋体" w:hAnsi="宋体" w:cs="宋体"/>
          <w:color w:val="auto"/>
          <w:sz w:val="24"/>
          <w:highlight w:val="none"/>
        </w:rPr>
        <w:t>、成交供应商的响应文件及其澄清文件等，均为签订合同的依据。</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.3如成交供应商拒绝与采购人签订合同的，采购人可以按照评审报告推荐的成交</w:t>
      </w:r>
      <w:r>
        <w:rPr>
          <w:rFonts w:hint="eastAsia" w:ascii="宋体" w:hAnsi="宋体" w:cs="宋体"/>
          <w:color w:val="auto"/>
          <w:sz w:val="24"/>
          <w:highlight w:val="none"/>
          <w:lang w:eastAsia="zh-CN"/>
        </w:rPr>
        <w:t>候选人</w:t>
      </w:r>
      <w:r>
        <w:rPr>
          <w:rFonts w:hint="eastAsia" w:ascii="宋体" w:hAnsi="宋体" w:cs="宋体"/>
          <w:color w:val="auto"/>
          <w:sz w:val="24"/>
          <w:highlight w:val="none"/>
        </w:rPr>
        <w:t>名单排序，确定下一成交</w:t>
      </w:r>
      <w:r>
        <w:rPr>
          <w:rFonts w:hint="eastAsia" w:ascii="宋体" w:hAnsi="宋体" w:cs="宋体"/>
          <w:color w:val="auto"/>
          <w:sz w:val="24"/>
          <w:highlight w:val="none"/>
          <w:lang w:eastAsia="zh-CN"/>
        </w:rPr>
        <w:t>候选人</w:t>
      </w:r>
      <w:r>
        <w:rPr>
          <w:rFonts w:hint="eastAsia" w:ascii="宋体" w:hAnsi="宋体" w:cs="宋体"/>
          <w:color w:val="auto"/>
          <w:sz w:val="24"/>
          <w:highlight w:val="none"/>
        </w:rPr>
        <w:t>为成交供应商，也可以重新开展政府采购活动。</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.4当出现法规规定的成交无效或成交结果无效情形时，采购人依规可与排名下一位的成交</w:t>
      </w:r>
      <w:r>
        <w:rPr>
          <w:rFonts w:hint="eastAsia" w:ascii="宋体" w:hAnsi="宋体" w:cs="宋体"/>
          <w:color w:val="auto"/>
          <w:sz w:val="24"/>
          <w:highlight w:val="none"/>
          <w:lang w:eastAsia="zh-CN"/>
        </w:rPr>
        <w:t>候选人</w:t>
      </w:r>
      <w:r>
        <w:rPr>
          <w:rFonts w:hint="eastAsia" w:ascii="宋体" w:hAnsi="宋体" w:cs="宋体"/>
          <w:color w:val="auto"/>
          <w:sz w:val="24"/>
          <w:highlight w:val="none"/>
        </w:rPr>
        <w:t>另行签订合同，或依法重新开展采购活动。</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106" w:name="_Toc518923097"/>
      <w:bookmarkStart w:id="107" w:name="_Toc62193425"/>
      <w:bookmarkStart w:id="108" w:name="_Toc19087105"/>
      <w:bookmarkStart w:id="109" w:name="_Toc6645"/>
      <w:r>
        <w:rPr>
          <w:rFonts w:hint="eastAsia" w:hAnsi="宋体" w:cs="宋体"/>
          <w:color w:val="auto"/>
          <w:highlight w:val="none"/>
          <w:u w:val="none"/>
        </w:rPr>
        <w:t>3</w:t>
      </w:r>
      <w:r>
        <w:rPr>
          <w:rFonts w:hint="eastAsia" w:hAnsi="宋体" w:cs="宋体"/>
          <w:color w:val="auto"/>
          <w:highlight w:val="none"/>
          <w:u w:val="none"/>
          <w:lang w:val="en-US" w:eastAsia="zh-CN"/>
        </w:rPr>
        <w:t>4</w:t>
      </w:r>
      <w:r>
        <w:rPr>
          <w:rFonts w:hint="eastAsia" w:hAnsi="宋体" w:cs="宋体"/>
          <w:color w:val="auto"/>
          <w:highlight w:val="none"/>
          <w:u w:val="none"/>
        </w:rPr>
        <w:t>.履约保证金</w:t>
      </w:r>
      <w:bookmarkEnd w:id="103"/>
      <w:bookmarkEnd w:id="104"/>
      <w:bookmarkEnd w:id="105"/>
      <w:bookmarkEnd w:id="106"/>
      <w:bookmarkEnd w:id="107"/>
      <w:bookmarkEnd w:id="108"/>
      <w:bookmarkEnd w:id="109"/>
    </w:p>
    <w:p>
      <w:pPr>
        <w:pageBreakBefore w:val="0"/>
        <w:widowControl w:val="0"/>
        <w:kinsoku/>
        <w:wordWrap/>
        <w:overflowPunct/>
        <w:topLinePunct w:val="0"/>
        <w:bidi w:val="0"/>
        <w:snapToGrid/>
        <w:spacing w:line="500" w:lineRule="exact"/>
        <w:ind w:firstLine="480" w:firstLineChars="200"/>
        <w:textAlignment w:val="auto"/>
        <w:rPr>
          <w:rFonts w:ascii="宋体" w:hAnsi="宋体" w:cs="宋体"/>
          <w:strike/>
          <w:dstrike w:val="0"/>
          <w:color w:val="auto"/>
          <w:sz w:val="24"/>
          <w:highlight w:val="none"/>
        </w:rPr>
      </w:pPr>
      <w:bookmarkStart w:id="110" w:name="_Toc46235107"/>
      <w:bookmarkStart w:id="111" w:name="_Toc518923098"/>
      <w:bookmarkStart w:id="112" w:name="_Toc19016170"/>
      <w:bookmarkStart w:id="113" w:name="_Toc19087106"/>
      <w:bookmarkStart w:id="114" w:name="_Toc62193427"/>
      <w:bookmarkStart w:id="115" w:name="_Toc518923100"/>
      <w:r>
        <w:rPr>
          <w:rFonts w:hint="eastAsia" w:ascii="宋体" w:hAnsi="宋体" w:cs="宋体"/>
          <w:color w:val="auto"/>
          <w:sz w:val="24"/>
          <w:highlight w:val="none"/>
        </w:rPr>
        <w:t>成交供应商应按照</w:t>
      </w:r>
      <w:r>
        <w:rPr>
          <w:rFonts w:hint="eastAsia" w:ascii="宋体" w:hAnsi="宋体" w:cs="宋体"/>
          <w:color w:val="auto"/>
          <w:sz w:val="24"/>
          <w:highlight w:val="none"/>
          <w:u w:val="single"/>
        </w:rPr>
        <w:t>供应商须知资料表</w:t>
      </w:r>
      <w:r>
        <w:rPr>
          <w:rFonts w:hint="eastAsia" w:ascii="宋体" w:hAnsi="宋体" w:cs="宋体"/>
          <w:color w:val="auto"/>
          <w:sz w:val="24"/>
          <w:highlight w:val="none"/>
        </w:rPr>
        <w:t>规定向采购人</w:t>
      </w:r>
      <w:r>
        <w:rPr>
          <w:rFonts w:hint="eastAsia" w:ascii="宋体" w:hAnsi="宋体" w:cs="宋体"/>
          <w:color w:val="auto"/>
          <w:sz w:val="24"/>
          <w:highlight w:val="none"/>
          <w:lang w:val="en-US" w:eastAsia="zh-CN"/>
        </w:rPr>
        <w:t>提交</w:t>
      </w:r>
      <w:r>
        <w:rPr>
          <w:rFonts w:hint="eastAsia" w:ascii="宋体" w:hAnsi="宋体" w:cs="宋体"/>
          <w:color w:val="auto"/>
          <w:sz w:val="24"/>
          <w:highlight w:val="none"/>
        </w:rPr>
        <w:t>履约保证</w:t>
      </w:r>
      <w:r>
        <w:rPr>
          <w:rFonts w:hint="eastAsia" w:ascii="宋体" w:hAnsi="宋体" w:cs="宋体"/>
          <w:color w:val="auto"/>
          <w:sz w:val="24"/>
          <w:highlight w:val="none"/>
          <w:lang w:eastAsia="zh-CN"/>
        </w:rPr>
        <w:t>。</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116" w:name="_Toc518923099"/>
      <w:bookmarkStart w:id="117" w:name="_Toc51176617"/>
      <w:bookmarkStart w:id="118" w:name="_Toc31411"/>
      <w:bookmarkStart w:id="119" w:name="_Toc62673002"/>
      <w:bookmarkStart w:id="120" w:name="_Toc7686"/>
      <w:bookmarkStart w:id="121" w:name="_Toc30365"/>
      <w:bookmarkStart w:id="122" w:name="_Toc20959"/>
      <w:r>
        <w:rPr>
          <w:rFonts w:hint="eastAsia" w:hAnsi="宋体" w:cs="宋体"/>
          <w:color w:val="auto"/>
          <w:highlight w:val="none"/>
          <w:u w:val="none"/>
          <w:lang w:val="en-US" w:eastAsia="zh-CN"/>
        </w:rPr>
        <w:t>35</w:t>
      </w:r>
      <w:r>
        <w:rPr>
          <w:rFonts w:hint="eastAsia" w:hAnsi="宋体" w:cs="宋体"/>
          <w:color w:val="auto"/>
          <w:highlight w:val="none"/>
          <w:u w:val="none"/>
        </w:rPr>
        <w:t>.</w:t>
      </w:r>
      <w:bookmarkEnd w:id="116"/>
      <w:bookmarkEnd w:id="117"/>
      <w:bookmarkEnd w:id="118"/>
      <w:r>
        <w:rPr>
          <w:rFonts w:hint="eastAsia" w:hAnsi="宋体" w:cs="宋体"/>
          <w:color w:val="auto"/>
          <w:highlight w:val="none"/>
          <w:u w:val="none"/>
        </w:rPr>
        <w:t xml:space="preserve"> 政府采购融资担保</w:t>
      </w:r>
      <w:bookmarkEnd w:id="119"/>
      <w:bookmarkEnd w:id="120"/>
      <w:bookmarkEnd w:id="121"/>
      <w:bookmarkEnd w:id="122"/>
    </w:p>
    <w:p>
      <w:pPr>
        <w:pageBreakBefore w:val="0"/>
        <w:widowControl w:val="0"/>
        <w:kinsoku/>
        <w:wordWrap/>
        <w:overflowPunct/>
        <w:topLinePunct w:val="0"/>
        <w:bidi w:val="0"/>
        <w:snapToGrid/>
        <w:spacing w:line="5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w:t>
      </w:r>
      <w:r>
        <w:rPr>
          <w:rFonts w:hint="eastAsia" w:ascii="宋体" w:hAnsi="宋体" w:cs="宋体"/>
          <w:color w:val="auto"/>
          <w:sz w:val="24"/>
          <w:highlight w:val="none"/>
          <w:lang w:eastAsia="zh-CN"/>
        </w:rPr>
        <w:t>，</w:t>
      </w:r>
      <w:r>
        <w:rPr>
          <w:rFonts w:hint="eastAsia" w:ascii="宋体" w:hAnsi="宋体" w:cs="宋体"/>
          <w:color w:val="auto"/>
          <w:sz w:val="24"/>
          <w:highlight w:val="none"/>
        </w:rPr>
        <w:t>也可通过淄博市公共资源交易中心金融服务平台进行融资贷款。</w:t>
      </w:r>
    </w:p>
    <w:bookmarkEnd w:id="110"/>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123" w:name="_Toc17519"/>
      <w:r>
        <w:rPr>
          <w:rFonts w:hint="eastAsia" w:hAnsi="宋体" w:cs="宋体"/>
          <w:color w:val="auto"/>
          <w:highlight w:val="none"/>
          <w:u w:val="none"/>
        </w:rPr>
        <w:t>3</w:t>
      </w:r>
      <w:r>
        <w:rPr>
          <w:rFonts w:hint="eastAsia" w:hAnsi="宋体" w:cs="宋体"/>
          <w:color w:val="auto"/>
          <w:highlight w:val="none"/>
          <w:u w:val="none"/>
          <w:lang w:val="en-US" w:eastAsia="zh-CN"/>
        </w:rPr>
        <w:t>6</w:t>
      </w:r>
      <w:r>
        <w:rPr>
          <w:rFonts w:hint="eastAsia" w:hAnsi="宋体" w:cs="宋体"/>
          <w:color w:val="auto"/>
          <w:highlight w:val="none"/>
          <w:u w:val="none"/>
        </w:rPr>
        <w:t>.</w:t>
      </w:r>
      <w:bookmarkEnd w:id="111"/>
      <w:r>
        <w:rPr>
          <w:rFonts w:hint="eastAsia" w:hAnsi="宋体" w:cs="宋体"/>
          <w:color w:val="auto"/>
          <w:highlight w:val="none"/>
          <w:u w:val="none"/>
        </w:rPr>
        <w:t>预付款</w:t>
      </w:r>
      <w:bookmarkEnd w:id="112"/>
      <w:bookmarkEnd w:id="113"/>
      <w:bookmarkEnd w:id="114"/>
      <w:bookmarkEnd w:id="123"/>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预付款是在指政府采购合同签订后、履行前，采购人向成交供应商预先支付部分合同款项，</w:t>
      </w:r>
      <w:r>
        <w:rPr>
          <w:rFonts w:hint="eastAsia" w:ascii="宋体" w:hAnsi="宋体"/>
          <w:color w:val="auto"/>
          <w:sz w:val="24"/>
          <w:highlight w:val="none"/>
          <w:lang w:val="en-US" w:eastAsia="zh-CN"/>
        </w:rPr>
        <w:t>具体执行见</w:t>
      </w:r>
      <w:r>
        <w:rPr>
          <w:rFonts w:hint="eastAsia" w:ascii="宋体" w:hAnsi="宋体"/>
          <w:color w:val="auto"/>
          <w:sz w:val="24"/>
          <w:highlight w:val="none"/>
          <w:u w:val="single"/>
        </w:rPr>
        <w:t>供应商须知资料表</w:t>
      </w:r>
      <w:r>
        <w:rPr>
          <w:rFonts w:hint="eastAsia" w:ascii="宋体" w:hAnsi="宋体" w:cs="宋体"/>
          <w:color w:val="auto"/>
          <w:sz w:val="24"/>
          <w:highlight w:val="none"/>
        </w:rPr>
        <w:t>。</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124" w:name="_Toc62193428"/>
      <w:bookmarkStart w:id="125" w:name="_Toc19087107"/>
      <w:bookmarkStart w:id="126" w:name="_Toc7940"/>
      <w:r>
        <w:rPr>
          <w:rFonts w:hint="eastAsia" w:hAnsi="宋体" w:cs="宋体"/>
          <w:color w:val="auto"/>
          <w:highlight w:val="none"/>
          <w:u w:val="none"/>
          <w:lang w:val="en-US" w:eastAsia="zh-CN"/>
        </w:rPr>
        <w:t>37</w:t>
      </w:r>
      <w:r>
        <w:rPr>
          <w:rFonts w:hint="eastAsia" w:hAnsi="宋体" w:cs="宋体"/>
          <w:color w:val="auto"/>
          <w:highlight w:val="none"/>
          <w:u w:val="none"/>
        </w:rPr>
        <w:t>.廉洁自律规定</w:t>
      </w:r>
      <w:bookmarkEnd w:id="115"/>
      <w:bookmarkEnd w:id="124"/>
      <w:bookmarkEnd w:id="125"/>
      <w:bookmarkEnd w:id="126"/>
    </w:p>
    <w:p>
      <w:pPr>
        <w:pageBreakBefore w:val="0"/>
        <w:widowControl w:val="0"/>
        <w:kinsoku/>
        <w:wordWrap/>
        <w:overflowPunct/>
        <w:topLinePunct w:val="0"/>
        <w:bidi w:val="0"/>
        <w:snapToGrid/>
        <w:spacing w:line="500" w:lineRule="exact"/>
        <w:ind w:left="19" w:leftChars="9" w:firstLine="458" w:firstLineChars="191"/>
        <w:textAlignment w:val="auto"/>
        <w:rPr>
          <w:rFonts w:ascii="宋体" w:hAnsi="宋体" w:cs="宋体"/>
          <w:color w:val="auto"/>
          <w:sz w:val="24"/>
          <w:highlight w:val="none"/>
        </w:rPr>
      </w:pPr>
      <w:bookmarkStart w:id="127" w:name="_Toc19087108"/>
      <w:bookmarkStart w:id="128" w:name="_Toc518923101"/>
      <w:bookmarkStart w:id="129" w:name="_Toc62193429"/>
      <w:r>
        <w:rPr>
          <w:rFonts w:hint="eastAsia" w:ascii="宋体" w:hAnsi="宋体" w:cs="宋体"/>
          <w:color w:val="auto"/>
          <w:sz w:val="24"/>
          <w:highlight w:val="none"/>
        </w:rPr>
        <w:t>3</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 xml:space="preserve">.1 </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采购代理机构不得</w:t>
      </w:r>
      <w:r>
        <w:rPr>
          <w:rFonts w:hint="eastAsia" w:ascii="宋体" w:hAnsi="宋体" w:cs="宋体"/>
          <w:color w:val="auto"/>
          <w:sz w:val="24"/>
          <w:highlight w:val="none"/>
          <w:lang w:val="en-US" w:eastAsia="zh-CN"/>
        </w:rPr>
        <w:t>与</w:t>
      </w:r>
      <w:r>
        <w:rPr>
          <w:rFonts w:hint="eastAsia" w:ascii="宋体" w:hAnsi="宋体" w:cs="宋体"/>
          <w:color w:val="auto"/>
          <w:sz w:val="24"/>
          <w:highlight w:val="none"/>
        </w:rPr>
        <w:t>供应商恶意串通操纵政府采购活动。</w:t>
      </w:r>
    </w:p>
    <w:p>
      <w:pPr>
        <w:pageBreakBefore w:val="0"/>
        <w:widowControl w:val="0"/>
        <w:kinsoku/>
        <w:wordWrap/>
        <w:overflowPunct/>
        <w:topLinePunct w:val="0"/>
        <w:bidi w:val="0"/>
        <w:snapToGrid/>
        <w:spacing w:line="500" w:lineRule="exact"/>
        <w:ind w:left="19" w:leftChars="9" w:firstLine="458" w:firstLineChars="191"/>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 xml:space="preserve">.2 </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采购代理机构不得接受供应商组织的宴请、旅游、娱乐，不得收受礼品、现金、有价证券等，不得向供应商报销应当由个人承担的费用。</w:t>
      </w:r>
    </w:p>
    <w:p>
      <w:pPr>
        <w:pageBreakBefore w:val="0"/>
        <w:widowControl w:val="0"/>
        <w:kinsoku/>
        <w:wordWrap/>
        <w:overflowPunct/>
        <w:topLinePunct w:val="0"/>
        <w:bidi w:val="0"/>
        <w:snapToGrid/>
        <w:spacing w:line="500" w:lineRule="exact"/>
        <w:ind w:left="19" w:leftChars="9" w:firstLine="458" w:firstLineChars="191"/>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.3 为强化</w:t>
      </w:r>
      <w:r>
        <w:rPr>
          <w:rFonts w:hint="eastAsia" w:ascii="宋体" w:hAnsi="宋体" w:cs="宋体"/>
          <w:color w:val="auto"/>
          <w:sz w:val="24"/>
          <w:highlight w:val="none"/>
          <w:lang w:val="en-US" w:eastAsia="zh-CN"/>
        </w:rPr>
        <w:t>政府采购活动的</w:t>
      </w:r>
      <w:r>
        <w:rPr>
          <w:rFonts w:hint="eastAsia" w:ascii="宋体" w:hAnsi="宋体" w:cs="宋体"/>
          <w:color w:val="auto"/>
          <w:sz w:val="24"/>
          <w:highlight w:val="none"/>
        </w:rPr>
        <w:t>监督，供应商可按</w:t>
      </w:r>
      <w:r>
        <w:rPr>
          <w:rFonts w:hint="eastAsia" w:ascii="宋体" w:hAnsi="宋体" w:cs="宋体"/>
          <w:color w:val="auto"/>
          <w:sz w:val="24"/>
          <w:highlight w:val="none"/>
          <w:u w:val="single"/>
        </w:rPr>
        <w:t>供应商须知资料表</w:t>
      </w:r>
      <w:r>
        <w:rPr>
          <w:rFonts w:hint="eastAsia" w:ascii="宋体" w:hAnsi="宋体" w:cs="宋体"/>
          <w:color w:val="auto"/>
          <w:sz w:val="24"/>
          <w:highlight w:val="none"/>
        </w:rPr>
        <w:t>中的监督电话和邮箱，反映</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采购代理机构的廉洁自律等问题。</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130" w:name="_Toc13543"/>
      <w:r>
        <w:rPr>
          <w:rFonts w:hint="eastAsia" w:hAnsi="宋体" w:cs="宋体"/>
          <w:color w:val="auto"/>
          <w:highlight w:val="none"/>
          <w:u w:val="none"/>
        </w:rPr>
        <w:t>3</w:t>
      </w:r>
      <w:r>
        <w:rPr>
          <w:rFonts w:hint="eastAsia" w:hAnsi="宋体" w:cs="宋体"/>
          <w:color w:val="auto"/>
          <w:highlight w:val="none"/>
          <w:u w:val="none"/>
          <w:lang w:val="en-US" w:eastAsia="zh-CN"/>
        </w:rPr>
        <w:t>8</w:t>
      </w:r>
      <w:r>
        <w:rPr>
          <w:rFonts w:hint="eastAsia" w:hAnsi="宋体" w:cs="宋体"/>
          <w:color w:val="auto"/>
          <w:highlight w:val="none"/>
          <w:u w:val="none"/>
        </w:rPr>
        <w:t>.人员回避</w:t>
      </w:r>
      <w:bookmarkEnd w:id="127"/>
      <w:bookmarkEnd w:id="128"/>
      <w:bookmarkEnd w:id="129"/>
      <w:bookmarkEnd w:id="130"/>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供应商认为采购人员、采购代理机构工作人员及其相关人员有法律法规所列与其他供应商有利害关系的，可以向采购人或采购代理机构书面提出回避申请，并说明理由。</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131" w:name="_Toc518923102"/>
      <w:bookmarkStart w:id="132" w:name="_Toc19087109"/>
      <w:bookmarkStart w:id="133" w:name="_Toc62193430"/>
      <w:bookmarkStart w:id="134" w:name="_Toc3334"/>
      <w:r>
        <w:rPr>
          <w:rFonts w:hint="eastAsia" w:hAnsi="宋体" w:cs="宋体"/>
          <w:color w:val="auto"/>
          <w:highlight w:val="none"/>
          <w:u w:val="none"/>
        </w:rPr>
        <w:t>3</w:t>
      </w:r>
      <w:r>
        <w:rPr>
          <w:rFonts w:hint="eastAsia" w:hAnsi="宋体" w:cs="宋体"/>
          <w:color w:val="auto"/>
          <w:highlight w:val="none"/>
          <w:u w:val="none"/>
          <w:lang w:val="en-US" w:eastAsia="zh-CN"/>
        </w:rPr>
        <w:t>9</w:t>
      </w:r>
      <w:r>
        <w:rPr>
          <w:rFonts w:hint="eastAsia" w:hAnsi="宋体" w:cs="宋体"/>
          <w:color w:val="auto"/>
          <w:highlight w:val="none"/>
          <w:u w:val="none"/>
        </w:rPr>
        <w:t>.质疑与接收</w:t>
      </w:r>
      <w:bookmarkEnd w:id="131"/>
      <w:bookmarkEnd w:id="132"/>
      <w:bookmarkEnd w:id="133"/>
      <w:bookmarkEnd w:id="134"/>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.1 供应商认为</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磋商过程和成交结果使自己的权益受到损害的，可以根据《中华人民共和国政府采购法》、《中华人民共和国政府采购法实施条例》和《政府采购质疑和投诉办法》的有关规定，依法向采购人或其委托的采购代理机构提出质疑。</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.2 质疑供应商应按照财政部制定的《政府采购质疑函范本》格式（可从财政部官方网站下载）和《政府采购质疑和投诉办法》的要求，在法定质疑期内以书面形式提出质疑，针对同一采购程序环节的质疑应一次性提出。</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超出法定质疑期的、重复提出的、分次提出的或内容、形式不符合《政府采购质疑和投诉办法》的，质疑供应商将依法承担不利后果。</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.3 采购人或采购代理机构质疑函接收部门、联系电话和通讯地址, 见</w:t>
      </w:r>
      <w:r>
        <w:rPr>
          <w:rFonts w:hint="eastAsia" w:ascii="宋体" w:hAnsi="宋体" w:cs="宋体"/>
          <w:color w:val="auto"/>
          <w:sz w:val="24"/>
          <w:highlight w:val="none"/>
          <w:u w:val="single"/>
        </w:rPr>
        <w:t>供应商须知资料表</w:t>
      </w:r>
      <w:r>
        <w:rPr>
          <w:rFonts w:hint="eastAsia" w:ascii="宋体" w:hAnsi="宋体" w:cs="宋体"/>
          <w:color w:val="auto"/>
          <w:sz w:val="24"/>
          <w:highlight w:val="none"/>
        </w:rPr>
        <w:t>。</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 xml:space="preserve">.4 质疑应当按照法律、法规规定，以书面形式向采购代理机构或采购人提出，并办理签收手续，未以书面形式向提交的视为无效质疑。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.5 质疑函应当包括以下主要内容：</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（1）质疑人和被质疑人的名称、法定代表人、住所、电话、邮编、联系人及联系电话等；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（2）采购项目名称、项目编号及包号；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（3）具体、明确的质疑事项以及与质疑事项相关的诉求；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（4）法律依据、事实与理由。按照“谁主张、谁举证”的原则，质疑书应当提供事实依据及相关证明材料，否则质疑将视为无有效证据支持，将被予以驳回。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（5）提出质疑的日期。</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质疑函应当据实署名。质疑人为自然人的，应当由本人签字并附有效身份证明；质疑人为法人或者其他组织的，应当由法定代表人（非法人组织的负责人）签字并加盖公章，同时一并提交营业执照和法定代表人（非法人组织的负责人）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 xml:space="preserve">.6 质疑有以下情形之一的，采购代理机构应当予以书面回复并说明原因：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（1）质疑人不是参与该本项目政府采购活动供应商的（潜在供应商对其已依法获取的可质疑的</w:t>
      </w:r>
      <w:r>
        <w:rPr>
          <w:rFonts w:hint="eastAsia" w:ascii="宋体" w:hAnsi="宋体" w:cs="宋体"/>
          <w:color w:val="auto"/>
          <w:sz w:val="24"/>
          <w:highlight w:val="none"/>
          <w:lang w:eastAsia="zh-CN"/>
        </w:rPr>
        <w:t>采购文件</w:t>
      </w:r>
      <w:r>
        <w:rPr>
          <w:rFonts w:hint="eastAsia" w:ascii="宋体" w:hAnsi="宋体" w:cs="宋体"/>
          <w:color w:val="auto"/>
          <w:sz w:val="24"/>
          <w:highlight w:val="none"/>
        </w:rPr>
        <w:t xml:space="preserve">的质疑除外）；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（2）质疑人与质疑事项不存在利害关系的；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（3）所有质疑事项均不符合相关法律、法规的；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（4）提起质疑的时间超过规定规定期限的；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（5）质疑答复后，同一质疑人就同一事项再次提出质疑的；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（6）其他不符合受理条件的情形。 </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.7 采购代理机构将在受理质疑后七个工作日内作出答复，并以书面形式通知质疑人和其他有关供应商。</w:t>
      </w:r>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.8 质疑人对答复不满意以及采购代理机构未在规定的时间内作出答复的，可以在答复期满后15个工作日内向监督管理部门投诉。</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135" w:name="_Toc51176622"/>
      <w:bookmarkStart w:id="136" w:name="_Toc62193431"/>
      <w:bookmarkStart w:id="137" w:name="_Toc22341"/>
      <w:r>
        <w:rPr>
          <w:rFonts w:hint="eastAsia" w:hAnsi="宋体" w:cs="宋体"/>
          <w:color w:val="auto"/>
          <w:highlight w:val="none"/>
          <w:u w:val="none"/>
          <w:lang w:val="en-US" w:eastAsia="zh-CN"/>
        </w:rPr>
        <w:t>40</w:t>
      </w:r>
      <w:r>
        <w:rPr>
          <w:rFonts w:hint="eastAsia" w:hAnsi="宋体" w:cs="宋体"/>
          <w:color w:val="auto"/>
          <w:highlight w:val="none"/>
          <w:u w:val="none"/>
        </w:rPr>
        <w:t>.项目其他相关费用</w:t>
      </w:r>
      <w:bookmarkEnd w:id="135"/>
      <w:bookmarkEnd w:id="136"/>
      <w:bookmarkEnd w:id="137"/>
    </w:p>
    <w:p>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宋体" w:hAnsi="宋体" w:cs="宋体"/>
          <w:color w:val="auto"/>
          <w:sz w:val="24"/>
          <w:highlight w:val="none"/>
        </w:rPr>
      </w:pPr>
      <w:bookmarkStart w:id="138" w:name="_Toc411637995"/>
      <w:r>
        <w:rPr>
          <w:rFonts w:hint="eastAsia" w:ascii="宋体" w:hAnsi="宋体" w:cs="宋体"/>
          <w:color w:val="auto"/>
          <w:sz w:val="24"/>
          <w:highlight w:val="none"/>
          <w:lang w:val="en-US" w:eastAsia="zh-CN"/>
        </w:rPr>
        <w:t>40</w:t>
      </w:r>
      <w:r>
        <w:rPr>
          <w:rFonts w:hint="eastAsia" w:ascii="宋体" w:hAnsi="宋体" w:cs="宋体"/>
          <w:color w:val="auto"/>
          <w:sz w:val="24"/>
          <w:highlight w:val="none"/>
        </w:rPr>
        <w:t>.1 成交服务费</w:t>
      </w:r>
      <w:bookmarkEnd w:id="138"/>
    </w:p>
    <w:p>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成交服务费收取标准</w:t>
      </w:r>
      <w:r>
        <w:rPr>
          <w:rFonts w:hint="eastAsia" w:ascii="宋体" w:hAnsi="宋体" w:cs="宋体"/>
          <w:color w:val="auto"/>
          <w:sz w:val="24"/>
          <w:highlight w:val="none"/>
          <w:lang w:val="en-US" w:eastAsia="zh-CN"/>
        </w:rPr>
        <w:t>详</w:t>
      </w:r>
      <w:r>
        <w:rPr>
          <w:rFonts w:hint="eastAsia" w:ascii="宋体" w:hAnsi="宋体" w:cs="宋体"/>
          <w:color w:val="auto"/>
          <w:sz w:val="24"/>
          <w:highlight w:val="none"/>
          <w:u w:val="none"/>
        </w:rPr>
        <w:t>见</w:t>
      </w:r>
      <w:r>
        <w:rPr>
          <w:rFonts w:hint="eastAsia" w:ascii="宋体" w:hAnsi="宋体" w:cs="宋体"/>
          <w:color w:val="auto"/>
          <w:sz w:val="24"/>
          <w:highlight w:val="none"/>
          <w:u w:val="single"/>
        </w:rPr>
        <w:t>供应商须知资料表。</w:t>
      </w:r>
    </w:p>
    <w:p>
      <w:pPr>
        <w:keepNext w:val="0"/>
        <w:keepLines w:val="0"/>
        <w:pageBreakBefore w:val="0"/>
        <w:widowControl w:val="0"/>
        <w:tabs>
          <w:tab w:val="left" w:pos="0"/>
        </w:tabs>
        <w:kinsoku/>
        <w:wordWrap/>
        <w:overflowPunct/>
        <w:topLinePunct w:val="0"/>
        <w:autoSpaceDE/>
        <w:autoSpaceDN/>
        <w:bidi w:val="0"/>
        <w:adjustRightInd/>
        <w:snapToGrid/>
        <w:spacing w:line="500" w:lineRule="exact"/>
        <w:ind w:left="0" w:firstLine="480" w:firstLineChars="200"/>
        <w:textAlignment w:val="auto"/>
        <w:rPr>
          <w:color w:val="auto"/>
          <w:highlight w:val="none"/>
        </w:rPr>
      </w:pPr>
      <w:r>
        <w:rPr>
          <w:rFonts w:hint="eastAsia" w:ascii="宋体" w:hAnsi="宋体" w:eastAsia="宋体" w:cs="宋体"/>
          <w:b w:val="0"/>
          <w:color w:val="auto"/>
          <w:kern w:val="2"/>
          <w:sz w:val="24"/>
          <w:szCs w:val="24"/>
          <w:highlight w:val="none"/>
          <w:u w:val="none"/>
          <w:lang w:val="en-US" w:eastAsia="zh-CN" w:bidi="ar-SA"/>
        </w:rPr>
        <w:t>成交供应商</w:t>
      </w:r>
      <w:r>
        <w:rPr>
          <w:rFonts w:hint="eastAsia" w:ascii="宋体" w:hAnsi="宋体" w:cs="宋体"/>
          <w:b w:val="0"/>
          <w:color w:val="auto"/>
          <w:kern w:val="2"/>
          <w:sz w:val="24"/>
          <w:szCs w:val="24"/>
          <w:highlight w:val="none"/>
          <w:u w:val="none"/>
          <w:lang w:val="en-US" w:eastAsia="zh-CN" w:bidi="ar-SA"/>
        </w:rPr>
        <w:t>应按照</w:t>
      </w:r>
      <w:r>
        <w:rPr>
          <w:rFonts w:hint="eastAsia" w:ascii="宋体" w:hAnsi="宋体" w:cs="宋体"/>
          <w:color w:val="auto"/>
          <w:sz w:val="24"/>
          <w:highlight w:val="none"/>
          <w:u w:val="single"/>
        </w:rPr>
        <w:t>供应商须知资料表</w:t>
      </w:r>
      <w:r>
        <w:rPr>
          <w:rFonts w:hint="eastAsia" w:ascii="宋体" w:hAnsi="宋体" w:cs="宋体"/>
          <w:color w:val="auto"/>
          <w:sz w:val="24"/>
          <w:highlight w:val="none"/>
          <w:u w:val="none"/>
          <w:lang w:val="en-US" w:eastAsia="zh-CN"/>
        </w:rPr>
        <w:t>规定的时间和方式缴纳</w:t>
      </w:r>
      <w:r>
        <w:rPr>
          <w:rFonts w:hint="eastAsia" w:ascii="宋体" w:hAnsi="宋体" w:cs="宋体"/>
          <w:b w:val="0"/>
          <w:color w:val="auto"/>
          <w:kern w:val="2"/>
          <w:sz w:val="24"/>
          <w:szCs w:val="24"/>
          <w:highlight w:val="none"/>
          <w:u w:val="none"/>
          <w:lang w:val="en-US" w:eastAsia="zh-CN" w:bidi="ar-SA"/>
        </w:rPr>
        <w:t>成交服务费</w:t>
      </w:r>
      <w:r>
        <w:rPr>
          <w:rFonts w:hint="eastAsia" w:ascii="宋体" w:hAnsi="宋体" w:eastAsia="宋体" w:cs="宋体"/>
          <w:b w:val="0"/>
          <w:color w:val="auto"/>
          <w:kern w:val="2"/>
          <w:sz w:val="24"/>
          <w:szCs w:val="24"/>
          <w:highlight w:val="none"/>
          <w:u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40</w:t>
      </w:r>
      <w:r>
        <w:rPr>
          <w:rFonts w:hint="eastAsia" w:ascii="宋体" w:hAnsi="宋体" w:cs="宋体"/>
          <w:color w:val="auto"/>
          <w:sz w:val="24"/>
          <w:highlight w:val="none"/>
        </w:rPr>
        <w:t>.2政府采购专家评审费</w:t>
      </w:r>
    </w:p>
    <w:p>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采购人承担，按照山东省有关规定的标准执行。</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139" w:name="_Toc62193432"/>
      <w:bookmarkStart w:id="140" w:name="_Toc24809"/>
      <w:bookmarkStart w:id="141" w:name="_Toc51257724"/>
      <w:r>
        <w:rPr>
          <w:rFonts w:hint="eastAsia" w:hAnsi="宋体" w:cs="宋体"/>
          <w:color w:val="auto"/>
          <w:highlight w:val="none"/>
          <w:u w:val="none"/>
          <w:lang w:val="en-US" w:eastAsia="zh-CN"/>
        </w:rPr>
        <w:t>41</w:t>
      </w:r>
      <w:r>
        <w:rPr>
          <w:rFonts w:hint="eastAsia" w:hAnsi="宋体" w:cs="宋体"/>
          <w:color w:val="auto"/>
          <w:highlight w:val="none"/>
          <w:u w:val="none"/>
        </w:rPr>
        <w:t>.合同公示</w:t>
      </w:r>
      <w:bookmarkEnd w:id="139"/>
      <w:bookmarkEnd w:id="140"/>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采购人应当自政府采购合同签订之日起2个工作日内，在省级以上人民政府财政部门指定的媒体上公告，但政府采购合同中涉及国家秘密、商业秘密的内容除外。</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142" w:name="_Toc62193433"/>
      <w:bookmarkStart w:id="143" w:name="_Toc10825"/>
      <w:r>
        <w:rPr>
          <w:rFonts w:hint="eastAsia" w:hAnsi="宋体" w:cs="宋体"/>
          <w:color w:val="auto"/>
          <w:highlight w:val="none"/>
          <w:u w:val="none"/>
        </w:rPr>
        <w:t>4</w:t>
      </w:r>
      <w:r>
        <w:rPr>
          <w:rFonts w:hint="eastAsia" w:hAnsi="宋体" w:cs="宋体"/>
          <w:color w:val="auto"/>
          <w:highlight w:val="none"/>
          <w:u w:val="none"/>
          <w:lang w:val="en-US" w:eastAsia="zh-CN"/>
        </w:rPr>
        <w:t>2</w:t>
      </w:r>
      <w:r>
        <w:rPr>
          <w:rFonts w:hint="eastAsia" w:hAnsi="宋体" w:cs="宋体"/>
          <w:color w:val="auto"/>
          <w:highlight w:val="none"/>
          <w:u w:val="none"/>
        </w:rPr>
        <w:t>.验收</w:t>
      </w:r>
      <w:bookmarkEnd w:id="142"/>
      <w:bookmarkEnd w:id="143"/>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采购人或者采购代理机构应当按照政府采购合同规定的技术、服务及安全标准组织对供应商履约情况进行验收，并出具验收书。验收书应当包括每一项技术、安全标准的履约情况。</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144" w:name="_Toc62193434"/>
      <w:bookmarkStart w:id="145" w:name="_Toc31985"/>
      <w:r>
        <w:rPr>
          <w:rFonts w:hint="eastAsia" w:hAnsi="宋体" w:cs="宋体"/>
          <w:color w:val="auto"/>
          <w:highlight w:val="none"/>
          <w:u w:val="none"/>
        </w:rPr>
        <w:t>4</w:t>
      </w:r>
      <w:r>
        <w:rPr>
          <w:rFonts w:hint="eastAsia" w:hAnsi="宋体" w:cs="宋体"/>
          <w:color w:val="auto"/>
          <w:highlight w:val="none"/>
          <w:u w:val="none"/>
          <w:lang w:val="en-US" w:eastAsia="zh-CN"/>
        </w:rPr>
        <w:t>3</w:t>
      </w:r>
      <w:r>
        <w:rPr>
          <w:rFonts w:hint="eastAsia" w:hAnsi="宋体" w:cs="宋体"/>
          <w:color w:val="auto"/>
          <w:highlight w:val="none"/>
          <w:u w:val="none"/>
        </w:rPr>
        <w:t>.履约验收公示</w:t>
      </w:r>
      <w:bookmarkEnd w:id="144"/>
      <w:bookmarkEnd w:id="145"/>
    </w:p>
    <w:p>
      <w:pPr>
        <w:pageBreakBefore w:val="0"/>
        <w:widowControl w:val="0"/>
        <w:kinsoku/>
        <w:wordWrap/>
        <w:overflowPunct/>
        <w:topLinePunct w:val="0"/>
        <w:bidi w:val="0"/>
        <w:snapToGrid/>
        <w:spacing w:line="50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采购人、采购代理机构应当在采购合同履约验收结束后3个工作日内，将验收报告予以公开发布。</w:t>
      </w:r>
    </w:p>
    <w:p>
      <w:pPr>
        <w:pStyle w:val="6"/>
        <w:pageBreakBefore w:val="0"/>
        <w:widowControl w:val="0"/>
        <w:kinsoku/>
        <w:wordWrap/>
        <w:overflowPunct/>
        <w:topLinePunct w:val="0"/>
        <w:bidi w:val="0"/>
        <w:snapToGrid/>
        <w:spacing w:before="0" w:after="0" w:line="500" w:lineRule="exact"/>
        <w:textAlignment w:val="auto"/>
        <w:outlineLvl w:val="2"/>
        <w:rPr>
          <w:rFonts w:hAnsi="宋体" w:cs="宋体"/>
          <w:color w:val="auto"/>
          <w:highlight w:val="none"/>
          <w:u w:val="none"/>
        </w:rPr>
      </w:pPr>
      <w:bookmarkStart w:id="146" w:name="_Toc62193435"/>
      <w:bookmarkStart w:id="147" w:name="_Toc5004"/>
      <w:r>
        <w:rPr>
          <w:rFonts w:hint="eastAsia" w:hAnsi="宋体" w:cs="宋体"/>
          <w:color w:val="auto"/>
          <w:highlight w:val="none"/>
          <w:u w:val="none"/>
        </w:rPr>
        <w:t>4</w:t>
      </w:r>
      <w:r>
        <w:rPr>
          <w:rFonts w:hint="eastAsia" w:hAnsi="宋体" w:cs="宋体"/>
          <w:color w:val="auto"/>
          <w:highlight w:val="none"/>
          <w:u w:val="none"/>
          <w:lang w:val="en-US" w:eastAsia="zh-CN"/>
        </w:rPr>
        <w:t>4</w:t>
      </w:r>
      <w:r>
        <w:rPr>
          <w:rFonts w:hint="eastAsia" w:hAnsi="宋体" w:cs="宋体"/>
          <w:color w:val="auto"/>
          <w:highlight w:val="none"/>
          <w:u w:val="none"/>
        </w:rPr>
        <w:t>.</w:t>
      </w:r>
      <w:r>
        <w:rPr>
          <w:rFonts w:hint="eastAsia" w:hAnsi="宋体" w:cs="宋体"/>
          <w:color w:val="auto"/>
          <w:highlight w:val="none"/>
          <w:u w:val="none"/>
          <w:lang w:eastAsia="zh-CN"/>
        </w:rPr>
        <w:t>采购文件</w:t>
      </w:r>
      <w:r>
        <w:rPr>
          <w:rFonts w:hint="eastAsia" w:hAnsi="宋体" w:cs="宋体"/>
          <w:color w:val="auto"/>
          <w:highlight w:val="none"/>
          <w:u w:val="none"/>
        </w:rPr>
        <w:t>解释权</w:t>
      </w:r>
      <w:bookmarkEnd w:id="141"/>
      <w:bookmarkEnd w:id="146"/>
      <w:bookmarkEnd w:id="147"/>
    </w:p>
    <w:p>
      <w:pPr>
        <w:pageBreakBefore w:val="0"/>
        <w:widowControl w:val="0"/>
        <w:kinsoku/>
        <w:wordWrap/>
        <w:overflowPunct/>
        <w:topLinePunct w:val="0"/>
        <w:bidi w:val="0"/>
        <w:snapToGrid/>
        <w:spacing w:line="500" w:lineRule="exact"/>
        <w:ind w:firstLine="480" w:firstLineChars="200"/>
        <w:textAlignment w:val="auto"/>
        <w:rPr>
          <w:rFonts w:ascii="宋体" w:hAnsi="宋体" w:eastAsia="宋体" w:cs="宋体"/>
          <w:color w:val="auto"/>
          <w:sz w:val="24"/>
          <w:highlight w:val="none"/>
        </w:rPr>
      </w:pPr>
      <w:r>
        <w:rPr>
          <w:rFonts w:hint="eastAsia" w:ascii="宋体" w:hAnsi="宋体" w:cs="宋体"/>
          <w:color w:val="auto"/>
          <w:sz w:val="24"/>
          <w:highlight w:val="none"/>
          <w:u w:val="single"/>
        </w:rPr>
        <w:t>见供应商须知资料表</w:t>
      </w:r>
      <w:r>
        <w:rPr>
          <w:rFonts w:hint="eastAsia" w:ascii="宋体" w:hAnsi="宋体" w:cs="宋体"/>
          <w:color w:val="auto"/>
          <w:sz w:val="24"/>
          <w:highlight w:val="none"/>
          <w:u w:val="none"/>
        </w:rPr>
        <w:t>。</w:t>
      </w:r>
    </w:p>
    <w:p>
      <w:pPr>
        <w:pageBreakBefore w:val="0"/>
        <w:kinsoku/>
        <w:wordWrap/>
        <w:overflowPunct/>
        <w:topLinePunct w:val="0"/>
        <w:bidi w:val="0"/>
        <w:spacing w:line="560" w:lineRule="exact"/>
        <w:textAlignment w:val="auto"/>
        <w:rPr>
          <w:rFonts w:ascii="宋体" w:hAnsi="宋体" w:eastAsia="宋体" w:cs="宋体"/>
          <w:color w:val="auto"/>
          <w:sz w:val="24"/>
          <w:highlight w:val="none"/>
        </w:rPr>
      </w:pPr>
    </w:p>
    <w:p>
      <w:pPr>
        <w:pageBreakBefore w:val="0"/>
        <w:widowControl/>
        <w:numPr>
          <w:ilvl w:val="0"/>
          <w:numId w:val="4"/>
        </w:numPr>
        <w:kinsoku/>
        <w:wordWrap/>
        <w:overflowPunct/>
        <w:topLinePunct w:val="0"/>
        <w:bidi w:val="0"/>
        <w:spacing w:line="560" w:lineRule="exact"/>
        <w:ind w:left="3463" w:leftChars="0" w:firstLine="0" w:firstLineChars="0"/>
        <w:jc w:val="both"/>
        <w:textAlignment w:val="auto"/>
        <w:outlineLvl w:val="0"/>
        <w:rPr>
          <w:rFonts w:hint="eastAsia" w:ascii="宋体" w:hAnsi="宋体" w:eastAsia="宋体" w:cs="宋体"/>
          <w:b/>
          <w:color w:val="auto"/>
          <w:sz w:val="32"/>
          <w:szCs w:val="32"/>
          <w:highlight w:val="none"/>
        </w:rPr>
      </w:pPr>
      <w:r>
        <w:rPr>
          <w:rFonts w:ascii="宋体" w:hAnsi="宋体" w:eastAsia="宋体" w:cs="宋体"/>
          <w:color w:val="auto"/>
          <w:sz w:val="24"/>
          <w:highlight w:val="none"/>
        </w:rPr>
        <w:br w:type="page"/>
      </w:r>
      <w:bookmarkStart w:id="148" w:name="_Toc27469"/>
      <w:r>
        <w:rPr>
          <w:rFonts w:hint="eastAsia" w:ascii="宋体" w:hAnsi="宋体" w:eastAsia="宋体" w:cs="宋体"/>
          <w:b/>
          <w:color w:val="auto"/>
          <w:sz w:val="32"/>
          <w:szCs w:val="32"/>
          <w:highlight w:val="none"/>
        </w:rPr>
        <w:t xml:space="preserve"> </w:t>
      </w:r>
      <w:bookmarkStart w:id="149" w:name="_Toc4916"/>
      <w:r>
        <w:rPr>
          <w:rFonts w:hint="eastAsia" w:ascii="宋体" w:hAnsi="宋体" w:eastAsia="宋体" w:cs="宋体"/>
          <w:b/>
          <w:color w:val="auto"/>
          <w:sz w:val="32"/>
          <w:szCs w:val="32"/>
          <w:highlight w:val="none"/>
        </w:rPr>
        <w:t>服务需求</w:t>
      </w:r>
      <w:bookmarkEnd w:id="148"/>
      <w:bookmarkEnd w:id="149"/>
    </w:p>
    <w:p>
      <w:pPr>
        <w:keepNext w:val="0"/>
        <w:keepLines w:val="0"/>
        <w:pageBreakBefore w:val="0"/>
        <w:kinsoku/>
        <w:wordWrap/>
        <w:overflowPunct/>
        <w:topLinePunct w:val="0"/>
        <w:autoSpaceDE/>
        <w:autoSpaceDN/>
        <w:bidi w:val="0"/>
        <w:adjustRightInd/>
        <w:snapToGrid/>
        <w:spacing w:line="600" w:lineRule="exact"/>
        <w:ind w:firstLine="482" w:firstLineChars="200"/>
        <w:textAlignment w:val="auto"/>
      </w:pPr>
      <w:r>
        <w:rPr>
          <w:rFonts w:hint="eastAsia" w:ascii="宋体" w:hAnsi="宋体"/>
          <w:b/>
          <w:sz w:val="24"/>
          <w:szCs w:val="24"/>
          <w:lang w:val="zh-CN"/>
        </w:rPr>
        <w:t>本次采购分为</w:t>
      </w:r>
      <w:r>
        <w:rPr>
          <w:rFonts w:hint="eastAsia" w:ascii="宋体" w:hAnsi="宋体"/>
          <w:b/>
          <w:sz w:val="24"/>
          <w:szCs w:val="24"/>
        </w:rPr>
        <w:t>1个标包，</w:t>
      </w:r>
      <w:bookmarkStart w:id="150" w:name="_Toc382899732"/>
      <w:r>
        <w:rPr>
          <w:rFonts w:hint="eastAsia" w:ascii="宋体" w:hAnsi="宋体"/>
          <w:b/>
          <w:bCs/>
          <w:sz w:val="24"/>
          <w:szCs w:val="24"/>
        </w:rPr>
        <w:t>供应商必须按采购文件要求对所投标包的全部内容做出报价响应，</w:t>
      </w:r>
      <w:bookmarkStart w:id="151" w:name="_Hlk67994316"/>
      <w:r>
        <w:rPr>
          <w:rFonts w:hint="eastAsia" w:ascii="宋体" w:hAnsi="宋体"/>
          <w:b/>
          <w:bCs/>
          <w:sz w:val="24"/>
          <w:szCs w:val="24"/>
        </w:rPr>
        <w:t>供应商的投标报价均不得超出预算价，如超过预算价，</w:t>
      </w:r>
      <w:bookmarkEnd w:id="151"/>
      <w:bookmarkStart w:id="152" w:name="_Hlk67994323"/>
      <w:r>
        <w:rPr>
          <w:rFonts w:hint="eastAsia" w:ascii="宋体" w:hAnsi="宋体"/>
          <w:b/>
          <w:bCs/>
          <w:sz w:val="24"/>
          <w:szCs w:val="24"/>
        </w:rPr>
        <w:t>其投标将被拒绝。</w:t>
      </w:r>
      <w:bookmarkEnd w:id="150"/>
      <w:bookmarkEnd w:id="152"/>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textAlignment w:val="auto"/>
        <w:outlineLvl w:val="2"/>
        <w:rPr>
          <w:rFonts w:hint="eastAsia" w:ascii="宋体" w:hAnsi="宋体" w:eastAsia="宋体" w:cs="宋体"/>
          <w:b/>
          <w:bCs/>
          <w:sz w:val="24"/>
          <w:szCs w:val="24"/>
          <w:highlight w:val="none"/>
          <w:lang w:val="en-GB"/>
        </w:rPr>
      </w:pPr>
      <w:bookmarkStart w:id="153" w:name="_Toc15424"/>
      <w:r>
        <w:rPr>
          <w:rFonts w:hint="eastAsia" w:ascii="宋体" w:hAnsi="宋体" w:eastAsia="宋体" w:cs="宋体"/>
          <w:b/>
          <w:bCs/>
          <w:sz w:val="24"/>
          <w:szCs w:val="24"/>
          <w:highlight w:val="none"/>
          <w:lang w:val="en-GB"/>
        </w:rPr>
        <w:t>一、项目说明</w:t>
      </w:r>
      <w:bookmarkEnd w:id="153"/>
      <w:r>
        <w:rPr>
          <w:rFonts w:hint="eastAsia" w:ascii="宋体" w:hAnsi="宋体" w:eastAsia="宋体" w:cs="宋体"/>
          <w:b/>
          <w:bCs/>
          <w:sz w:val="24"/>
          <w:szCs w:val="24"/>
          <w:highlight w:val="none"/>
          <w:lang w:val="en-GB"/>
        </w:rPr>
        <w:t xml:space="preserve"> </w:t>
      </w: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highlight w:val="none"/>
          <w:lang w:val="en-GB"/>
        </w:rPr>
      </w:pPr>
      <w:r>
        <w:rPr>
          <w:rFonts w:hint="eastAsia" w:ascii="宋体" w:hAnsi="宋体" w:eastAsia="宋体" w:cs="宋体"/>
          <w:sz w:val="24"/>
          <w:szCs w:val="24"/>
          <w:highlight w:val="none"/>
          <w:lang w:val="en-GB"/>
        </w:rPr>
        <w:t>因医院规模的扩大和实际工作需要，现有后勤工作人员已无法满足和保障医院当前多个院区发展和运行</w:t>
      </w:r>
      <w:r>
        <w:rPr>
          <w:rFonts w:hint="eastAsia" w:ascii="宋体" w:hAnsi="宋体" w:eastAsia="宋体" w:cs="宋体"/>
          <w:sz w:val="24"/>
          <w:szCs w:val="24"/>
          <w:highlight w:val="none"/>
          <w:lang w:val="en-GB" w:eastAsia="zh-CN"/>
        </w:rPr>
        <w:t>。</w:t>
      </w:r>
      <w:r>
        <w:rPr>
          <w:rFonts w:hint="eastAsia" w:ascii="宋体" w:hAnsi="宋体" w:eastAsia="宋体" w:cs="宋体"/>
          <w:sz w:val="24"/>
          <w:szCs w:val="24"/>
          <w:highlight w:val="none"/>
          <w:lang w:val="en-GB"/>
        </w:rPr>
        <w:t>为更好地保障医院正常工作秩序和安全运行，</w:t>
      </w:r>
      <w:r>
        <w:rPr>
          <w:rFonts w:hint="eastAsia" w:ascii="宋体" w:hAnsi="宋体" w:eastAsia="宋体" w:cs="宋体"/>
          <w:sz w:val="24"/>
          <w:szCs w:val="24"/>
          <w:highlight w:val="none"/>
          <w:lang w:val="en-GB" w:eastAsia="zh-CN"/>
        </w:rPr>
        <w:t>现</w:t>
      </w:r>
      <w:r>
        <w:rPr>
          <w:rFonts w:hint="eastAsia" w:ascii="宋体" w:hAnsi="宋体" w:eastAsia="宋体" w:cs="宋体"/>
          <w:sz w:val="24"/>
          <w:szCs w:val="24"/>
          <w:highlight w:val="none"/>
          <w:lang w:val="en-GB"/>
        </w:rPr>
        <w:t>将后勤服务</w:t>
      </w:r>
      <w:r>
        <w:rPr>
          <w:rFonts w:hint="eastAsia" w:ascii="宋体" w:hAnsi="宋体" w:cs="宋体"/>
          <w:sz w:val="24"/>
          <w:szCs w:val="24"/>
          <w:highlight w:val="none"/>
          <w:lang w:val="en-GB" w:eastAsia="zh-CN"/>
        </w:rPr>
        <w:t>交予</w:t>
      </w:r>
      <w:r>
        <w:rPr>
          <w:rFonts w:hint="eastAsia" w:ascii="宋体" w:hAnsi="宋体" w:eastAsia="宋体" w:cs="宋体"/>
          <w:sz w:val="24"/>
          <w:szCs w:val="24"/>
          <w:highlight w:val="none"/>
          <w:lang w:val="en-GB"/>
        </w:rPr>
        <w:t>专业化强</w:t>
      </w:r>
      <w:r>
        <w:rPr>
          <w:rFonts w:hint="eastAsia" w:ascii="宋体" w:hAnsi="宋体" w:cs="宋体"/>
          <w:sz w:val="24"/>
          <w:szCs w:val="24"/>
          <w:highlight w:val="none"/>
          <w:lang w:val="en-GB" w:eastAsia="zh-CN"/>
        </w:rPr>
        <w:t>的服务单位</w:t>
      </w:r>
      <w:r>
        <w:rPr>
          <w:rFonts w:hint="eastAsia" w:ascii="宋体" w:hAnsi="宋体" w:eastAsia="宋体" w:cs="宋体"/>
          <w:sz w:val="24"/>
          <w:szCs w:val="24"/>
          <w:highlight w:val="none"/>
          <w:lang w:val="en-GB"/>
        </w:rPr>
        <w:t>。</w:t>
      </w: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highlight w:val="none"/>
          <w:lang w:val="en-GB"/>
        </w:rPr>
      </w:pPr>
      <w:r>
        <w:rPr>
          <w:rFonts w:hint="eastAsia" w:ascii="宋体" w:hAnsi="宋体" w:eastAsia="宋体" w:cs="宋体"/>
          <w:kern w:val="0"/>
          <w:sz w:val="24"/>
          <w:szCs w:val="24"/>
          <w:highlight w:val="none"/>
          <w:lang w:val="en-GB" w:eastAsia="zh-CN" w:bidi="ar-SA"/>
        </w:rPr>
        <w:t>服务期：</w:t>
      </w:r>
      <w:r>
        <w:rPr>
          <w:rFonts w:hint="eastAsia" w:ascii="宋体" w:hAnsi="宋体" w:eastAsia="宋体" w:cs="宋体"/>
          <w:sz w:val="24"/>
          <w:szCs w:val="24"/>
          <w:highlight w:val="none"/>
          <w:lang w:val="en-US" w:eastAsia="zh-CN"/>
        </w:rPr>
        <w:t>自合同签订之日起3年。本项目预算金额为1年预算费用，因项目每年期服务内容相对固定，按年度签订合同，即采取 1＋1+1 续签模式。</w:t>
      </w:r>
      <w:r>
        <w:rPr>
          <w:rFonts w:hint="eastAsia" w:ascii="宋体" w:hAnsi="宋体" w:eastAsia="宋体" w:cs="宋体"/>
          <w:sz w:val="24"/>
          <w:szCs w:val="24"/>
          <w:highlight w:val="none"/>
          <w:lang w:val="en-GB" w:eastAsia="zh-CN"/>
        </w:rPr>
        <w:t>服务期限一年内如无投诉、无质量问题，并达到采购人服务要求和考核标准，以此次成交标准继续履行次年服务合同，若达不到采购人服务要求和标准，采购人有权通过招标采购方式重新选择服务供应商，成交供应商承担由此造成的相关费用、补偿，以及由此带来的所有损失。</w:t>
      </w: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textAlignment w:val="auto"/>
        <w:outlineLvl w:val="2"/>
        <w:rPr>
          <w:rFonts w:hint="eastAsia" w:ascii="宋体" w:hAnsi="宋体" w:eastAsia="宋体" w:cs="宋体"/>
          <w:b/>
          <w:bCs/>
          <w:sz w:val="24"/>
          <w:szCs w:val="24"/>
          <w:highlight w:val="none"/>
          <w:lang w:val="en-GB"/>
        </w:rPr>
      </w:pPr>
      <w:bookmarkStart w:id="154" w:name="_Toc12740"/>
      <w:r>
        <w:rPr>
          <w:rFonts w:hint="eastAsia" w:ascii="宋体" w:hAnsi="宋体" w:eastAsia="宋体" w:cs="宋体"/>
          <w:b/>
          <w:bCs/>
          <w:sz w:val="24"/>
          <w:szCs w:val="24"/>
          <w:highlight w:val="none"/>
          <w:lang w:val="en-GB" w:eastAsia="zh-CN"/>
        </w:rPr>
        <w:t>二、服务明细</w:t>
      </w:r>
      <w:bookmarkEnd w:id="154"/>
      <w:r>
        <w:rPr>
          <w:rFonts w:hint="eastAsia" w:ascii="宋体" w:hAnsi="宋体" w:eastAsia="宋体" w:cs="宋体"/>
          <w:b/>
          <w:bCs/>
          <w:sz w:val="24"/>
          <w:szCs w:val="24"/>
          <w:highlight w:val="none"/>
          <w:lang w:val="en-GB"/>
        </w:rPr>
        <w:t xml:space="preserve"> </w:t>
      </w: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1.1服务范围</w:t>
      </w: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cs="宋体"/>
          <w:b w:val="0"/>
          <w:bCs w:val="0"/>
          <w:sz w:val="24"/>
          <w:szCs w:val="24"/>
          <w:highlight w:val="none"/>
          <w:lang w:val="en-US" w:eastAsia="zh-CN"/>
        </w:rPr>
      </w:pPr>
      <w:r>
        <w:rPr>
          <w:rFonts w:hint="eastAsia" w:ascii="宋体" w:hAnsi="宋体" w:eastAsia="宋体" w:cs="宋体"/>
          <w:b w:val="0"/>
          <w:bCs w:val="0"/>
          <w:kern w:val="0"/>
          <w:sz w:val="24"/>
          <w:szCs w:val="24"/>
          <w:highlight w:val="none"/>
          <w:lang w:val="en-GB" w:eastAsia="zh-CN" w:bidi="ar-SA"/>
        </w:rPr>
        <w:t>淄博市中医医院东院区</w:t>
      </w:r>
      <w:r>
        <w:rPr>
          <w:rFonts w:hint="eastAsia" w:ascii="宋体" w:hAnsi="宋体" w:eastAsia="宋体" w:cs="宋体"/>
          <w:b w:val="0"/>
          <w:bCs w:val="0"/>
          <w:sz w:val="24"/>
          <w:szCs w:val="24"/>
          <w:highlight w:val="none"/>
          <w:lang w:val="en-GB"/>
        </w:rPr>
        <w:t>、院本部、张店和平路院区、皮防院</w:t>
      </w:r>
      <w:r>
        <w:rPr>
          <w:rFonts w:hint="eastAsia" w:ascii="宋体" w:hAnsi="宋体" w:eastAsia="宋体" w:cs="宋体"/>
          <w:b w:val="0"/>
          <w:bCs w:val="0"/>
          <w:sz w:val="24"/>
          <w:szCs w:val="24"/>
          <w:highlight w:val="none"/>
          <w:lang w:val="en-US" w:eastAsia="zh-CN"/>
        </w:rPr>
        <w:t>共计</w:t>
      </w:r>
      <w:r>
        <w:rPr>
          <w:rFonts w:hint="eastAsia" w:ascii="宋体" w:hAnsi="宋体" w:cs="宋体"/>
          <w:b w:val="0"/>
          <w:bCs w:val="0"/>
          <w:sz w:val="24"/>
          <w:szCs w:val="24"/>
          <w:highlight w:val="none"/>
          <w:lang w:val="en-US" w:eastAsia="zh-CN"/>
        </w:rPr>
        <w:t>四</w:t>
      </w:r>
      <w:r>
        <w:rPr>
          <w:rFonts w:hint="eastAsia" w:ascii="宋体" w:hAnsi="宋体" w:eastAsia="宋体" w:cs="宋体"/>
          <w:b w:val="0"/>
          <w:bCs w:val="0"/>
          <w:sz w:val="24"/>
          <w:szCs w:val="24"/>
          <w:highlight w:val="none"/>
          <w:lang w:val="en-US" w:eastAsia="zh-CN"/>
        </w:rPr>
        <w:t>个院区</w:t>
      </w:r>
      <w:r>
        <w:rPr>
          <w:rFonts w:hint="eastAsia" w:ascii="宋体" w:hAnsi="宋体" w:cs="宋体"/>
          <w:b w:val="0"/>
          <w:bCs w:val="0"/>
          <w:sz w:val="24"/>
          <w:szCs w:val="24"/>
          <w:highlight w:val="none"/>
          <w:lang w:val="en-US" w:eastAsia="zh-CN"/>
        </w:rPr>
        <w:t>所有基础设施的维修、维护、保养。</w:t>
      </w: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eastAsia="宋体" w:cs="宋体"/>
          <w:b w:val="0"/>
          <w:bCs w:val="0"/>
          <w:sz w:val="24"/>
          <w:szCs w:val="24"/>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eastAsia="宋体" w:cs="宋体"/>
          <w:b w:val="0"/>
          <w:bCs w:val="0"/>
          <w:sz w:val="24"/>
          <w:szCs w:val="24"/>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eastAsia="宋体" w:cs="宋体"/>
          <w:b w:val="0"/>
          <w:bCs w:val="0"/>
          <w:sz w:val="24"/>
          <w:szCs w:val="24"/>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eastAsia="宋体" w:cs="宋体"/>
          <w:b w:val="0"/>
          <w:bCs w:val="0"/>
          <w:sz w:val="24"/>
          <w:szCs w:val="24"/>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eastAsia="宋体" w:cs="宋体"/>
          <w:b w:val="0"/>
          <w:bCs w:val="0"/>
          <w:sz w:val="24"/>
          <w:szCs w:val="24"/>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eastAsia="宋体" w:cs="宋体"/>
          <w:b w:val="0"/>
          <w:bCs w:val="0"/>
          <w:sz w:val="24"/>
          <w:szCs w:val="24"/>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eastAsia="宋体" w:cs="宋体"/>
          <w:b w:val="0"/>
          <w:bCs w:val="0"/>
          <w:sz w:val="24"/>
          <w:szCs w:val="24"/>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1.2服务内容及要求</w:t>
      </w:r>
    </w:p>
    <w:tbl>
      <w:tblPr>
        <w:tblStyle w:val="20"/>
        <w:tblW w:w="52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
        <w:gridCol w:w="1874"/>
        <w:gridCol w:w="7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940" w:type="pct"/>
            <w:vAlign w:val="center"/>
          </w:tcPr>
          <w:p>
            <w:p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服务内容</w:t>
            </w:r>
          </w:p>
        </w:tc>
        <w:tc>
          <w:tcPr>
            <w:tcW w:w="381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GB" w:eastAsia="zh-CN"/>
              </w:rPr>
              <w:t>服务</w:t>
            </w:r>
            <w:r>
              <w:rPr>
                <w:rFonts w:hint="eastAsia" w:ascii="宋体" w:hAnsi="宋体" w:eastAsia="宋体" w:cs="宋体"/>
                <w:sz w:val="24"/>
                <w:szCs w:val="24"/>
                <w:vertAlign w:val="baseline"/>
                <w:lang w:val="en-US" w:eastAsia="zh-CN"/>
              </w:rPr>
              <w:t>标准及要求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0"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940" w:type="pct"/>
            <w:shd w:val="clear" w:color="auto" w:fill="auto"/>
            <w:vAlign w:val="center"/>
          </w:tcPr>
          <w:p>
            <w:p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GB" w:eastAsia="zh-CN"/>
              </w:rPr>
              <w:t>各院区所有基础设施的维护、维修及应急处理。水、电、气、暖、门窗、给排水等系统的维修、维护、保养。各院内零星修缮</w:t>
            </w:r>
          </w:p>
        </w:tc>
        <w:tc>
          <w:tcPr>
            <w:tcW w:w="3819" w:type="pct"/>
            <w:vMerge w:val="restart"/>
          </w:tcPr>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GB" w:eastAsia="zh-CN"/>
              </w:rPr>
            </w:pPr>
            <w:r>
              <w:rPr>
                <w:rFonts w:hint="eastAsia" w:ascii="宋体" w:hAnsi="宋体" w:eastAsia="宋体" w:cs="宋体"/>
                <w:b/>
                <w:bCs/>
                <w:sz w:val="24"/>
                <w:szCs w:val="24"/>
                <w:highlight w:val="none"/>
                <w:lang w:val="en-GB" w:eastAsia="zh-CN"/>
              </w:rPr>
              <w:t>维修电工服务标准</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GB" w:eastAsia="zh-CN"/>
              </w:rPr>
              <w:t>1、需熟悉电力行业相关知识，具有较强现场操作力；</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GB" w:eastAsia="zh-CN"/>
              </w:rPr>
              <w:t>2、在工作中，严格按照电力法规及行业的标准要求，规范操作；</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GB" w:eastAsia="zh-CN"/>
              </w:rPr>
              <w:t>3、熟练掌握</w:t>
            </w:r>
            <w:r>
              <w:rPr>
                <w:rFonts w:hint="eastAsia" w:ascii="宋体" w:hAnsi="宋体" w:eastAsia="宋体" w:cs="宋体"/>
                <w:sz w:val="24"/>
                <w:szCs w:val="24"/>
                <w:highlight w:val="none"/>
                <w:lang w:val="en-US" w:eastAsia="zh-CN"/>
              </w:rPr>
              <w:t>院区</w:t>
            </w:r>
            <w:r>
              <w:rPr>
                <w:rFonts w:hint="eastAsia" w:ascii="宋体" w:hAnsi="宋体" w:eastAsia="宋体" w:cs="宋体"/>
                <w:sz w:val="24"/>
                <w:szCs w:val="24"/>
                <w:highlight w:val="none"/>
                <w:lang w:val="en-GB" w:eastAsia="zh-CN"/>
              </w:rPr>
              <w:t>电力点位、平面布局、各栋、各楼层配电系统图。按医院供用电管理规定，认真及时的处理好医院电力安装、日常维修维护，应急抢修和其它临时性工作。负责编制服务区内的所有配电箱柜，编制内容包括配电箱柜;型号类型、负责送</w:t>
            </w:r>
            <w:r>
              <w:rPr>
                <w:rFonts w:hint="eastAsia" w:ascii="宋体" w:hAnsi="宋体" w:eastAsia="宋体" w:cs="宋体"/>
                <w:sz w:val="24"/>
                <w:szCs w:val="24"/>
                <w:highlight w:val="none"/>
                <w:lang w:val="en-US" w:eastAsia="zh-CN"/>
              </w:rPr>
              <w:t>电</w:t>
            </w:r>
            <w:r>
              <w:rPr>
                <w:rFonts w:hint="eastAsia" w:ascii="宋体" w:hAnsi="宋体" w:eastAsia="宋体" w:cs="宋体"/>
                <w:sz w:val="24"/>
                <w:szCs w:val="24"/>
                <w:highlight w:val="none"/>
                <w:lang w:val="en-GB" w:eastAsia="zh-CN"/>
              </w:rPr>
              <w:t>区域、所在位置、提供标识及编号、维修记录等相关信息建立档案备查。(电子文档和纸质文档)；</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GB" w:eastAsia="zh-CN"/>
              </w:rPr>
              <w:t>4、灯具、灯管(泡) LED 院名字广告灯、灯箱、吸顶灯的维修换件调试,含户外、室内、屋面、屋顶等服务区域的所有灯具检修及安装；</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en-GB" w:eastAsia="zh-CN"/>
              </w:rPr>
              <w:t>、科室配电分箱柜及各科室电力线路的检修；</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val="en-GB" w:eastAsia="zh-CN"/>
              </w:rPr>
              <w:t>、每月定期对医院大功率电器（</w:t>
            </w:r>
            <w:r>
              <w:rPr>
                <w:rFonts w:hint="eastAsia" w:ascii="宋体" w:hAnsi="宋体" w:eastAsia="宋体" w:cs="宋体"/>
                <w:sz w:val="24"/>
                <w:szCs w:val="24"/>
                <w:highlight w:val="none"/>
                <w:lang w:val="en-US" w:eastAsia="zh-CN"/>
              </w:rPr>
              <w:t>≥2000W</w:t>
            </w:r>
            <w:r>
              <w:rPr>
                <w:rFonts w:hint="eastAsia" w:ascii="宋体" w:hAnsi="宋体" w:eastAsia="宋体" w:cs="宋体"/>
                <w:sz w:val="24"/>
                <w:szCs w:val="24"/>
                <w:highlight w:val="none"/>
                <w:lang w:val="en-GB" w:eastAsia="zh-CN"/>
              </w:rPr>
              <w:t>）电线线路及配电箱等进行巡检并作好记录负责配电箱、科室配电分柜除尘清洁工作；</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val="en-GB" w:eastAsia="zh-CN"/>
              </w:rPr>
              <w:t>、负责按科室、按区域统计各楼层用电负荷,提供报表数据内容包含;用电设备名称设备功率设备数量剩余可用负荷，按规范合理分配用电负荷做好安全用电；</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US" w:eastAsia="zh-CN"/>
              </w:rPr>
              <w:t>8、负责医院各院区备用发电机站设施设备的维护管理；</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9、服从医院的统一安排,按时完成各类计划性、24小时应急性工作,做好维修工作台账,每月负责分析统计上报。</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弱电工服务标准</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1、在工作中,按弱电行业的标准要求,规范操作；</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2、按医院弱电管理规定,认真及时的处理好医院弱电系统检修、日常维修维护，应急抢修和其它临时性工作；</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3、医院临时弱电线路设置铺设；</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ind w:right="-105" w:rightChars="-5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4、医院内所有电视、通讯、网络布线及其他弱电设施设备的巡查；</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5、每月按时完成弱电系统的查询记录工作；</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6、积极协助医院配电房的年检维修工作；</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vertAlign w:val="baseline"/>
              </w:rPr>
            </w:pPr>
            <w:r>
              <w:rPr>
                <w:rFonts w:hint="eastAsia" w:ascii="宋体" w:hAnsi="宋体" w:eastAsia="宋体" w:cs="宋体"/>
                <w:sz w:val="24"/>
                <w:szCs w:val="24"/>
                <w:highlight w:val="none"/>
                <w:lang w:val="en-US" w:eastAsia="zh-CN"/>
              </w:rPr>
              <w:t>7、服从医院的统一安排,按时完成各类计划性、24小时应急性工作做好维修工作台账,每月负责分析统计、上报。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5"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940" w:type="pct"/>
            <w:shd w:val="clear" w:color="auto" w:fill="auto"/>
            <w:vAlign w:val="center"/>
          </w:tcPr>
          <w:p>
            <w:pPr>
              <w:jc w:val="center"/>
              <w:rPr>
                <w:rFonts w:hint="eastAsia" w:ascii="宋体" w:hAnsi="宋体" w:eastAsia="宋体" w:cs="宋体"/>
                <w:kern w:val="2"/>
                <w:sz w:val="24"/>
                <w:szCs w:val="24"/>
                <w:vertAlign w:val="baseline"/>
                <w:lang w:val="en-GB" w:eastAsia="zh-CN" w:bidi="ar-SA"/>
              </w:rPr>
            </w:pPr>
            <w:r>
              <w:rPr>
                <w:rFonts w:hint="eastAsia" w:ascii="宋体" w:hAnsi="宋体" w:eastAsia="宋体" w:cs="宋体"/>
                <w:sz w:val="24"/>
                <w:szCs w:val="24"/>
                <w:highlight w:val="none"/>
                <w:lang w:val="en-GB"/>
              </w:rPr>
              <w:t>各院区室内外亮化、照明、路面等设施的维护、维修、保养及日常管理</w:t>
            </w:r>
          </w:p>
        </w:tc>
        <w:tc>
          <w:tcPr>
            <w:tcW w:w="3819" w:type="pct"/>
            <w:vMerge w:val="continue"/>
          </w:tcPr>
          <w:p>
            <w:pPr>
              <w:rPr>
                <w:rFonts w:hint="eastAsia"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9"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940" w:type="pct"/>
            <w:shd w:val="clear" w:color="auto" w:fill="auto"/>
            <w:vAlign w:val="center"/>
          </w:tcPr>
          <w:p>
            <w:pPr>
              <w:jc w:val="center"/>
              <w:rPr>
                <w:rFonts w:hint="eastAsia" w:ascii="宋体" w:hAnsi="宋体" w:eastAsia="宋体" w:cs="宋体"/>
                <w:sz w:val="24"/>
                <w:szCs w:val="24"/>
                <w:vertAlign w:val="baseline"/>
                <w:lang w:val="en-GB" w:eastAsia="zh-CN"/>
              </w:rPr>
            </w:pPr>
            <w:r>
              <w:rPr>
                <w:rFonts w:hint="eastAsia" w:ascii="宋体" w:hAnsi="宋体" w:eastAsia="宋体" w:cs="宋体"/>
                <w:kern w:val="2"/>
                <w:sz w:val="24"/>
                <w:szCs w:val="24"/>
                <w:vertAlign w:val="baseline"/>
                <w:lang w:val="en-GB" w:eastAsia="zh-CN" w:bidi="ar-SA"/>
              </w:rPr>
              <w:t>各院区所有配电室的正常管理、检查巡视、维护、维修、保养和24小时专人值班。及医院各院区所有楼宇房屋电气线路的维修和弱电系统的应急处理</w:t>
            </w:r>
          </w:p>
        </w:tc>
        <w:tc>
          <w:tcPr>
            <w:tcW w:w="3819" w:type="pct"/>
            <w:vMerge w:val="restart"/>
          </w:tcPr>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配电室值班巡查巡检维护及管理</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为本项目配置的配电室值班巡查巡检工作人员,需掌握配电设备设施相关知识,具有较强现场巡查发现问题和应急处置能力</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1、配电房值守巡查巡检维护的人员必须经过专业学习培训,取得具有安全生产监督管理部门颁发的高压电工/低压电工作业证,持有效证件上岗,配置值班人员每班2人；</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2、熟悉掌握配电设备 设施系统的运行规范、运行状况、安全注意事项、掌握应急操作处置方法,如遇突发事件,能按突发事故应急处理程序进行及时应急处置上报；</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3、值守巡查巡检要求,巡查巡检一级配电房时应2人同时进行，峰值用电时段每1小时巡查1次,低谷用电时段每2小时巡查1次，遇特殊情况需增加巡查频次,并详细记录每次的巡查数据,发现问题及时处置上报；</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4、每日需对应急柴油发电机巡查至少一次；</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5、严格配电操作规程，掌握配电线路运行方式，按工作票制度完成日常、应急倒闸操作；</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6、配电设备设施做预防性试验时,所有配电工需积极参与配电设备检修除尘工作；</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7、加强配电桥架、管沟进出口通道的日常检查封堵管控,防止小动物进入,保障医院安全用电；</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8、安全规范做好配电环境整洁 ,每天至少进行1次全面清洁,随时保持配电房内无杂物、无灰尘、地面无污渍、整洁有序；</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9、严格消防管理制度，如遇消防事件发生,立即按消防应急预案处置,协助消防部门规范展开抢险工作；</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10、认真详细规范的做好各项巡查巡检记录及相关重要资料的整理,并规整存档；</w:t>
            </w:r>
          </w:p>
          <w:p>
            <w:pPr>
              <w:rPr>
                <w:rFonts w:hint="eastAsia" w:ascii="宋体" w:hAnsi="宋体" w:eastAsia="宋体" w:cs="宋体"/>
                <w:sz w:val="24"/>
                <w:szCs w:val="24"/>
              </w:rPr>
            </w:pPr>
            <w:r>
              <w:rPr>
                <w:rFonts w:hint="eastAsia" w:ascii="宋体" w:hAnsi="宋体" w:eastAsia="宋体" w:cs="宋体"/>
                <w:kern w:val="0"/>
                <w:sz w:val="24"/>
                <w:szCs w:val="24"/>
                <w:lang w:val="en-US" w:eastAsia="zh-CN" w:bidi="ar-SA"/>
              </w:rPr>
              <w:t>11、满足上级主管部门检查标准要求。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940" w:type="pct"/>
            <w:shd w:val="clear" w:color="auto" w:fill="auto"/>
            <w:vAlign w:val="center"/>
          </w:tcPr>
          <w:p>
            <w:pPr>
              <w:jc w:val="center"/>
              <w:rPr>
                <w:rFonts w:hint="eastAsia" w:ascii="宋体" w:hAnsi="宋体" w:eastAsia="宋体" w:cs="宋体"/>
                <w:sz w:val="24"/>
                <w:szCs w:val="24"/>
                <w:vertAlign w:val="baseline"/>
                <w:lang w:val="en-GB" w:eastAsia="zh-CN"/>
              </w:rPr>
            </w:pPr>
            <w:r>
              <w:rPr>
                <w:rFonts w:hint="eastAsia" w:ascii="宋体" w:hAnsi="宋体" w:eastAsia="宋体" w:cs="宋体"/>
                <w:sz w:val="24"/>
                <w:szCs w:val="24"/>
                <w:highlight w:val="none"/>
                <w:lang w:val="en-GB"/>
              </w:rPr>
              <w:t>各院区备用发电机站设施设备的维护管理</w:t>
            </w:r>
          </w:p>
        </w:tc>
        <w:tc>
          <w:tcPr>
            <w:tcW w:w="3819" w:type="pct"/>
            <w:vMerge w:val="continue"/>
          </w:tcPr>
          <w:p>
            <w:pPr>
              <w:rPr>
                <w:rFonts w:hint="eastAsia"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2"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940" w:type="pct"/>
            <w:shd w:val="clear" w:color="auto" w:fill="auto"/>
            <w:vAlign w:val="center"/>
          </w:tcPr>
          <w:p>
            <w:pPr>
              <w:jc w:val="center"/>
              <w:rPr>
                <w:rFonts w:hint="eastAsia" w:ascii="宋体" w:hAnsi="宋体" w:eastAsia="宋体" w:cs="宋体"/>
                <w:sz w:val="24"/>
                <w:szCs w:val="24"/>
                <w:vertAlign w:val="baseline"/>
                <w:lang w:val="en-GB" w:eastAsia="zh-CN"/>
              </w:rPr>
            </w:pPr>
            <w:r>
              <w:rPr>
                <w:rFonts w:hint="eastAsia" w:ascii="宋体" w:hAnsi="宋体" w:eastAsia="宋体" w:cs="宋体"/>
                <w:sz w:val="24"/>
                <w:szCs w:val="24"/>
                <w:vertAlign w:val="baseline"/>
                <w:lang w:val="en-GB" w:eastAsia="zh-CN"/>
              </w:rPr>
              <w:t>各院区污水处理站巡视检查、维护、药物加注及日常管理。包括化验室、核酸检测基地污水处理系统</w:t>
            </w:r>
          </w:p>
        </w:tc>
        <w:tc>
          <w:tcPr>
            <w:tcW w:w="3819" w:type="pct"/>
            <w:vMerge w:val="restart"/>
          </w:tcPr>
          <w:p>
            <w:pPr>
              <w:pStyle w:val="25"/>
              <w:keepNext w:val="0"/>
              <w:keepLines w:val="0"/>
              <w:pageBreakBefore w:val="0"/>
              <w:widowControl/>
              <w:numPr>
                <w:ilvl w:val="0"/>
                <w:numId w:val="0"/>
              </w:numPr>
              <w:kinsoku/>
              <w:wordWrap/>
              <w:overflowPunct/>
              <w:topLinePunct w:val="0"/>
              <w:autoSpaceDE/>
              <w:autoSpaceDN/>
              <w:bidi w:val="0"/>
              <w:adjustRightInd/>
              <w:snapToGrid/>
              <w:spacing w:line="380" w:lineRule="exact"/>
              <w:jc w:val="lef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水工服务标准</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1、为本项目配置的水工,需熟悉供水行业相关知识,具有较强现场操作能力；</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2、医院给排水、中水、二次供水的日常维修、维护；</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3、医院内所有排水管路、管道污水坑疏通清淤；</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4、维修更换:冷热水龙头、病区蒸汽开水阀门、水表、卫生洁具水箱及配件、大小便池、感应式水龙头水阀、脚踏阀、截止阀、蝶阀、电磁二通阀;墙体内、地下管道、阀门;墙体外、地面上管道、阀门等；</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5、疏通含地面、建筑内、屋面屋顶雨水、污水管道、排水道及病区下水管道；</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6、每月按时完成所有院区水表及公用水表巡查抄表记录工作并上报电子版本；</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7、每月定期对医院水管管路、龙头、阀[门及各类水泵进行巡检并作好台账记录。做好维修工作台账,每月负责分析统计上报；</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8、会使用电动、气动工具熟练维修；</w:t>
            </w:r>
          </w:p>
          <w:p>
            <w:pPr>
              <w:pStyle w:val="25"/>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9、服从医院的统一安排,按时完成各类计划性、24小时应急性工作。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940" w:type="pct"/>
            <w:shd w:val="clear" w:color="auto" w:fill="auto"/>
            <w:vAlign w:val="center"/>
          </w:tcPr>
          <w:p>
            <w:pPr>
              <w:jc w:val="center"/>
              <w:rPr>
                <w:rFonts w:hint="eastAsia" w:ascii="宋体" w:hAnsi="宋体" w:eastAsia="宋体" w:cs="宋体"/>
                <w:sz w:val="24"/>
                <w:szCs w:val="24"/>
                <w:vertAlign w:val="baseline"/>
                <w:lang w:val="en-GB" w:eastAsia="zh-CN"/>
              </w:rPr>
            </w:pPr>
            <w:r>
              <w:rPr>
                <w:rFonts w:hint="eastAsia" w:ascii="宋体" w:hAnsi="宋体" w:eastAsia="宋体" w:cs="宋体"/>
                <w:sz w:val="24"/>
                <w:szCs w:val="24"/>
                <w:vertAlign w:val="baseline"/>
                <w:lang w:val="en-GB" w:eastAsia="zh-CN"/>
              </w:rPr>
              <w:t>各院区净水机房管道、阀门、电器控制等基础设施的日常管理及维护、维修、保养</w:t>
            </w:r>
          </w:p>
        </w:tc>
        <w:tc>
          <w:tcPr>
            <w:tcW w:w="3819" w:type="pct"/>
            <w:vMerge w:val="continue"/>
          </w:tcPr>
          <w:p>
            <w:pPr>
              <w:rPr>
                <w:rFonts w:hint="eastAsia"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940" w:type="pct"/>
            <w:shd w:val="clear" w:color="auto" w:fill="auto"/>
            <w:vAlign w:val="center"/>
          </w:tcPr>
          <w:p>
            <w:pPr>
              <w:jc w:val="center"/>
              <w:rPr>
                <w:rFonts w:hint="eastAsia" w:ascii="宋体" w:hAnsi="宋体" w:eastAsia="宋体" w:cs="宋体"/>
                <w:sz w:val="24"/>
                <w:szCs w:val="24"/>
                <w:vertAlign w:val="baseline"/>
                <w:lang w:val="en-GB" w:eastAsia="zh-CN"/>
              </w:rPr>
            </w:pPr>
            <w:r>
              <w:rPr>
                <w:rFonts w:hint="eastAsia" w:ascii="宋体" w:hAnsi="宋体" w:eastAsia="宋体" w:cs="宋体"/>
                <w:sz w:val="24"/>
                <w:szCs w:val="24"/>
                <w:vertAlign w:val="baseline"/>
                <w:lang w:val="en-GB" w:eastAsia="zh-CN"/>
              </w:rPr>
              <w:t>各院区给排水泵房管道、阀门、电器控制等基础设施的维护、维修、保养及日常管理</w:t>
            </w:r>
          </w:p>
        </w:tc>
        <w:tc>
          <w:tcPr>
            <w:tcW w:w="3819" w:type="pct"/>
            <w:vMerge w:val="continue"/>
          </w:tcPr>
          <w:p>
            <w:pPr>
              <w:rPr>
                <w:rFonts w:hint="eastAsia"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2"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w:t>
            </w:r>
          </w:p>
        </w:tc>
        <w:tc>
          <w:tcPr>
            <w:tcW w:w="940" w:type="pct"/>
            <w:shd w:val="clear" w:color="auto" w:fill="auto"/>
            <w:vAlign w:val="center"/>
          </w:tcPr>
          <w:p>
            <w:pPr>
              <w:spacing w:line="240" w:lineRule="auto"/>
              <w:jc w:val="center"/>
              <w:rPr>
                <w:rFonts w:hint="eastAsia" w:ascii="宋体" w:hAnsi="宋体" w:eastAsia="宋体" w:cs="宋体"/>
                <w:sz w:val="24"/>
                <w:szCs w:val="24"/>
                <w:highlight w:val="none"/>
                <w:lang w:val="en-GB"/>
              </w:rPr>
            </w:pPr>
            <w:r>
              <w:rPr>
                <w:rFonts w:hint="eastAsia" w:ascii="宋体" w:hAnsi="宋体" w:eastAsia="宋体" w:cs="宋体"/>
                <w:sz w:val="24"/>
                <w:szCs w:val="24"/>
                <w:vertAlign w:val="baseline"/>
                <w:lang w:val="en-GB" w:eastAsia="zh-CN"/>
              </w:rPr>
              <w:t>各院区消防泵房管道、电器控制等基础设施的应急处理</w:t>
            </w:r>
          </w:p>
        </w:tc>
        <w:tc>
          <w:tcPr>
            <w:tcW w:w="3819" w:type="pct"/>
          </w:tcPr>
          <w:p>
            <w:pPr>
              <w:numPr>
                <w:ilvl w:val="0"/>
                <w:numId w:val="5"/>
              </w:numPr>
              <w:rPr>
                <w:rFonts w:hint="eastAsia" w:ascii="宋体" w:hAnsi="宋体" w:eastAsia="宋体" w:cs="宋体"/>
                <w:sz w:val="24"/>
                <w:szCs w:val="24"/>
                <w:vertAlign w:val="baseline"/>
              </w:rPr>
            </w:pPr>
            <w:r>
              <w:rPr>
                <w:rFonts w:hint="eastAsia" w:ascii="宋体" w:hAnsi="宋体" w:eastAsia="宋体" w:cs="宋体"/>
                <w:sz w:val="24"/>
                <w:szCs w:val="24"/>
                <w:vertAlign w:val="baseline"/>
              </w:rPr>
              <w:t>观察稳压泵的启动频率，确定管网有无渗漏现象</w:t>
            </w:r>
            <w:r>
              <w:rPr>
                <w:rFonts w:hint="eastAsia" w:ascii="宋体" w:hAnsi="宋体" w:eastAsia="宋体" w:cs="宋体"/>
                <w:sz w:val="24"/>
                <w:szCs w:val="24"/>
                <w:vertAlign w:val="baseline"/>
                <w:lang w:eastAsia="zh-CN"/>
              </w:rPr>
              <w:t>；</w:t>
            </w:r>
          </w:p>
          <w:p>
            <w:pPr>
              <w:numPr>
                <w:ilvl w:val="0"/>
                <w:numId w:val="5"/>
              </w:numPr>
              <w:rPr>
                <w:rFonts w:hint="eastAsia" w:ascii="宋体" w:hAnsi="宋体" w:eastAsia="宋体" w:cs="宋体"/>
                <w:sz w:val="24"/>
                <w:szCs w:val="24"/>
                <w:vertAlign w:val="baseline"/>
              </w:rPr>
            </w:pPr>
            <w:r>
              <w:rPr>
                <w:rFonts w:hint="eastAsia" w:ascii="宋体" w:hAnsi="宋体" w:eastAsia="宋体" w:cs="宋体"/>
                <w:sz w:val="24"/>
                <w:szCs w:val="24"/>
                <w:vertAlign w:val="baseline"/>
              </w:rPr>
              <w:t>外观检查:检查管道有无机械损伤、油漆脱落、锈蚀等，管道固定是否牢固，发现问题应及时处理</w:t>
            </w:r>
            <w:r>
              <w:rPr>
                <w:rFonts w:hint="eastAsia" w:ascii="宋体" w:hAnsi="宋体" w:eastAsia="宋体" w:cs="宋体"/>
                <w:sz w:val="24"/>
                <w:szCs w:val="24"/>
                <w:vertAlign w:val="baseline"/>
                <w:lang w:eastAsia="zh-CN"/>
              </w:rPr>
              <w:t>；</w:t>
            </w:r>
          </w:p>
          <w:p>
            <w:pP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3、</w:t>
            </w:r>
            <w:r>
              <w:rPr>
                <w:rFonts w:hint="eastAsia" w:ascii="宋体" w:hAnsi="宋体" w:eastAsia="宋体" w:cs="宋体"/>
                <w:sz w:val="24"/>
                <w:szCs w:val="24"/>
                <w:vertAlign w:val="baseline"/>
              </w:rPr>
              <w:t>清除堵塞:系统管道中</w:t>
            </w:r>
            <w:r>
              <w:rPr>
                <w:rFonts w:hint="eastAsia" w:ascii="宋体" w:hAnsi="宋体" w:eastAsia="宋体" w:cs="宋体"/>
                <w:sz w:val="24"/>
                <w:szCs w:val="24"/>
                <w:vertAlign w:val="baseline"/>
                <w:lang w:val="en-US" w:eastAsia="zh-CN"/>
              </w:rPr>
              <w:t>的</w:t>
            </w:r>
            <w:r>
              <w:rPr>
                <w:rFonts w:hint="eastAsia" w:ascii="宋体" w:hAnsi="宋体" w:eastAsia="宋体" w:cs="宋体"/>
                <w:sz w:val="24"/>
                <w:szCs w:val="24"/>
                <w:vertAlign w:val="baseline"/>
              </w:rPr>
              <w:t>砂</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rPr>
              <w:t>石、木屑或水源带来的垃圾、铁锈等，</w:t>
            </w:r>
            <w:r>
              <w:rPr>
                <w:rFonts w:hint="eastAsia" w:ascii="宋体" w:hAnsi="宋体" w:eastAsia="宋体" w:cs="宋体"/>
                <w:sz w:val="24"/>
                <w:szCs w:val="24"/>
                <w:vertAlign w:val="baseline"/>
                <w:lang w:val="en-US" w:eastAsia="zh-CN"/>
              </w:rPr>
              <w:t>防止</w:t>
            </w:r>
            <w:r>
              <w:rPr>
                <w:rFonts w:hint="eastAsia" w:ascii="宋体" w:hAnsi="宋体" w:eastAsia="宋体" w:cs="宋体"/>
                <w:sz w:val="24"/>
                <w:szCs w:val="24"/>
                <w:vertAlign w:val="baseline"/>
              </w:rPr>
              <w:t>喷头堵塞、报警阀关闭不严、水力警铃输水管堵塞等</w:t>
            </w:r>
            <w:r>
              <w:rPr>
                <w:rFonts w:hint="eastAsia" w:ascii="宋体" w:hAnsi="宋体" w:eastAsia="宋体" w:cs="宋体"/>
                <w:sz w:val="24"/>
                <w:szCs w:val="24"/>
                <w:vertAlign w:val="baseline"/>
                <w:lang w:eastAsia="zh-CN"/>
              </w:rPr>
              <w:t>；</w:t>
            </w:r>
          </w:p>
          <w:p>
            <w:pP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4、</w:t>
            </w:r>
            <w:r>
              <w:rPr>
                <w:rFonts w:hint="eastAsia" w:ascii="宋体" w:hAnsi="宋体" w:eastAsia="宋体" w:cs="宋体"/>
                <w:sz w:val="24"/>
                <w:szCs w:val="24"/>
                <w:vertAlign w:val="baseline"/>
              </w:rPr>
              <w:t>每月第二周需对不少于10%的管道末端进行放水,确保管道内的水质良好,并对水流指示器的报警功能进行检查</w:t>
            </w:r>
            <w:r>
              <w:rPr>
                <w:rFonts w:hint="eastAsia" w:ascii="宋体" w:hAnsi="宋体" w:eastAsia="宋体" w:cs="宋体"/>
                <w:sz w:val="24"/>
                <w:szCs w:val="24"/>
                <w:vertAlign w:val="baseline"/>
                <w:lang w:eastAsia="zh-CN"/>
              </w:rPr>
              <w:t>；</w:t>
            </w:r>
          </w:p>
          <w:p>
            <w:pPr>
              <w:numPr>
                <w:ilvl w:val="0"/>
                <w:numId w:val="0"/>
              </w:numP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5、</w:t>
            </w:r>
            <w:r>
              <w:rPr>
                <w:rFonts w:hint="eastAsia" w:ascii="宋体" w:hAnsi="宋体" w:eastAsia="宋体" w:cs="宋体"/>
                <w:sz w:val="24"/>
                <w:szCs w:val="24"/>
                <w:vertAlign w:val="baseline"/>
              </w:rPr>
              <w:t>每周检查消防水泵动力运行是否可靠，水泵能否正常运转，流量和压力能否保证;电力上有无保证不间断供电设施，其性能是否良好。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1"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w:t>
            </w:r>
          </w:p>
        </w:tc>
        <w:tc>
          <w:tcPr>
            <w:tcW w:w="940" w:type="pct"/>
            <w:vAlign w:val="center"/>
          </w:tcPr>
          <w:p>
            <w:pPr>
              <w:spacing w:line="24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lang w:val="en-GB"/>
              </w:rPr>
              <w:t>各院区所有空调系统（包括水机和氟机）、新风系统、净化机组、过滤网、过滤器、清洗、消毒、更换（约计3000个进出风口）、管道维护保养等日常管理及应急处理</w:t>
            </w:r>
          </w:p>
        </w:tc>
        <w:tc>
          <w:tcPr>
            <w:tcW w:w="3819" w:type="pct"/>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1、锅炉供暖系统（供暖前检修、及日常维护）；</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2、所有设备设施运行前检修、及日常维护；</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3、粗效过滤器每月清洗一次，每年更换一次；</w:t>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中效过滤器每两月吹扫一次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每</w:t>
            </w:r>
            <w:r>
              <w:rPr>
                <w:rFonts w:hint="eastAsia" w:ascii="宋体" w:hAnsi="宋体" w:eastAsia="宋体" w:cs="宋体"/>
                <w:sz w:val="24"/>
                <w:szCs w:val="24"/>
                <w:highlight w:val="none"/>
                <w:lang w:eastAsia="zh-CN"/>
              </w:rPr>
              <w:t>两</w:t>
            </w:r>
            <w:r>
              <w:rPr>
                <w:rFonts w:hint="eastAsia" w:ascii="宋体" w:hAnsi="宋体" w:eastAsia="宋体" w:cs="宋体"/>
                <w:sz w:val="24"/>
                <w:szCs w:val="24"/>
                <w:highlight w:val="none"/>
              </w:rPr>
              <w:t>年更换</w:t>
            </w:r>
            <w:r>
              <w:rPr>
                <w:rFonts w:hint="eastAsia" w:ascii="宋体" w:hAnsi="宋体" w:eastAsia="宋体" w:cs="宋体"/>
                <w:sz w:val="24"/>
                <w:szCs w:val="24"/>
                <w:highlight w:val="none"/>
                <w:lang w:eastAsia="zh-CN"/>
              </w:rPr>
              <w:t>一</w:t>
            </w:r>
            <w:r>
              <w:rPr>
                <w:rFonts w:hint="eastAsia" w:ascii="宋体" w:hAnsi="宋体" w:eastAsia="宋体" w:cs="宋体"/>
                <w:sz w:val="24"/>
                <w:szCs w:val="24"/>
                <w:highlight w:val="none"/>
              </w:rPr>
              <w:t>次</w:t>
            </w:r>
            <w:r>
              <w:rPr>
                <w:rFonts w:hint="eastAsia" w:ascii="宋体" w:hAnsi="宋体" w:eastAsia="宋体" w:cs="宋体"/>
                <w:sz w:val="24"/>
                <w:szCs w:val="24"/>
                <w:highlight w:val="none"/>
                <w:lang w:eastAsia="zh-CN"/>
              </w:rPr>
              <w:t>；</w:t>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高效过滤器每三年更换一次</w:t>
            </w:r>
            <w:r>
              <w:rPr>
                <w:rFonts w:hint="eastAsia" w:ascii="宋体" w:hAnsi="宋体" w:eastAsia="宋体" w:cs="宋体"/>
                <w:sz w:val="24"/>
                <w:szCs w:val="24"/>
                <w:highlight w:val="none"/>
                <w:lang w:eastAsia="zh-CN"/>
              </w:rPr>
              <w:t>；</w:t>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每次清洗过滤器时，清擦干净机柜内壁</w:t>
            </w:r>
            <w:r>
              <w:rPr>
                <w:rFonts w:hint="eastAsia" w:ascii="宋体" w:hAnsi="宋体" w:eastAsia="宋体" w:cs="宋体"/>
                <w:sz w:val="24"/>
                <w:szCs w:val="24"/>
                <w:highlight w:val="none"/>
                <w:lang w:eastAsia="zh-CN"/>
              </w:rPr>
              <w:t>；</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7、高效送风网罩每月清洗一次；；</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8、室内回风网视干净程度清洗，时间间隔最多不超过一个月；</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9、每半年将空气处理机组内表冷器清洗一次；</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10、每季度保养一次电机轴承，调整皮带松紧度，紧固螺丝，防止松动发现皮带起毛、裂纹及时更换；</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11、每月检查风阀位置是否变动松动，如有及时调正紧固；</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12、冷凝器每年清洗两次；</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13、配电箱、控制柜每半年清洗一次，对烧蚀的接触器开关及时更换；</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14、每月检查加、除湿系统，及时处理有关问题。对需要更换的部件及时保修；</w:t>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15、及时处理设备日常故障。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940" w:type="pct"/>
            <w:vAlign w:val="center"/>
          </w:tcPr>
          <w:p>
            <w:pPr>
              <w:spacing w:line="240" w:lineRule="auto"/>
              <w:jc w:val="center"/>
              <w:rPr>
                <w:rFonts w:hint="eastAsia" w:ascii="宋体" w:hAnsi="宋体" w:eastAsia="宋体" w:cs="宋体"/>
                <w:sz w:val="24"/>
                <w:szCs w:val="24"/>
                <w:vertAlign w:val="baseline"/>
              </w:rPr>
            </w:pPr>
            <w:r>
              <w:rPr>
                <w:rFonts w:hint="eastAsia" w:ascii="宋体" w:hAnsi="宋体" w:eastAsia="宋体" w:cs="宋体"/>
                <w:sz w:val="24"/>
                <w:szCs w:val="24"/>
                <w:highlight w:val="none"/>
                <w:lang w:val="en-GB"/>
              </w:rPr>
              <w:t>各院区空压机房、负压机房、中心供氧系统的巡视及日常维护管理</w:t>
            </w:r>
          </w:p>
        </w:tc>
        <w:tc>
          <w:tcPr>
            <w:tcW w:w="3819" w:type="pct"/>
          </w:tcPr>
          <w:p>
            <w:pPr>
              <w:rPr>
                <w:rFonts w:hint="eastAsia"/>
                <w:b/>
                <w:bCs/>
                <w:sz w:val="24"/>
                <w:szCs w:val="24"/>
                <w:lang w:val="en-US" w:eastAsia="zh-CN"/>
              </w:rPr>
            </w:pPr>
            <w:r>
              <w:rPr>
                <w:rFonts w:hint="eastAsia"/>
                <w:b/>
                <w:bCs/>
                <w:sz w:val="24"/>
                <w:szCs w:val="24"/>
                <w:lang w:val="en-US" w:eastAsia="zh-CN"/>
              </w:rPr>
              <w:t>空压、负压机房维护服务标准：</w:t>
            </w:r>
          </w:p>
          <w:p>
            <w:pPr>
              <w:rPr>
                <w:rFonts w:hint="eastAsia"/>
                <w:sz w:val="24"/>
                <w:szCs w:val="24"/>
                <w:lang w:val="en-US" w:eastAsia="zh-CN"/>
              </w:rPr>
            </w:pPr>
            <w:r>
              <w:rPr>
                <w:rFonts w:hint="eastAsia"/>
                <w:sz w:val="24"/>
                <w:szCs w:val="24"/>
                <w:lang w:val="en-US" w:eastAsia="zh-CN"/>
              </w:rPr>
              <w:t>1、负责空压站、负压站的管理工作；</w:t>
            </w:r>
          </w:p>
          <w:p>
            <w:pPr>
              <w:rPr>
                <w:rFonts w:hint="eastAsia"/>
                <w:sz w:val="24"/>
                <w:szCs w:val="24"/>
                <w:lang w:val="en-US" w:eastAsia="zh-CN"/>
              </w:rPr>
            </w:pPr>
            <w:r>
              <w:rPr>
                <w:rFonts w:hint="eastAsia"/>
                <w:sz w:val="24"/>
                <w:szCs w:val="24"/>
                <w:lang w:val="en-US" w:eastAsia="zh-CN"/>
              </w:rPr>
              <w:t>2、负责执行空压机、负压机的管理制度、维修保养计划；</w:t>
            </w:r>
          </w:p>
          <w:p>
            <w:pPr>
              <w:rPr>
                <w:rFonts w:hint="eastAsia"/>
                <w:sz w:val="24"/>
                <w:szCs w:val="24"/>
                <w:lang w:val="en-US" w:eastAsia="zh-CN"/>
              </w:rPr>
            </w:pPr>
            <w:r>
              <w:rPr>
                <w:rFonts w:hint="eastAsia"/>
                <w:sz w:val="24"/>
                <w:szCs w:val="24"/>
                <w:lang w:val="en-US" w:eastAsia="zh-CN"/>
              </w:rPr>
              <w:t>3、负责空压机、负压机日常维修、修理工作；</w:t>
            </w:r>
          </w:p>
          <w:p>
            <w:pPr>
              <w:rPr>
                <w:rFonts w:hint="eastAsia"/>
                <w:sz w:val="24"/>
                <w:szCs w:val="24"/>
                <w:lang w:val="en-US" w:eastAsia="zh-CN"/>
              </w:rPr>
            </w:pPr>
            <w:r>
              <w:rPr>
                <w:rFonts w:hint="eastAsia"/>
                <w:sz w:val="24"/>
                <w:szCs w:val="24"/>
                <w:lang w:val="en-US" w:eastAsia="zh-CN"/>
              </w:rPr>
              <w:t>4、负责检查空压机、负压机的使用运行和保养情况；</w:t>
            </w:r>
          </w:p>
          <w:p>
            <w:pPr>
              <w:rPr>
                <w:rFonts w:hint="eastAsia"/>
                <w:sz w:val="24"/>
                <w:szCs w:val="24"/>
                <w:lang w:val="en-US" w:eastAsia="zh-CN"/>
              </w:rPr>
            </w:pPr>
            <w:r>
              <w:rPr>
                <w:rFonts w:hint="eastAsia"/>
                <w:sz w:val="24"/>
                <w:szCs w:val="24"/>
                <w:lang w:val="en-US" w:eastAsia="zh-CN"/>
              </w:rPr>
              <w:t>5、负责空压机、负压机的故障、事故处理工作；</w:t>
            </w:r>
          </w:p>
          <w:p>
            <w:pPr>
              <w:rPr>
                <w:rFonts w:hint="eastAsia"/>
                <w:sz w:val="24"/>
                <w:szCs w:val="24"/>
                <w:lang w:val="en-US" w:eastAsia="zh-CN"/>
              </w:rPr>
            </w:pPr>
            <w:r>
              <w:rPr>
                <w:rFonts w:hint="eastAsia"/>
                <w:sz w:val="24"/>
                <w:szCs w:val="24"/>
                <w:lang w:val="en-US" w:eastAsia="zh-CN"/>
              </w:rPr>
              <w:t>6、负责空压机、负压机运行记录、设备检修、保养、运行故障记录，做到每周检查一次，每月最后一周进行评比总结；</w:t>
            </w:r>
          </w:p>
          <w:p>
            <w:pPr>
              <w:rPr>
                <w:rFonts w:hint="eastAsia"/>
                <w:sz w:val="24"/>
                <w:szCs w:val="24"/>
                <w:lang w:val="en-US" w:eastAsia="zh-CN"/>
              </w:rPr>
            </w:pPr>
            <w:r>
              <w:rPr>
                <w:rFonts w:hint="eastAsia"/>
                <w:sz w:val="24"/>
                <w:szCs w:val="24"/>
                <w:lang w:val="en-US" w:eastAsia="zh-CN"/>
              </w:rPr>
              <w:t>7、严格执行空压站、负压站安全操作规程和各项规章制度，精心操作，安全运行，认真填写运行记录；</w:t>
            </w:r>
          </w:p>
          <w:p>
            <w:pPr>
              <w:rPr>
                <w:rFonts w:hint="eastAsia"/>
                <w:sz w:val="24"/>
                <w:szCs w:val="24"/>
                <w:lang w:val="en-US" w:eastAsia="zh-CN"/>
              </w:rPr>
            </w:pPr>
            <w:r>
              <w:rPr>
                <w:rFonts w:hint="eastAsia"/>
                <w:sz w:val="24"/>
                <w:szCs w:val="24"/>
                <w:lang w:val="en-US" w:eastAsia="zh-CN"/>
              </w:rPr>
              <w:t>8、严格遵守劳动纪律，坚守岗位（不脱岗，不串岗），禁止酒后上班，上班期间不做与工作无关的事；</w:t>
            </w:r>
          </w:p>
          <w:p>
            <w:pPr>
              <w:rPr>
                <w:rFonts w:hint="eastAsia"/>
                <w:sz w:val="24"/>
                <w:szCs w:val="24"/>
                <w:lang w:val="en-US" w:eastAsia="zh-CN"/>
              </w:rPr>
            </w:pPr>
            <w:r>
              <w:rPr>
                <w:rFonts w:hint="eastAsia"/>
                <w:sz w:val="24"/>
                <w:szCs w:val="24"/>
                <w:lang w:val="en-US" w:eastAsia="zh-CN"/>
              </w:rPr>
              <w:t>9、发现空压站、负压站各种报警设施有异常现象危及安全时，应采取紧急措施并及时报告管理人员；</w:t>
            </w:r>
          </w:p>
          <w:p>
            <w:pPr>
              <w:rPr>
                <w:rFonts w:hint="eastAsia"/>
                <w:sz w:val="24"/>
                <w:szCs w:val="24"/>
                <w:lang w:val="en-US" w:eastAsia="zh-CN"/>
              </w:rPr>
            </w:pPr>
            <w:r>
              <w:rPr>
                <w:rFonts w:hint="eastAsia"/>
                <w:sz w:val="24"/>
                <w:szCs w:val="24"/>
                <w:lang w:val="en-US" w:eastAsia="zh-CN"/>
              </w:rPr>
              <w:t>10、在操作中必须严密监视各种仪表。认真做好空压机、负压机本体、附属设备、安全附件及仪器仪表的维护、保养，经常检查设备运行情况，保持工作场所整洁，做到安全操作，保证设备最佳运行状态；</w:t>
            </w:r>
          </w:p>
          <w:p>
            <w:pPr>
              <w:rPr>
                <w:rFonts w:hint="eastAsia"/>
                <w:sz w:val="24"/>
                <w:szCs w:val="24"/>
                <w:lang w:val="en-US" w:eastAsia="zh-CN"/>
              </w:rPr>
            </w:pPr>
            <w:r>
              <w:rPr>
                <w:rFonts w:hint="eastAsia"/>
                <w:sz w:val="24"/>
                <w:szCs w:val="24"/>
                <w:lang w:val="en-US" w:eastAsia="zh-CN"/>
              </w:rPr>
              <w:t>11、对任何危害空压站、负压站安全运行的违章指挥，应拒绝执行；</w:t>
            </w:r>
          </w:p>
          <w:p>
            <w:pPr>
              <w:rPr>
                <w:rFonts w:hint="eastAsia"/>
                <w:sz w:val="24"/>
                <w:szCs w:val="24"/>
                <w:lang w:val="en-US" w:eastAsia="zh-CN"/>
              </w:rPr>
            </w:pPr>
            <w:r>
              <w:rPr>
                <w:rFonts w:hint="eastAsia"/>
                <w:sz w:val="24"/>
                <w:szCs w:val="24"/>
                <w:lang w:val="en-US" w:eastAsia="zh-CN"/>
              </w:rPr>
              <w:t>12、遇有事故发生时不得离开岗位，要采取措施，正确迅速处理，并及时报告管理人员，不得隐瞒事故；</w:t>
            </w:r>
          </w:p>
          <w:p>
            <w:pPr>
              <w:rPr>
                <w:rFonts w:hint="eastAsia"/>
                <w:sz w:val="24"/>
                <w:szCs w:val="24"/>
                <w:lang w:val="en-US" w:eastAsia="zh-CN"/>
              </w:rPr>
            </w:pPr>
            <w:r>
              <w:rPr>
                <w:rFonts w:hint="eastAsia"/>
                <w:sz w:val="24"/>
                <w:szCs w:val="24"/>
                <w:lang w:val="en-US" w:eastAsia="zh-CN"/>
              </w:rPr>
              <w:t>13、努力学习业务知识，不断提高操作水平；</w:t>
            </w:r>
          </w:p>
          <w:p>
            <w:pPr>
              <w:rPr>
                <w:rFonts w:hint="eastAsia"/>
                <w:sz w:val="24"/>
                <w:szCs w:val="24"/>
                <w:lang w:val="en-US" w:eastAsia="zh-CN"/>
              </w:rPr>
            </w:pPr>
            <w:r>
              <w:rPr>
                <w:rFonts w:hint="eastAsia"/>
                <w:sz w:val="24"/>
                <w:szCs w:val="24"/>
                <w:lang w:val="en-US" w:eastAsia="zh-CN"/>
              </w:rPr>
              <w:t>14、操作工须认真执行相关管理制度，定时检查，做好设备运行检查记录；</w:t>
            </w:r>
          </w:p>
          <w:p>
            <w:pPr>
              <w:rPr>
                <w:rFonts w:hint="eastAsia"/>
                <w:sz w:val="24"/>
                <w:szCs w:val="24"/>
                <w:lang w:val="en-US" w:eastAsia="zh-CN"/>
              </w:rPr>
            </w:pPr>
            <w:r>
              <w:rPr>
                <w:rFonts w:hint="eastAsia"/>
                <w:sz w:val="24"/>
                <w:szCs w:val="24"/>
                <w:lang w:val="en-US" w:eastAsia="zh-CN"/>
              </w:rPr>
              <w:t>15、以预防为主，坚持日常保养与按计划维修并重，使设备处于良好的运行状态；</w:t>
            </w:r>
          </w:p>
          <w:p>
            <w:pPr>
              <w:rPr>
                <w:rFonts w:hint="eastAsia"/>
                <w:sz w:val="24"/>
                <w:szCs w:val="24"/>
                <w:lang w:val="en-US" w:eastAsia="zh-CN"/>
              </w:rPr>
            </w:pPr>
            <w:r>
              <w:rPr>
                <w:rFonts w:hint="eastAsia"/>
                <w:sz w:val="24"/>
                <w:szCs w:val="24"/>
                <w:lang w:val="en-US" w:eastAsia="zh-CN"/>
              </w:rPr>
              <w:t>16、保持现场清洁，禁止违章操作运行，严防冒、滴、漏现象。</w:t>
            </w:r>
          </w:p>
          <w:p>
            <w:pPr>
              <w:rPr>
                <w:rFonts w:hint="eastAsia"/>
                <w:b/>
                <w:bCs/>
                <w:sz w:val="24"/>
                <w:szCs w:val="24"/>
                <w:lang w:val="en-US" w:eastAsia="zh-CN"/>
              </w:rPr>
            </w:pPr>
            <w:r>
              <w:rPr>
                <w:rFonts w:hint="eastAsia"/>
                <w:b/>
                <w:bCs/>
                <w:sz w:val="24"/>
                <w:szCs w:val="24"/>
                <w:lang w:val="en-US" w:eastAsia="zh-CN"/>
              </w:rPr>
              <w:t>氧气站管理服务标准：</w:t>
            </w:r>
          </w:p>
          <w:p>
            <w:pPr>
              <w:rPr>
                <w:rFonts w:hint="eastAsia"/>
                <w:sz w:val="24"/>
                <w:szCs w:val="24"/>
                <w:lang w:val="en-US" w:eastAsia="zh-CN"/>
              </w:rPr>
            </w:pPr>
            <w:r>
              <w:rPr>
                <w:rFonts w:hint="eastAsia"/>
                <w:sz w:val="24"/>
                <w:szCs w:val="24"/>
                <w:lang w:val="en-US" w:eastAsia="zh-CN"/>
              </w:rPr>
              <w:t>（一）气瓶安全</w:t>
            </w:r>
          </w:p>
          <w:p>
            <w:pPr>
              <w:rPr>
                <w:rFonts w:hint="eastAsia"/>
                <w:sz w:val="24"/>
                <w:szCs w:val="24"/>
                <w:lang w:val="en-US" w:eastAsia="zh-CN"/>
              </w:rPr>
            </w:pPr>
            <w:r>
              <w:rPr>
                <w:rFonts w:hint="eastAsia"/>
                <w:sz w:val="24"/>
                <w:szCs w:val="24"/>
                <w:lang w:val="en-US" w:eastAsia="zh-CN"/>
              </w:rPr>
              <w:t>1、站内使用的气瓶必须有检验合格证，</w:t>
            </w:r>
            <w:r>
              <w:rPr>
                <w:rFonts w:ascii="宋体" w:hAnsi="宋体" w:eastAsia="宋体" w:cs="宋体"/>
                <w:color w:val="000000"/>
                <w:sz w:val="24"/>
              </w:rPr>
              <w:t>气瓶在搬运和使用中严禁敲击、碰撞，要轻装轻放</w:t>
            </w:r>
            <w:r>
              <w:rPr>
                <w:rFonts w:hint="eastAsia"/>
                <w:sz w:val="24"/>
                <w:szCs w:val="24"/>
                <w:lang w:val="en-US" w:eastAsia="zh-CN"/>
              </w:rPr>
              <w:t>；</w:t>
            </w:r>
          </w:p>
          <w:p>
            <w:pPr>
              <w:rPr>
                <w:rFonts w:hint="eastAsia"/>
                <w:sz w:val="24"/>
                <w:szCs w:val="24"/>
                <w:lang w:val="en-US" w:eastAsia="zh-CN"/>
              </w:rPr>
            </w:pPr>
            <w:r>
              <w:rPr>
                <w:rFonts w:hint="eastAsia"/>
                <w:sz w:val="24"/>
                <w:szCs w:val="24"/>
                <w:lang w:val="en-US" w:eastAsia="zh-CN"/>
              </w:rPr>
              <w:t>2、气瓶保持立放，戴好瓶帽，集中</w:t>
            </w:r>
            <w:r>
              <w:rPr>
                <w:rFonts w:ascii="宋体" w:hAnsi="宋体" w:eastAsia="宋体" w:cs="宋体"/>
                <w:color w:val="000000"/>
                <w:sz w:val="24"/>
              </w:rPr>
              <w:t>存放在阴凉通风处，不得暴晒，不得靠近热源，气瓶远离明火应至少10米</w:t>
            </w:r>
            <w:r>
              <w:rPr>
                <w:rFonts w:hint="eastAsia" w:ascii="宋体" w:hAnsi="宋体" w:eastAsia="宋体" w:cs="宋体"/>
                <w:color w:val="000000"/>
                <w:sz w:val="24"/>
                <w:lang w:eastAsia="zh-CN"/>
              </w:rPr>
              <w:t>，</w:t>
            </w:r>
            <w:r>
              <w:rPr>
                <w:rFonts w:hint="eastAsia"/>
                <w:sz w:val="24"/>
                <w:szCs w:val="24"/>
                <w:lang w:val="en-US" w:eastAsia="zh-CN"/>
              </w:rPr>
              <w:t>空实气瓶要分开，禁止将气瓶放在没有防护栏的高台边缘；</w:t>
            </w:r>
          </w:p>
          <w:p>
            <w:pPr>
              <w:rPr>
                <w:rFonts w:hint="eastAsia" w:ascii="宋体" w:hAnsi="宋体" w:eastAsia="宋体" w:cs="宋体"/>
                <w:color w:val="000000"/>
                <w:sz w:val="24"/>
                <w:lang w:val="en-US" w:eastAsia="zh-CN"/>
              </w:rPr>
            </w:pPr>
            <w:r>
              <w:rPr>
                <w:rFonts w:hint="eastAsia"/>
                <w:sz w:val="24"/>
                <w:szCs w:val="24"/>
                <w:lang w:val="en-US" w:eastAsia="zh-CN"/>
              </w:rPr>
              <w:t>3</w:t>
            </w:r>
            <w:r>
              <w:rPr>
                <w:rFonts w:hint="eastAsia" w:ascii="宋体" w:hAnsi="宋体" w:eastAsia="宋体" w:cs="宋体"/>
                <w:color w:val="000000"/>
                <w:sz w:val="24"/>
                <w:lang w:val="en-US" w:eastAsia="zh-CN"/>
              </w:rPr>
              <w:t>、</w:t>
            </w:r>
            <w:r>
              <w:rPr>
                <w:rFonts w:ascii="宋体" w:hAnsi="宋体" w:eastAsia="宋体" w:cs="宋体"/>
                <w:color w:val="000000"/>
                <w:sz w:val="24"/>
              </w:rPr>
              <w:t>气瓶必须保持立放，不得卧放或在地面滚动</w:t>
            </w:r>
            <w:r>
              <w:rPr>
                <w:rFonts w:hint="eastAsia" w:ascii="宋体" w:hAnsi="宋体" w:eastAsia="宋体" w:cs="宋体"/>
                <w:color w:val="000000"/>
                <w:sz w:val="24"/>
                <w:lang w:val="en-US" w:eastAsia="zh-CN"/>
              </w:rPr>
              <w:t>；</w:t>
            </w:r>
          </w:p>
          <w:p>
            <w:pPr>
              <w:rPr>
                <w:rFonts w:ascii="宋体" w:hAnsi="宋体" w:eastAsia="宋体" w:cs="宋体"/>
                <w:color w:val="000000"/>
                <w:sz w:val="24"/>
              </w:rPr>
            </w:pPr>
            <w:r>
              <w:rPr>
                <w:rFonts w:hint="eastAsia" w:ascii="宋体" w:hAnsi="宋体" w:eastAsia="宋体" w:cs="宋体"/>
                <w:color w:val="000000"/>
                <w:sz w:val="24"/>
                <w:lang w:val="en-US" w:eastAsia="zh-CN"/>
              </w:rPr>
              <w:t>4、</w:t>
            </w:r>
            <w:r>
              <w:rPr>
                <w:rFonts w:ascii="宋体" w:hAnsi="宋体" w:eastAsia="宋体" w:cs="宋体"/>
                <w:color w:val="000000"/>
                <w:sz w:val="24"/>
              </w:rPr>
              <w:t>气瓶必须经减压阀减压，不得直接放气，瓶内气体不得用尽，必须保持余压。</w:t>
            </w:r>
          </w:p>
          <w:p>
            <w:pP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5、</w:t>
            </w:r>
            <w:r>
              <w:rPr>
                <w:rFonts w:ascii="宋体" w:hAnsi="宋体" w:eastAsia="宋体" w:cs="宋体"/>
                <w:color w:val="000000"/>
                <w:sz w:val="24"/>
              </w:rPr>
              <w:t>气瓶时应缓慢开关瓶阀，关瓶阀时应用手旋紧，不得用工具硬板，防止瓶阀损坏，瓶阀冻结时严禁用火烤</w:t>
            </w:r>
            <w:r>
              <w:rPr>
                <w:rFonts w:hint="eastAsia" w:ascii="宋体" w:hAnsi="宋体" w:eastAsia="宋体" w:cs="宋体"/>
                <w:color w:val="000000"/>
                <w:sz w:val="24"/>
                <w:lang w:eastAsia="zh-CN"/>
              </w:rPr>
              <w:t>；</w:t>
            </w:r>
          </w:p>
          <w:p>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w:t>
            </w:r>
            <w:r>
              <w:rPr>
                <w:rFonts w:ascii="宋体" w:hAnsi="宋体" w:eastAsia="宋体" w:cs="宋体"/>
                <w:color w:val="000000"/>
                <w:sz w:val="24"/>
              </w:rPr>
              <w:t>气瓶</w:t>
            </w:r>
            <w:r>
              <w:rPr>
                <w:rFonts w:hint="eastAsia" w:ascii="宋体" w:hAnsi="宋体" w:eastAsia="宋体" w:cs="宋体"/>
                <w:color w:val="000000"/>
                <w:sz w:val="24"/>
                <w:lang w:eastAsia="zh-CN"/>
              </w:rPr>
              <w:t>使用</w:t>
            </w:r>
            <w:r>
              <w:rPr>
                <w:rFonts w:ascii="宋体" w:hAnsi="宋体" w:eastAsia="宋体" w:cs="宋体"/>
                <w:color w:val="000000"/>
                <w:sz w:val="24"/>
              </w:rPr>
              <w:t>时，操作人员的衣服或手套不得有油污，附近也不得存有油类，以防氧气冲出发生燃烧或爆炸。</w:t>
            </w:r>
          </w:p>
          <w:p>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7、严禁在气瓶上进行电焊引弧；</w:t>
            </w:r>
          </w:p>
          <w:p>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8、严禁在站内进行气瓶充装。</w:t>
            </w:r>
          </w:p>
          <w:p>
            <w:pPr>
              <w:rPr>
                <w:rFonts w:hint="eastAsia"/>
                <w:sz w:val="24"/>
                <w:szCs w:val="24"/>
                <w:lang w:val="en-US" w:eastAsia="zh-CN"/>
              </w:rPr>
            </w:pPr>
            <w:r>
              <w:rPr>
                <w:rFonts w:hint="eastAsia"/>
                <w:sz w:val="24"/>
                <w:szCs w:val="24"/>
                <w:lang w:val="en-US" w:eastAsia="zh-CN"/>
              </w:rPr>
              <w:t>（二）液氧罐安全</w:t>
            </w:r>
          </w:p>
          <w:p>
            <w:pPr>
              <w:rPr>
                <w:rFonts w:hint="eastAsia" w:ascii="宋体" w:hAnsi="宋体" w:eastAsia="宋体" w:cs="宋体"/>
                <w:color w:val="000000"/>
                <w:sz w:val="24"/>
                <w:lang w:val="en-US" w:eastAsia="zh-CN"/>
              </w:rPr>
            </w:pPr>
            <w:r>
              <w:rPr>
                <w:rFonts w:hint="eastAsia"/>
                <w:sz w:val="24"/>
                <w:szCs w:val="24"/>
                <w:lang w:val="en-US" w:eastAsia="zh-CN"/>
              </w:rPr>
              <w:t>1</w:t>
            </w:r>
            <w:r>
              <w:rPr>
                <w:rFonts w:hint="eastAsia" w:ascii="宋体" w:hAnsi="宋体" w:eastAsia="宋体" w:cs="宋体"/>
                <w:color w:val="000000"/>
                <w:sz w:val="24"/>
                <w:lang w:val="en-US" w:eastAsia="zh-CN"/>
              </w:rPr>
              <w:t>、液氧为低温液化气体，要避免冷灼伤；</w:t>
            </w:r>
          </w:p>
          <w:p>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2、液氧罐周边5米范围内严禁烟火；</w:t>
            </w:r>
          </w:p>
          <w:p>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3、定期检查各阀门、仪表、安全装置；设备上的阀门、仪表、管道连接处被冻结时严禁用铁锤敲打或明火加热；</w:t>
            </w:r>
          </w:p>
          <w:p>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4、储存</w:t>
            </w:r>
            <w:r>
              <w:rPr>
                <w:rFonts w:ascii="宋体" w:hAnsi="宋体" w:eastAsia="宋体" w:cs="宋体"/>
                <w:color w:val="000000"/>
                <w:sz w:val="24"/>
              </w:rPr>
              <w:t>安全</w:t>
            </w:r>
            <w:r>
              <w:rPr>
                <w:rFonts w:hint="eastAsia" w:ascii="宋体" w:hAnsi="宋体" w:eastAsia="宋体" w:cs="宋体"/>
                <w:color w:val="000000"/>
                <w:sz w:val="24"/>
                <w:lang w:eastAsia="zh-CN"/>
              </w:rPr>
              <w:t>的</w:t>
            </w:r>
            <w:r>
              <w:rPr>
                <w:rFonts w:ascii="宋体" w:hAnsi="宋体" w:eastAsia="宋体" w:cs="宋体"/>
                <w:color w:val="000000"/>
                <w:sz w:val="24"/>
              </w:rPr>
              <w:t>要求，请按JB6898《</w:t>
            </w:r>
            <w:r>
              <w:rPr>
                <w:rFonts w:hint="eastAsia" w:ascii="宋体" w:hAnsi="宋体" w:eastAsia="宋体" w:cs="宋体"/>
                <w:color w:val="000000"/>
                <w:sz w:val="24"/>
              </w:rPr>
              <w:t>低温</w:t>
            </w:r>
            <w:r>
              <w:rPr>
                <w:rFonts w:ascii="宋体" w:hAnsi="宋体" w:eastAsia="宋体" w:cs="宋体"/>
                <w:color w:val="000000"/>
                <w:sz w:val="24"/>
              </w:rPr>
              <w:t>液体贮运设备使用安全规则》及有关规定执行。</w:t>
            </w:r>
          </w:p>
          <w:p>
            <w:pPr>
              <w:rPr>
                <w:rFonts w:hint="eastAsia"/>
                <w:sz w:val="24"/>
                <w:szCs w:val="24"/>
                <w:lang w:val="en-US" w:eastAsia="zh-CN"/>
              </w:rPr>
            </w:pPr>
            <w:r>
              <w:rPr>
                <w:rFonts w:hint="eastAsia"/>
                <w:sz w:val="24"/>
                <w:szCs w:val="24"/>
                <w:lang w:val="en-US" w:eastAsia="zh-CN"/>
              </w:rPr>
              <w:t>（三）火灾防范</w:t>
            </w:r>
          </w:p>
          <w:p>
            <w:pPr>
              <w:rPr>
                <w:rFonts w:hint="eastAsia"/>
                <w:sz w:val="24"/>
                <w:szCs w:val="24"/>
                <w:lang w:val="en-US" w:eastAsia="zh-CN"/>
              </w:rPr>
            </w:pPr>
            <w:r>
              <w:rPr>
                <w:rFonts w:hint="eastAsia"/>
                <w:sz w:val="24"/>
                <w:szCs w:val="24"/>
                <w:lang w:val="en-US" w:eastAsia="zh-CN"/>
              </w:rPr>
              <w:t>1、站内必须做到三严：严禁站内吸烟、严禁气瓶接触油脂，严禁各种明火；</w:t>
            </w:r>
          </w:p>
          <w:p>
            <w:pPr>
              <w:rPr>
                <w:rFonts w:hint="eastAsia"/>
                <w:sz w:val="24"/>
                <w:szCs w:val="24"/>
                <w:lang w:val="en-US" w:eastAsia="zh-CN"/>
              </w:rPr>
            </w:pPr>
            <w:r>
              <w:rPr>
                <w:rFonts w:hint="eastAsia"/>
                <w:sz w:val="24"/>
                <w:szCs w:val="24"/>
                <w:lang w:val="en-US" w:eastAsia="zh-CN"/>
              </w:rPr>
              <w:t>2、未经后勤保障处和保卫处批准，不得擅自动火；</w:t>
            </w:r>
          </w:p>
          <w:p>
            <w:pPr>
              <w:rPr>
                <w:rFonts w:hint="eastAsia"/>
                <w:sz w:val="24"/>
                <w:szCs w:val="24"/>
                <w:lang w:val="en-US" w:eastAsia="zh-CN"/>
              </w:rPr>
            </w:pPr>
            <w:r>
              <w:rPr>
                <w:rFonts w:hint="eastAsia"/>
                <w:sz w:val="24"/>
                <w:szCs w:val="24"/>
                <w:lang w:val="en-US" w:eastAsia="zh-CN"/>
              </w:rPr>
              <w:t>3、保证消防通道畅通，站内不得堆放杂物，不得存放油脂和可燃物；</w:t>
            </w:r>
          </w:p>
          <w:p>
            <w:pPr>
              <w:rPr>
                <w:rFonts w:hint="eastAsia"/>
                <w:sz w:val="24"/>
                <w:szCs w:val="24"/>
                <w:lang w:val="en-US" w:eastAsia="zh-CN"/>
              </w:rPr>
            </w:pPr>
            <w:r>
              <w:rPr>
                <w:rFonts w:hint="eastAsia"/>
                <w:sz w:val="24"/>
                <w:szCs w:val="24"/>
                <w:lang w:val="en-US" w:eastAsia="zh-CN"/>
              </w:rPr>
              <w:t>4、消防器材要配备充分，要定期检查保证完好；</w:t>
            </w:r>
          </w:p>
          <w:p>
            <w:pPr>
              <w:rPr>
                <w:rFonts w:hint="eastAsia"/>
                <w:lang w:val="en-US" w:eastAsia="zh-CN"/>
              </w:rPr>
            </w:pPr>
            <w:r>
              <w:rPr>
                <w:rFonts w:hint="eastAsia"/>
                <w:sz w:val="24"/>
                <w:szCs w:val="24"/>
                <w:lang w:val="en-US" w:eastAsia="zh-CN"/>
              </w:rPr>
              <w:t>5、站内职工必须做到三会：会使用消防器材、会处理一般事故、会报火警。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11</w:t>
            </w:r>
          </w:p>
        </w:tc>
        <w:tc>
          <w:tcPr>
            <w:tcW w:w="940" w:type="pct"/>
            <w:vAlign w:val="center"/>
          </w:tcPr>
          <w:p>
            <w:pPr>
              <w:spacing w:line="240" w:lineRule="auto"/>
              <w:jc w:val="center"/>
              <w:rPr>
                <w:rFonts w:hint="eastAsia" w:ascii="宋体" w:hAnsi="宋体" w:eastAsia="宋体" w:cs="宋体"/>
                <w:sz w:val="24"/>
                <w:szCs w:val="24"/>
                <w:vertAlign w:val="baseline"/>
              </w:rPr>
            </w:pPr>
            <w:r>
              <w:rPr>
                <w:rFonts w:hint="eastAsia" w:ascii="宋体" w:hAnsi="宋体" w:eastAsia="宋体" w:cs="宋体"/>
                <w:sz w:val="24"/>
                <w:szCs w:val="24"/>
                <w:highlight w:val="none"/>
                <w:lang w:val="en-GB"/>
              </w:rPr>
              <w:t>各院区太阳能及热水系统的维护、维修、保养及日常管理</w:t>
            </w:r>
          </w:p>
        </w:tc>
        <w:tc>
          <w:tcPr>
            <w:tcW w:w="3819" w:type="pct"/>
          </w:tcPr>
          <w:p>
            <w:pPr>
              <w:numPr>
                <w:ilvl w:val="0"/>
                <w:numId w:val="6"/>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季节交替时要及时对太阳能进行检查，防止上冻或集热器过热</w:t>
            </w:r>
          </w:p>
          <w:p>
            <w:pPr>
              <w:pStyle w:val="9"/>
              <w:numPr>
                <w:ilvl w:val="0"/>
                <w:numId w:val="6"/>
              </w:numPr>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定期对太阳能集热器进行清灰、清洗。</w:t>
            </w:r>
          </w:p>
          <w:p>
            <w:pPr>
              <w:pStyle w:val="9"/>
              <w:numPr>
                <w:ilvl w:val="0"/>
                <w:numId w:val="6"/>
              </w:numPr>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定期检查贮水箱的密封性和保温层，如果发现密封性遭到破坏，应及时修补。</w:t>
            </w:r>
          </w:p>
          <w:p>
            <w:pPr>
              <w:pStyle w:val="9"/>
              <w:numPr>
                <w:ilvl w:val="0"/>
                <w:numId w:val="6"/>
              </w:numPr>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定期检查贮水箱的补水阀、安全阀、液位控制器和排气装置工作是否正常，防止空气进入系统。</w:t>
            </w:r>
          </w:p>
          <w:p>
            <w:pPr>
              <w:pStyle w:val="9"/>
              <w:numPr>
                <w:ilvl w:val="0"/>
                <w:numId w:val="6"/>
              </w:numPr>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定期检查是否有异物进入贮水箱，防止循环管道被堵塞。</w:t>
            </w:r>
          </w:p>
          <w:p>
            <w:pPr>
              <w:pStyle w:val="9"/>
              <w:numPr>
                <w:ilvl w:val="0"/>
                <w:numId w:val="6"/>
              </w:numPr>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定期清除贮水箱内的水垢。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12</w:t>
            </w:r>
          </w:p>
        </w:tc>
        <w:tc>
          <w:tcPr>
            <w:tcW w:w="940" w:type="pct"/>
            <w:vAlign w:val="center"/>
          </w:tcPr>
          <w:p>
            <w:pPr>
              <w:spacing w:line="240" w:lineRule="auto"/>
              <w:jc w:val="center"/>
              <w:rPr>
                <w:rFonts w:hint="eastAsia" w:ascii="宋体" w:hAnsi="宋体" w:eastAsia="宋体" w:cs="宋体"/>
                <w:sz w:val="24"/>
                <w:szCs w:val="24"/>
                <w:highlight w:val="none"/>
                <w:lang w:val="en-GB"/>
              </w:rPr>
            </w:pPr>
            <w:r>
              <w:rPr>
                <w:rFonts w:hint="eastAsia" w:ascii="宋体" w:hAnsi="宋体" w:eastAsia="宋体" w:cs="宋体"/>
                <w:sz w:val="24"/>
                <w:szCs w:val="24"/>
                <w:highlight w:val="none"/>
                <w:lang w:val="en-US" w:eastAsia="zh-CN"/>
              </w:rPr>
              <w:t>各院区公共区域内所有设施（包含但不仅限于：卫生间隔断、卫生洁具、无障碍设施、扶手、护栏、窗帘轨道、厨房设施等）</w:t>
            </w:r>
          </w:p>
        </w:tc>
        <w:tc>
          <w:tcPr>
            <w:tcW w:w="3819" w:type="pct"/>
            <w:vAlign w:val="center"/>
          </w:tcPr>
          <w:p>
            <w:pPr>
              <w:pStyle w:val="9"/>
              <w:numPr>
                <w:ilvl w:val="0"/>
                <w:numId w:val="0"/>
              </w:numPr>
              <w:ind w:left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各楼层管道、阀门、角阀、门把手、锁体、锁芯、门禁、低压电器、各楼层开关、各种灯具、医疗垃圾箱、垃圾车、消毒器新、电动门、手动门、厕所疏通、顶板维修、护栏维护、纱窗维护、卫生洁具维护、临时应急抢修、各楼层空调滤网清洗、净化空调初效中效过滤清洗更换、污水站管理、补水泵维护管理、老院区所有维修维护、分院所有维修维护、配电室正常维护管理、各楼层门窗维护维修、净化水、泵房、负压室、氧气站正常维护管理及专人值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13</w:t>
            </w:r>
          </w:p>
        </w:tc>
        <w:tc>
          <w:tcPr>
            <w:tcW w:w="940" w:type="pct"/>
            <w:vAlign w:val="center"/>
          </w:tcPr>
          <w:p>
            <w:pPr>
              <w:spacing w:line="240" w:lineRule="auto"/>
              <w:jc w:val="center"/>
              <w:rPr>
                <w:rFonts w:hint="eastAsia" w:ascii="宋体" w:hAnsi="宋体" w:eastAsia="宋体" w:cs="宋体"/>
                <w:sz w:val="24"/>
                <w:szCs w:val="24"/>
                <w:highlight w:val="none"/>
                <w:lang w:val="en-GB"/>
              </w:rPr>
            </w:pPr>
            <w:r>
              <w:rPr>
                <w:rFonts w:hint="eastAsia" w:ascii="宋体" w:hAnsi="宋体" w:eastAsia="宋体" w:cs="宋体"/>
                <w:sz w:val="24"/>
                <w:szCs w:val="24"/>
                <w:highlight w:val="none"/>
                <w:lang w:val="en-GB" w:eastAsia="zh-CN"/>
              </w:rPr>
              <w:t>各院内零星修缮</w:t>
            </w:r>
          </w:p>
        </w:tc>
        <w:tc>
          <w:tcPr>
            <w:tcW w:w="3819" w:type="pct"/>
          </w:tcPr>
          <w:p>
            <w:pPr>
              <w:keepNext w:val="0"/>
              <w:keepLines w:val="0"/>
              <w:pageBreakBefore w:val="0"/>
              <w:widowControl w:val="0"/>
              <w:numPr>
                <w:ilvl w:val="0"/>
                <w:numId w:val="0"/>
              </w:numPr>
              <w:kinsoku/>
              <w:wordWrap/>
              <w:overflowPunct/>
              <w:topLinePunct w:val="0"/>
              <w:autoSpaceDE/>
              <w:autoSpaceDN/>
              <w:bidi w:val="0"/>
              <w:spacing w:line="240" w:lineRule="auto"/>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w:t>
            </w:r>
            <w:r>
              <w:rPr>
                <w:rFonts w:hint="eastAsia" w:ascii="宋体" w:hAnsi="宋体" w:eastAsia="宋体" w:cs="宋体"/>
                <w:kern w:val="2"/>
                <w:sz w:val="24"/>
                <w:szCs w:val="24"/>
                <w:lang w:val="en-US" w:eastAsia="zh-CN" w:bidi="ar-SA"/>
              </w:rPr>
              <w:t xml:space="preserve">、建筑类维修范围：医院所有业务用房、辅助用房及其它房屋建筑类的墙面、顶棚、地面（含卫生间局部堵漏）、门窗、室内家具、设备设施，室外道路、广场、围墙、排水沟盖、花坛等局部维修； </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2、排污疏通维护、维修范围：排水排污管道、沟槽疏通、清淤；排水排污系统设施维修；化粪池清淤；污水抽排及排水泵等设备维护维修及零配件更换等。</w:t>
            </w:r>
          </w:p>
          <w:p>
            <w:pPr>
              <w:pStyle w:val="9"/>
              <w:numPr>
                <w:ilvl w:val="0"/>
                <w:numId w:val="0"/>
              </w:numPr>
              <w:ind w:left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3、水、电、暖、办公家具、不锈钢器械、院领导临时交待的应急修缮零星工程。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 w:type="pct"/>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14</w:t>
            </w:r>
          </w:p>
        </w:tc>
        <w:tc>
          <w:tcPr>
            <w:tcW w:w="940" w:type="pct"/>
            <w:vAlign w:val="center"/>
          </w:tcPr>
          <w:p>
            <w:pPr>
              <w:spacing w:line="240" w:lineRule="auto"/>
              <w:jc w:val="center"/>
              <w:rPr>
                <w:rFonts w:hint="eastAsia" w:ascii="宋体" w:hAnsi="宋体" w:eastAsia="宋体" w:cs="宋体"/>
                <w:sz w:val="24"/>
                <w:szCs w:val="24"/>
                <w:highlight w:val="none"/>
                <w:lang w:val="en-GB"/>
              </w:rPr>
            </w:pPr>
            <w:r>
              <w:rPr>
                <w:rFonts w:hint="eastAsia" w:ascii="宋体" w:hAnsi="宋体" w:eastAsia="宋体" w:cs="宋体"/>
                <w:sz w:val="24"/>
                <w:szCs w:val="24"/>
                <w:highlight w:val="none"/>
                <w:lang w:val="en-GB" w:eastAsia="zh-CN"/>
              </w:rPr>
              <w:t>绿化养护</w:t>
            </w:r>
          </w:p>
        </w:tc>
        <w:tc>
          <w:tcPr>
            <w:tcW w:w="3819" w:type="pct"/>
          </w:tcPr>
          <w:p>
            <w:pPr>
              <w:numPr>
                <w:ilvl w:val="0"/>
                <w:numId w:val="0"/>
              </w:numPr>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1、树木养护：</w:t>
            </w:r>
            <w:r>
              <w:rPr>
                <w:rFonts w:hint="eastAsia" w:ascii="宋体" w:hAnsi="宋体" w:eastAsia="宋体" w:cs="宋体"/>
                <w:sz w:val="24"/>
                <w:szCs w:val="24"/>
                <w:lang w:val="en-US" w:eastAsia="zh-CN"/>
              </w:rPr>
              <w:t xml:space="preserve"> </w:t>
            </w:r>
          </w:p>
          <w:p>
            <w:pPr>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（1）乔木：树冠完整、茂盛，修剪合理，具有一定的遮荫及观赏效果；基本无长枝、病虫枝、枯枝、伤损枝、碰线枝；及时抹芽，对树木要控制倾斜度，并逐渐扶正，及时清除树穴内杂草。</w:t>
            </w:r>
          </w:p>
          <w:p>
            <w:pPr>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（2）花灌木：根据花灌木品种生长习性进行修剪，确保花繁叶茂。基本无枯枝败叶，无修后枝叶残存或散落不清。</w:t>
            </w:r>
          </w:p>
          <w:p>
            <w:pPr>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（3）模纹：植物生长茂盛，修剪及时、整齐，无新增缺株断档，无明显杂草。</w:t>
            </w:r>
          </w:p>
          <w:p>
            <w:pPr>
              <w:numPr>
                <w:ilvl w:val="0"/>
                <w:numId w:val="0"/>
              </w:num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2、草坪养护 ：</w:t>
            </w:r>
          </w:p>
          <w:p>
            <w:pPr>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草坪修剪及时，杂草高度不超过草坪高度，草坪高度控制在 10-15cm，草坪纯净度不低于 95%，及时清除修剪下的叶片，无新裸露地面，无成片黄叶；无明显人为损害现象；及时浇水和排水，保证草坪生长茂盛。</w:t>
            </w:r>
          </w:p>
          <w:p>
            <w:pPr>
              <w:numPr>
                <w:ilvl w:val="0"/>
                <w:numId w:val="0"/>
              </w:numPr>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3、病虫害防治</w:t>
            </w:r>
            <w:r>
              <w:rPr>
                <w:rFonts w:hint="eastAsia" w:ascii="宋体" w:hAnsi="宋体" w:eastAsia="宋体" w:cs="宋体"/>
                <w:sz w:val="24"/>
                <w:szCs w:val="24"/>
                <w:lang w:val="en-US" w:eastAsia="zh-CN"/>
              </w:rPr>
              <w:t xml:space="preserve">： </w:t>
            </w:r>
          </w:p>
          <w:p>
            <w:pPr>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病虫害及时防治和控制病虫害的发生，用药配比正确，操作安全，喷药均匀，不发生药害事故。</w:t>
            </w:r>
          </w:p>
          <w:p>
            <w:pPr>
              <w:numPr>
                <w:ilvl w:val="0"/>
                <w:numId w:val="0"/>
              </w:numPr>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4、卫生标准：</w:t>
            </w:r>
            <w:r>
              <w:rPr>
                <w:rFonts w:hint="eastAsia" w:ascii="宋体" w:hAnsi="宋体" w:eastAsia="宋体" w:cs="宋体"/>
                <w:sz w:val="24"/>
                <w:szCs w:val="24"/>
                <w:lang w:val="en-US" w:eastAsia="zh-CN"/>
              </w:rPr>
              <w:t xml:space="preserve"> </w:t>
            </w:r>
          </w:p>
          <w:p>
            <w:pPr>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绿地及附属设施整洁，地面卫生，无垃圾杂物，无白色漂浮物等附着物。绿地内无菜地，绿地内无焚烧垃圾现象。</w:t>
            </w:r>
          </w:p>
          <w:p>
            <w:pPr>
              <w:numPr>
                <w:ilvl w:val="0"/>
                <w:numId w:val="0"/>
              </w:numPr>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5、管理标准：</w:t>
            </w:r>
            <w:r>
              <w:rPr>
                <w:rFonts w:hint="eastAsia" w:ascii="宋体" w:hAnsi="宋体" w:eastAsia="宋体" w:cs="宋体"/>
                <w:sz w:val="24"/>
                <w:szCs w:val="24"/>
                <w:lang w:val="en-US" w:eastAsia="zh-CN"/>
              </w:rPr>
              <w:t xml:space="preserve"> </w:t>
            </w:r>
          </w:p>
          <w:p>
            <w:pPr>
              <w:numPr>
                <w:ilvl w:val="0"/>
                <w:numId w:val="0"/>
              </w:numP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需及时完成采购人交办的临时任务或重大活动时交办的任务；无违章占绿，无违法建设。</w:t>
            </w:r>
          </w:p>
        </w:tc>
      </w:tr>
    </w:tbl>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241" w:firstLineChars="100"/>
        <w:textAlignment w:val="auto"/>
        <w:outlineLvl w:val="2"/>
        <w:rPr>
          <w:rFonts w:hint="eastAsia" w:ascii="宋体" w:hAnsi="宋体" w:eastAsia="宋体" w:cs="宋体"/>
          <w:b/>
          <w:bCs/>
          <w:sz w:val="24"/>
          <w:szCs w:val="24"/>
          <w:highlight w:val="none"/>
          <w:lang w:val="en-US" w:eastAsia="zh-CN"/>
        </w:rPr>
      </w:pPr>
      <w:bookmarkStart w:id="155" w:name="_Toc1326"/>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lang w:val="en-GB" w:eastAsia="zh-CN"/>
        </w:rPr>
        <w:t>、</w:t>
      </w:r>
      <w:r>
        <w:rPr>
          <w:rFonts w:hint="eastAsia" w:ascii="宋体" w:hAnsi="宋体" w:eastAsia="宋体" w:cs="宋体"/>
          <w:b/>
          <w:bCs/>
          <w:sz w:val="24"/>
          <w:szCs w:val="24"/>
          <w:highlight w:val="none"/>
          <w:lang w:val="en-US" w:eastAsia="zh-CN"/>
        </w:rPr>
        <w:t>总体工作要求：</w:t>
      </w:r>
      <w:bookmarkEnd w:id="155"/>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1.具备</w:t>
      </w:r>
      <w:r>
        <w:rPr>
          <w:rFonts w:hint="eastAsia" w:ascii="宋体" w:hAnsi="宋体" w:cs="宋体"/>
          <w:sz w:val="24"/>
          <w:szCs w:val="24"/>
          <w:highlight w:val="none"/>
          <w:lang w:val="en-US" w:eastAsia="zh-CN"/>
        </w:rPr>
        <w:t>相关</w:t>
      </w:r>
      <w:r>
        <w:rPr>
          <w:rFonts w:hint="default" w:ascii="宋体" w:hAnsi="宋体" w:eastAsia="宋体" w:cs="宋体"/>
          <w:sz w:val="24"/>
          <w:szCs w:val="24"/>
          <w:highlight w:val="none"/>
          <w:lang w:val="en-US" w:eastAsia="zh-CN"/>
        </w:rPr>
        <w:t>实际管理经验。有相当的经济和抗风险能力。具有较高管理水平的管理团队(管理人员必须长期固定，不得频繁更换)，实行标准化和制度化管理，各项工作都能做到有计划、有措施、有落实、有监督。</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2、须具备相当水平的业务技术能力(包括人员和机器设备)。特别是针对医院现实需求，技术岗位人员必须持证上岗</w:t>
      </w:r>
      <w:r>
        <w:rPr>
          <w:rFonts w:hint="eastAsia" w:ascii="宋体" w:hAnsi="宋体" w:cs="宋体"/>
          <w:sz w:val="24"/>
          <w:szCs w:val="24"/>
          <w:highlight w:val="none"/>
          <w:lang w:val="en-US" w:eastAsia="zh-CN"/>
        </w:rPr>
        <w:t>；</w:t>
      </w:r>
      <w:r>
        <w:rPr>
          <w:rFonts w:hint="default" w:ascii="宋体" w:hAnsi="宋体" w:eastAsia="宋体" w:cs="宋体"/>
          <w:sz w:val="24"/>
          <w:szCs w:val="24"/>
          <w:highlight w:val="none"/>
          <w:lang w:val="en-US" w:eastAsia="zh-CN"/>
        </w:rPr>
        <w:t>夜间应急服务及时到位。</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lang w:val="en-US" w:eastAsia="zh-CN"/>
        </w:rPr>
      </w:pPr>
      <w:r>
        <w:rPr>
          <w:rFonts w:hint="default" w:ascii="宋体" w:hAnsi="宋体" w:eastAsia="宋体" w:cs="宋体"/>
          <w:sz w:val="24"/>
          <w:szCs w:val="24"/>
          <w:highlight w:val="none"/>
          <w:lang w:val="en-US" w:eastAsia="zh-CN"/>
        </w:rPr>
        <w:t>3、须实行信息化管理，建立一站式服务平台，及时接收、掌控工作信息，迅速做出反应，及时解决各种问题，充分提高病人满意度，积极维护医院形象。</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241" w:firstLineChars="100"/>
        <w:textAlignment w:val="auto"/>
        <w:outlineLvl w:val="2"/>
        <w:rPr>
          <w:rFonts w:hint="eastAsia" w:ascii="宋体" w:hAnsi="宋体" w:eastAsia="宋体" w:cs="宋体"/>
          <w:b/>
          <w:bCs/>
          <w:sz w:val="24"/>
          <w:szCs w:val="24"/>
          <w:highlight w:val="none"/>
          <w:lang w:val="en-GB" w:eastAsia="zh-CN"/>
        </w:rPr>
      </w:pPr>
      <w:bookmarkStart w:id="156" w:name="_Toc7487"/>
      <w:r>
        <w:rPr>
          <w:rFonts w:hint="eastAsia" w:ascii="宋体" w:hAnsi="宋体" w:eastAsia="宋体" w:cs="宋体"/>
          <w:b/>
          <w:bCs/>
          <w:sz w:val="24"/>
          <w:szCs w:val="24"/>
          <w:highlight w:val="none"/>
          <w:lang w:val="en-US" w:eastAsia="zh-CN"/>
        </w:rPr>
        <w:t>四、</w:t>
      </w:r>
      <w:r>
        <w:rPr>
          <w:rFonts w:hint="eastAsia" w:ascii="宋体" w:hAnsi="宋体" w:eastAsia="宋体" w:cs="宋体"/>
          <w:b/>
          <w:bCs/>
          <w:sz w:val="24"/>
          <w:szCs w:val="24"/>
          <w:highlight w:val="none"/>
          <w:lang w:val="en-GB" w:eastAsia="zh-CN"/>
        </w:rPr>
        <w:t>零配件</w:t>
      </w:r>
      <w:r>
        <w:rPr>
          <w:rFonts w:hint="eastAsia" w:ascii="宋体" w:hAnsi="宋体" w:eastAsia="宋体" w:cs="宋体"/>
          <w:b/>
          <w:bCs/>
          <w:sz w:val="24"/>
          <w:szCs w:val="24"/>
          <w:highlight w:val="none"/>
          <w:lang w:val="en-US" w:eastAsia="zh-CN"/>
        </w:rPr>
        <w:t>更换</w:t>
      </w:r>
      <w:r>
        <w:rPr>
          <w:rFonts w:hint="eastAsia" w:ascii="宋体" w:hAnsi="宋体" w:eastAsia="宋体" w:cs="宋体"/>
          <w:b/>
          <w:bCs/>
          <w:sz w:val="24"/>
          <w:szCs w:val="24"/>
          <w:highlight w:val="none"/>
          <w:lang w:val="en-GB" w:eastAsia="zh-CN"/>
        </w:rPr>
        <w:t>要求</w:t>
      </w:r>
      <w:bookmarkEnd w:id="156"/>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GB" w:eastAsia="zh-CN"/>
        </w:rPr>
        <w:t>1、</w:t>
      </w:r>
      <w:r>
        <w:rPr>
          <w:rFonts w:hint="eastAsia" w:ascii="宋体" w:hAnsi="宋体" w:cs="宋体"/>
          <w:sz w:val="24"/>
          <w:szCs w:val="24"/>
          <w:highlight w:val="none"/>
          <w:lang w:val="en-US" w:eastAsia="zh-CN"/>
        </w:rPr>
        <w:t>所有维修更换的零配件均有采购人提供</w:t>
      </w:r>
      <w:r>
        <w:rPr>
          <w:rFonts w:hint="eastAsia" w:ascii="宋体" w:hAnsi="宋体" w:eastAsia="宋体" w:cs="宋体"/>
          <w:sz w:val="24"/>
          <w:szCs w:val="24"/>
          <w:highlight w:val="none"/>
          <w:lang w:val="en-US" w:eastAsia="zh-CN"/>
        </w:rPr>
        <w:t>。</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GB" w:eastAsia="zh-CN"/>
        </w:rPr>
        <w:t>2、</w:t>
      </w:r>
      <w:r>
        <w:rPr>
          <w:rFonts w:hint="eastAsia" w:ascii="宋体" w:hAnsi="宋体" w:cs="宋体"/>
          <w:sz w:val="24"/>
          <w:szCs w:val="24"/>
          <w:highlight w:val="none"/>
          <w:lang w:val="en-US" w:eastAsia="zh-CN"/>
        </w:rPr>
        <w:t>零配件的领用更换应做好台账，每月统计汇报</w:t>
      </w:r>
      <w:r>
        <w:rPr>
          <w:rFonts w:hint="eastAsia" w:ascii="宋体" w:hAnsi="宋体" w:eastAsia="宋体" w:cs="宋体"/>
          <w:sz w:val="24"/>
          <w:szCs w:val="24"/>
          <w:highlight w:val="none"/>
          <w:lang w:val="en-US" w:eastAsia="zh-CN"/>
        </w:rPr>
        <w:t>。</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GB" w:eastAsia="zh-CN"/>
        </w:rPr>
        <w:t>、服务期内维修人工技术服务不限次数</w:t>
      </w:r>
      <w:r>
        <w:rPr>
          <w:rFonts w:hint="eastAsia" w:ascii="宋体" w:hAnsi="宋体" w:cs="宋体"/>
          <w:sz w:val="24"/>
          <w:szCs w:val="24"/>
          <w:highlight w:val="none"/>
          <w:lang w:val="en-GB" w:eastAsia="zh-CN"/>
        </w:rPr>
        <w:t>，</w:t>
      </w:r>
      <w:r>
        <w:rPr>
          <w:rFonts w:hint="eastAsia" w:ascii="宋体" w:hAnsi="宋体" w:eastAsia="宋体" w:cs="宋体"/>
          <w:sz w:val="24"/>
          <w:szCs w:val="24"/>
          <w:highlight w:val="none"/>
          <w:lang w:val="en-GB" w:eastAsia="zh-CN"/>
        </w:rPr>
        <w:t>医院后勤部管理的全部</w:t>
      </w:r>
      <w:r>
        <w:rPr>
          <w:rFonts w:hint="eastAsia" w:ascii="宋体" w:hAnsi="宋体" w:cs="宋体"/>
          <w:sz w:val="24"/>
          <w:szCs w:val="24"/>
          <w:highlight w:val="none"/>
          <w:lang w:val="en-US" w:eastAsia="zh-CN"/>
        </w:rPr>
        <w:t>基础设施</w:t>
      </w:r>
      <w:r>
        <w:rPr>
          <w:rFonts w:hint="eastAsia" w:ascii="宋体" w:hAnsi="宋体" w:eastAsia="宋体" w:cs="宋体"/>
          <w:sz w:val="24"/>
          <w:szCs w:val="24"/>
          <w:highlight w:val="none"/>
          <w:lang w:val="en-GB" w:eastAsia="zh-CN"/>
        </w:rPr>
        <w:t>及附属的零配件均由维保单位维修或更换。</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241" w:firstLineChars="100"/>
        <w:textAlignment w:val="auto"/>
        <w:outlineLvl w:val="2"/>
        <w:rPr>
          <w:rFonts w:hint="eastAsia" w:ascii="宋体" w:hAnsi="宋体" w:eastAsia="宋体" w:cs="宋体"/>
          <w:b/>
          <w:bCs/>
          <w:sz w:val="24"/>
          <w:szCs w:val="24"/>
          <w:highlight w:val="none"/>
          <w:lang w:val="en-US" w:eastAsia="zh-CN"/>
        </w:rPr>
      </w:pPr>
      <w:bookmarkStart w:id="157" w:name="_Toc21391"/>
      <w:r>
        <w:rPr>
          <w:rFonts w:hint="eastAsia" w:ascii="宋体" w:hAnsi="宋体" w:eastAsia="宋体" w:cs="宋体"/>
          <w:b/>
          <w:bCs/>
          <w:sz w:val="24"/>
          <w:szCs w:val="24"/>
          <w:highlight w:val="none"/>
          <w:lang w:val="en-US" w:eastAsia="zh-CN"/>
        </w:rPr>
        <w:t>五、</w:t>
      </w:r>
      <w:r>
        <w:rPr>
          <w:rFonts w:hint="eastAsia" w:ascii="宋体" w:hAnsi="宋体" w:eastAsia="宋体" w:cs="宋体"/>
          <w:b/>
          <w:bCs/>
          <w:sz w:val="24"/>
          <w:szCs w:val="24"/>
          <w:highlight w:val="none"/>
          <w:lang w:val="en-GB" w:eastAsia="zh-CN"/>
        </w:rPr>
        <w:t>维保</w:t>
      </w:r>
      <w:r>
        <w:rPr>
          <w:rFonts w:hint="eastAsia" w:ascii="宋体" w:hAnsi="宋体" w:eastAsia="宋体" w:cs="宋体"/>
          <w:b/>
          <w:bCs/>
          <w:sz w:val="24"/>
          <w:szCs w:val="24"/>
          <w:highlight w:val="none"/>
          <w:lang w:val="en-US" w:eastAsia="zh-CN"/>
        </w:rPr>
        <w:t>服务</w:t>
      </w:r>
      <w:r>
        <w:rPr>
          <w:rFonts w:hint="eastAsia" w:ascii="宋体" w:hAnsi="宋体" w:eastAsia="宋体" w:cs="宋体"/>
          <w:b/>
          <w:bCs/>
          <w:sz w:val="24"/>
          <w:szCs w:val="24"/>
          <w:highlight w:val="none"/>
          <w:lang w:val="en-GB" w:eastAsia="zh-CN"/>
        </w:rPr>
        <w:t>人员</w:t>
      </w:r>
      <w:r>
        <w:rPr>
          <w:rFonts w:hint="eastAsia" w:ascii="宋体" w:hAnsi="宋体" w:eastAsia="宋体" w:cs="宋体"/>
          <w:b/>
          <w:bCs/>
          <w:sz w:val="24"/>
          <w:szCs w:val="24"/>
          <w:highlight w:val="none"/>
          <w:lang w:val="en-US" w:eastAsia="zh-CN"/>
        </w:rPr>
        <w:t>要求说明</w:t>
      </w:r>
      <w:bookmarkEnd w:id="157"/>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GB" w:eastAsia="zh-CN"/>
        </w:rPr>
        <w:t>1、</w:t>
      </w:r>
      <w:r>
        <w:rPr>
          <w:rFonts w:hint="eastAsia" w:ascii="宋体" w:hAnsi="宋体" w:cs="宋体"/>
          <w:sz w:val="24"/>
          <w:szCs w:val="24"/>
          <w:highlight w:val="none"/>
          <w:lang w:val="en-US" w:eastAsia="zh-CN"/>
        </w:rPr>
        <w:t>派</w:t>
      </w:r>
      <w:r>
        <w:rPr>
          <w:rFonts w:hint="eastAsia" w:ascii="宋体" w:hAnsi="宋体" w:eastAsia="宋体" w:cs="宋体"/>
          <w:sz w:val="24"/>
          <w:szCs w:val="24"/>
          <w:highlight w:val="none"/>
          <w:lang w:val="en-GB" w:eastAsia="zh-CN"/>
        </w:rPr>
        <w:t>驻维保</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lang w:val="en-GB" w:eastAsia="zh-CN"/>
        </w:rPr>
        <w:t>人员要求数量≥</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lang w:val="en-GB" w:eastAsia="zh-CN"/>
        </w:rPr>
        <w:t>人（含一名主管人员），根据</w:t>
      </w:r>
      <w:r>
        <w:rPr>
          <w:rFonts w:hint="eastAsia" w:ascii="宋体" w:hAnsi="宋体" w:cs="宋体"/>
          <w:sz w:val="24"/>
          <w:szCs w:val="24"/>
          <w:highlight w:val="none"/>
          <w:lang w:val="en-GB" w:eastAsia="zh-CN"/>
        </w:rPr>
        <w:t>各</w:t>
      </w:r>
      <w:r>
        <w:rPr>
          <w:rFonts w:hint="eastAsia" w:ascii="宋体" w:hAnsi="宋体" w:eastAsia="宋体" w:cs="宋体"/>
          <w:sz w:val="24"/>
          <w:szCs w:val="24"/>
          <w:highlight w:val="none"/>
          <w:lang w:val="en-GB" w:eastAsia="zh-CN"/>
        </w:rPr>
        <w:t>院</w:t>
      </w:r>
      <w:r>
        <w:rPr>
          <w:rFonts w:hint="eastAsia" w:ascii="宋体" w:hAnsi="宋体" w:cs="宋体"/>
          <w:sz w:val="24"/>
          <w:szCs w:val="24"/>
          <w:highlight w:val="none"/>
          <w:lang w:val="en-GB" w:eastAsia="zh-CN"/>
        </w:rPr>
        <w:t>区</w:t>
      </w:r>
      <w:r>
        <w:rPr>
          <w:rFonts w:hint="eastAsia" w:ascii="宋体" w:hAnsi="宋体" w:eastAsia="宋体" w:cs="宋体"/>
          <w:sz w:val="24"/>
          <w:szCs w:val="24"/>
          <w:highlight w:val="none"/>
          <w:lang w:val="en-GB" w:eastAsia="zh-CN"/>
        </w:rPr>
        <w:t>设备维修需求适量增加人员。</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highlight w:val="none"/>
          <w:lang w:val="en-GB"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GB" w:eastAsia="zh-CN"/>
        </w:rPr>
        <w:t>、乙方</w:t>
      </w:r>
      <w:r>
        <w:rPr>
          <w:rFonts w:hint="eastAsia" w:ascii="宋体" w:hAnsi="宋体" w:cs="宋体"/>
          <w:sz w:val="24"/>
          <w:szCs w:val="24"/>
          <w:highlight w:val="none"/>
          <w:lang w:val="en-US" w:eastAsia="zh-CN"/>
        </w:rPr>
        <w:t>主要</w:t>
      </w:r>
      <w:r>
        <w:rPr>
          <w:rFonts w:hint="eastAsia" w:ascii="宋体" w:hAnsi="宋体" w:eastAsia="宋体" w:cs="宋体"/>
          <w:sz w:val="24"/>
          <w:szCs w:val="24"/>
          <w:highlight w:val="none"/>
          <w:lang w:val="en-GB" w:eastAsia="zh-CN"/>
        </w:rPr>
        <w:t>管理人员、驻院维保</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lang w:val="en-GB" w:eastAsia="zh-CN"/>
        </w:rPr>
        <w:t>人员配备必须经医院认可，均需服从医院管理，医院有权提出意见要求乙方调换不满意的工作人员。</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en-GB" w:eastAsia="zh-CN"/>
        </w:rPr>
        <w:t>、维保</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lang w:val="en-GB" w:eastAsia="zh-CN"/>
        </w:rPr>
        <w:t>人员应具有较好的沟通能力，良好的服务意识，严格遵守医院的各项规章制度及流程。</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en-GB" w:eastAsia="zh-CN"/>
        </w:rPr>
        <w:t>乙方负责承担驻院服务技术人员的全部费用，包含劳动报酬、各项纳金、技术培训、安全保险、劳动关系的建立等费用。</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241" w:firstLineChars="100"/>
        <w:textAlignment w:val="auto"/>
        <w:outlineLvl w:val="2"/>
        <w:rPr>
          <w:rFonts w:hint="eastAsia" w:ascii="宋体" w:hAnsi="宋体" w:eastAsia="宋体" w:cs="宋体"/>
          <w:b/>
          <w:bCs/>
          <w:sz w:val="24"/>
          <w:szCs w:val="24"/>
          <w:highlight w:val="none"/>
          <w:lang w:val="en-GB" w:eastAsia="zh-CN"/>
        </w:rPr>
      </w:pPr>
      <w:bookmarkStart w:id="158" w:name="_Toc21700"/>
      <w:r>
        <w:rPr>
          <w:rFonts w:hint="eastAsia" w:ascii="宋体" w:hAnsi="宋体" w:eastAsia="宋体" w:cs="宋体"/>
          <w:b/>
          <w:bCs/>
          <w:sz w:val="24"/>
          <w:szCs w:val="24"/>
          <w:highlight w:val="none"/>
          <w:lang w:val="en-US" w:eastAsia="zh-CN"/>
        </w:rPr>
        <w:t>六、</w:t>
      </w:r>
      <w:r>
        <w:rPr>
          <w:rFonts w:hint="eastAsia" w:ascii="宋体" w:hAnsi="宋体" w:eastAsia="宋体" w:cs="宋体"/>
          <w:b/>
          <w:bCs/>
          <w:sz w:val="24"/>
          <w:szCs w:val="24"/>
          <w:highlight w:val="none"/>
          <w:lang w:val="en-GB" w:eastAsia="zh-CN"/>
        </w:rPr>
        <w:t>其他需要说明的事项</w:t>
      </w:r>
      <w:bookmarkEnd w:id="158"/>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en-GB" w:eastAsia="zh-CN"/>
        </w:rPr>
        <w:t>供应商须执行采购人有关</w:t>
      </w:r>
      <w:r>
        <w:rPr>
          <w:rFonts w:hint="eastAsia" w:ascii="宋体" w:hAnsi="宋体" w:cs="宋体"/>
          <w:sz w:val="24"/>
          <w:szCs w:val="24"/>
          <w:highlight w:val="none"/>
          <w:lang w:val="en-US" w:eastAsia="zh-CN"/>
        </w:rPr>
        <w:t>基础设施维修、维护</w:t>
      </w:r>
      <w:r>
        <w:rPr>
          <w:rFonts w:hint="eastAsia" w:ascii="宋体" w:hAnsi="宋体" w:eastAsia="宋体" w:cs="宋体"/>
          <w:sz w:val="24"/>
          <w:szCs w:val="24"/>
          <w:highlight w:val="none"/>
          <w:lang w:val="en-GB" w:eastAsia="zh-CN"/>
        </w:rPr>
        <w:t>管理办法和实施细则等。</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en-GB" w:eastAsia="zh-CN"/>
        </w:rPr>
        <w:t>供应商须服从采购人有关车辆入院、人员管理、噪音管理等医院管理措施，并服从采购人有关部门的正常管理。</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en-GB" w:eastAsia="zh-CN"/>
        </w:rPr>
        <w:t>供应商不得将本标转让或分解转让。</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US" w:eastAsia="zh-CN"/>
        </w:rPr>
        <w:t>4、</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lang w:val="en-GB"/>
        </w:rPr>
        <w:t>施工期间所有安全</w:t>
      </w:r>
      <w:r>
        <w:rPr>
          <w:rFonts w:hint="eastAsia" w:ascii="宋体" w:hAnsi="宋体" w:eastAsia="宋体" w:cs="宋体"/>
          <w:sz w:val="24"/>
          <w:szCs w:val="24"/>
          <w:highlight w:val="none"/>
          <w:lang w:val="en-US" w:eastAsia="zh-CN"/>
        </w:rPr>
        <w:t>责</w:t>
      </w:r>
      <w:r>
        <w:rPr>
          <w:rFonts w:hint="eastAsia" w:ascii="宋体" w:hAnsi="宋体" w:eastAsia="宋体" w:cs="宋体"/>
          <w:sz w:val="24"/>
          <w:szCs w:val="24"/>
          <w:highlight w:val="none"/>
          <w:lang w:val="en-GB"/>
        </w:rPr>
        <w:t>任</w:t>
      </w:r>
      <w:r>
        <w:rPr>
          <w:rFonts w:hint="eastAsia" w:ascii="宋体" w:hAnsi="宋体" w:eastAsia="宋体" w:cs="宋体"/>
          <w:sz w:val="24"/>
          <w:szCs w:val="24"/>
          <w:highlight w:val="none"/>
          <w:lang w:val="en-US" w:eastAsia="zh-CN"/>
        </w:rPr>
        <w:t>及所产生的一切费用</w:t>
      </w:r>
      <w:r>
        <w:rPr>
          <w:rFonts w:hint="eastAsia" w:ascii="宋体" w:hAnsi="宋体" w:eastAsia="宋体" w:cs="宋体"/>
          <w:sz w:val="24"/>
          <w:szCs w:val="24"/>
          <w:highlight w:val="none"/>
          <w:lang w:val="en-GB"/>
        </w:rPr>
        <w:t>由成交供应商承担，与所聘用的用工人员之间的劳务纠纷由成交供应商自行解决，与采购人无关，若产生劳务纠纷，采购人立即与</w:t>
      </w:r>
      <w:r>
        <w:rPr>
          <w:rFonts w:hint="eastAsia" w:ascii="宋体" w:hAnsi="宋体" w:eastAsia="宋体" w:cs="宋体"/>
          <w:sz w:val="24"/>
          <w:szCs w:val="24"/>
          <w:highlight w:val="none"/>
          <w:lang w:val="en-GB" w:eastAsia="zh-CN"/>
        </w:rPr>
        <w:t>其解除合同。</w:t>
      </w:r>
    </w:p>
    <w:p>
      <w:pPr>
        <w:pStyle w:val="9"/>
        <w:rPr>
          <w:rFonts w:hint="eastAsia"/>
          <w:lang w:val="en-GB" w:eastAsia="zh-CN"/>
        </w:rPr>
      </w:pPr>
    </w:p>
    <w:p>
      <w:pPr>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highlight w:val="none"/>
          <w:lang w:val="en-GB" w:eastAsia="zh-CN" w:bidi="ar-SA"/>
        </w:rPr>
      </w:pPr>
    </w:p>
    <w:p>
      <w:pPr>
        <w:pStyle w:val="9"/>
        <w:rPr>
          <w:rFonts w:hint="eastAsia"/>
          <w:lang w:val="en-GB" w:eastAsia="zh-CN"/>
        </w:rPr>
      </w:pPr>
    </w:p>
    <w:p>
      <w:pPr>
        <w:rPr>
          <w:rFonts w:hint="eastAsia" w:ascii="宋体" w:hAnsi="宋体" w:eastAsia="宋体" w:cs="宋体"/>
          <w:kern w:val="0"/>
          <w:sz w:val="24"/>
          <w:szCs w:val="24"/>
          <w:highlight w:val="none"/>
          <w:lang w:val="en-GB" w:eastAsia="zh-CN" w:bidi="ar-SA"/>
        </w:rPr>
      </w:pPr>
      <w:r>
        <w:rPr>
          <w:rFonts w:hint="eastAsia" w:ascii="宋体" w:hAnsi="宋体" w:eastAsia="宋体" w:cs="宋体"/>
          <w:kern w:val="0"/>
          <w:sz w:val="24"/>
          <w:szCs w:val="24"/>
          <w:highlight w:val="none"/>
          <w:lang w:val="en-GB" w:eastAsia="zh-CN" w:bidi="ar-SA"/>
        </w:rPr>
        <w:br w:type="page"/>
      </w:r>
    </w:p>
    <w:p>
      <w:pPr>
        <w:pStyle w:val="2"/>
        <w:rPr>
          <w:rFonts w:hint="eastAsia"/>
          <w:lang w:val="en-GB" w:eastAsia="zh-CN"/>
        </w:rPr>
      </w:pPr>
    </w:p>
    <w:p>
      <w:pPr>
        <w:keepNext/>
        <w:keepLines/>
        <w:pageBreakBefore w:val="0"/>
        <w:tabs>
          <w:tab w:val="left" w:pos="0"/>
        </w:tabs>
        <w:kinsoku/>
        <w:wordWrap/>
        <w:overflowPunct/>
        <w:topLinePunct w:val="0"/>
        <w:bidi w:val="0"/>
        <w:spacing w:line="560" w:lineRule="exact"/>
        <w:jc w:val="center"/>
        <w:textAlignment w:val="auto"/>
        <w:outlineLvl w:val="0"/>
        <w:rPr>
          <w:rFonts w:ascii="宋体" w:hAnsi="宋体" w:eastAsia="宋体" w:cs="宋体"/>
          <w:color w:val="auto"/>
          <w:sz w:val="24"/>
          <w:highlight w:val="none"/>
        </w:rPr>
      </w:pPr>
      <w:bookmarkStart w:id="159" w:name="_Toc17833"/>
      <w:bookmarkStart w:id="160" w:name="_Toc18926"/>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四</w:t>
      </w:r>
      <w:r>
        <w:rPr>
          <w:rFonts w:hint="eastAsia" w:ascii="宋体" w:hAnsi="宋体" w:eastAsia="宋体" w:cs="宋体"/>
          <w:b/>
          <w:color w:val="auto"/>
          <w:sz w:val="32"/>
          <w:szCs w:val="32"/>
          <w:highlight w:val="none"/>
        </w:rPr>
        <w:t>章  评审方法和标准</w:t>
      </w:r>
      <w:bookmarkEnd w:id="159"/>
      <w:bookmarkEnd w:id="160"/>
    </w:p>
    <w:p>
      <w:pPr>
        <w:keepNext w:val="0"/>
        <w:keepLines w:val="0"/>
        <w:pageBreakBefore w:val="0"/>
        <w:widowControl w:val="0"/>
        <w:tabs>
          <w:tab w:val="left" w:pos="567"/>
        </w:tabs>
        <w:kinsoku/>
        <w:wordWrap/>
        <w:overflowPunct/>
        <w:topLinePunct w:val="0"/>
        <w:autoSpaceDE/>
        <w:autoSpaceDN/>
        <w:bidi w:val="0"/>
        <w:adjustRightInd/>
        <w:snapToGrid/>
        <w:spacing w:line="500" w:lineRule="exact"/>
        <w:ind w:firstLine="480"/>
        <w:textAlignment w:val="auto"/>
        <w:rPr>
          <w:rFonts w:ascii="宋体" w:hAnsi="宋体" w:eastAsia="宋体" w:cs="宋体"/>
          <w:color w:val="auto"/>
          <w:sz w:val="24"/>
          <w:highlight w:val="none"/>
        </w:rPr>
      </w:pPr>
      <w:r>
        <w:rPr>
          <w:rFonts w:ascii="宋体" w:hAnsi="宋体" w:eastAsia="宋体" w:cs="宋体"/>
          <w:color w:val="auto"/>
          <w:sz w:val="24"/>
          <w:highlight w:val="none"/>
        </w:rPr>
        <w:t>本项目将按照</w:t>
      </w:r>
      <w:r>
        <w:rPr>
          <w:rFonts w:hint="eastAsia" w:ascii="宋体" w:hAnsi="宋体" w:eastAsia="宋体" w:cs="宋体"/>
          <w:color w:val="auto"/>
          <w:sz w:val="24"/>
          <w:highlight w:val="none"/>
          <w:lang w:eastAsia="zh-CN"/>
        </w:rPr>
        <w:t>采购文件</w:t>
      </w:r>
      <w:r>
        <w:rPr>
          <w:rFonts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二</w:t>
      </w:r>
      <w:r>
        <w:rPr>
          <w:rFonts w:ascii="宋体" w:hAnsi="宋体" w:eastAsia="宋体" w:cs="宋体"/>
          <w:color w:val="auto"/>
          <w:sz w:val="24"/>
          <w:highlight w:val="none"/>
        </w:rPr>
        <w:t>章供应商须知中“五</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开</w:t>
      </w:r>
      <w:r>
        <w:rPr>
          <w:rFonts w:hint="eastAsia" w:ascii="宋体" w:hAnsi="宋体" w:eastAsia="宋体" w:cs="宋体"/>
          <w:color w:val="auto"/>
          <w:sz w:val="24"/>
          <w:highlight w:val="none"/>
          <w:lang w:val="en-US" w:eastAsia="zh-CN"/>
        </w:rPr>
        <w:t>启</w:t>
      </w:r>
      <w:r>
        <w:rPr>
          <w:rFonts w:ascii="宋体" w:hAnsi="宋体" w:eastAsia="宋体" w:cs="宋体"/>
          <w:color w:val="auto"/>
          <w:sz w:val="24"/>
          <w:highlight w:val="none"/>
        </w:rPr>
        <w:t>及磋商”、“六</w:t>
      </w:r>
      <w:r>
        <w:rPr>
          <w:rFonts w:hint="eastAsia" w:ascii="宋体" w:hAnsi="宋体" w:eastAsia="宋体" w:cs="宋体"/>
          <w:color w:val="auto"/>
          <w:sz w:val="24"/>
          <w:highlight w:val="none"/>
          <w:lang w:eastAsia="zh-CN"/>
        </w:rPr>
        <w:t>、</w:t>
      </w:r>
      <w:r>
        <w:rPr>
          <w:rFonts w:ascii="宋体" w:hAnsi="宋体" w:eastAsia="宋体" w:cs="宋体"/>
          <w:color w:val="auto"/>
          <w:sz w:val="24"/>
          <w:highlight w:val="none"/>
        </w:rPr>
        <w:t>确定成交”及本章的规定评审。</w:t>
      </w:r>
    </w:p>
    <w:p>
      <w:pPr>
        <w:keepNext w:val="0"/>
        <w:keepLines w:val="0"/>
        <w:pageBreakBefore w:val="0"/>
        <w:widowControl w:val="0"/>
        <w:kinsoku/>
        <w:wordWrap/>
        <w:overflowPunct/>
        <w:topLinePunct w:val="0"/>
        <w:autoSpaceDE/>
        <w:autoSpaceDN/>
        <w:bidi w:val="0"/>
        <w:adjustRightInd/>
        <w:snapToGrid/>
        <w:spacing w:line="500" w:lineRule="exact"/>
        <w:ind w:firstLine="542" w:firstLineChars="225"/>
        <w:textAlignment w:val="auto"/>
        <w:outlineLvl w:val="1"/>
        <w:rPr>
          <w:rFonts w:hint="eastAsia" w:ascii="宋体" w:hAnsi="宋体"/>
          <w:b/>
          <w:bCs/>
          <w:color w:val="auto"/>
          <w:sz w:val="24"/>
          <w:highlight w:val="none"/>
        </w:rPr>
      </w:pPr>
      <w:bookmarkStart w:id="161" w:name="_Toc12953"/>
      <w:r>
        <w:rPr>
          <w:rFonts w:hint="eastAsia" w:ascii="宋体" w:hAnsi="宋体"/>
          <w:b/>
          <w:bCs/>
          <w:color w:val="auto"/>
          <w:sz w:val="24"/>
          <w:highlight w:val="none"/>
          <w:lang w:val="en-US" w:eastAsia="zh-CN"/>
        </w:rPr>
        <w:t>一、</w:t>
      </w:r>
      <w:r>
        <w:rPr>
          <w:rFonts w:hint="eastAsia" w:ascii="宋体" w:hAnsi="宋体"/>
          <w:b/>
          <w:bCs/>
          <w:color w:val="auto"/>
          <w:sz w:val="24"/>
          <w:highlight w:val="none"/>
        </w:rPr>
        <w:t>支持节能环保、中小微企业、监狱企业、残疾人福利性单位发展的鼓励优惠政策</w:t>
      </w:r>
      <w:bookmarkEnd w:id="161"/>
    </w:p>
    <w:p>
      <w:pPr>
        <w:keepNext w:val="0"/>
        <w:keepLines w:val="0"/>
        <w:pageBreakBefore w:val="0"/>
        <w:widowControl w:val="0"/>
        <w:kinsoku/>
        <w:wordWrap/>
        <w:overflowPunct/>
        <w:topLinePunct w:val="0"/>
        <w:autoSpaceDE/>
        <w:autoSpaceDN/>
        <w:bidi w:val="0"/>
        <w:adjustRightInd/>
        <w:snapToGrid/>
        <w:spacing w:line="500" w:lineRule="exact"/>
        <w:ind w:firstLine="542" w:firstLineChars="225"/>
        <w:textAlignment w:val="auto"/>
        <w:outlineLvl w:val="1"/>
        <w:rPr>
          <w:rFonts w:hint="eastAsia" w:ascii="宋体" w:hAnsi="宋体"/>
          <w:b/>
          <w:bCs/>
          <w:color w:val="auto"/>
          <w:sz w:val="24"/>
          <w:highlight w:val="none"/>
        </w:rPr>
      </w:pPr>
      <w:bookmarkStart w:id="162" w:name="_Toc11847"/>
      <w:bookmarkStart w:id="163" w:name="_Toc5468"/>
      <w:r>
        <w:rPr>
          <w:rFonts w:hint="eastAsia" w:ascii="宋体" w:hAnsi="宋体"/>
          <w:b/>
          <w:bCs/>
          <w:color w:val="auto"/>
          <w:sz w:val="24"/>
          <w:highlight w:val="none"/>
        </w:rPr>
        <w:t>1</w:t>
      </w:r>
      <w:r>
        <w:rPr>
          <w:rFonts w:hint="eastAsia" w:ascii="宋体" w:hAnsi="宋体"/>
          <w:b/>
          <w:bCs/>
          <w:color w:val="auto"/>
          <w:sz w:val="24"/>
          <w:highlight w:val="none"/>
          <w:lang w:eastAsia="zh-CN"/>
        </w:rPr>
        <w:t>.</w:t>
      </w:r>
      <w:r>
        <w:rPr>
          <w:rFonts w:hint="eastAsia" w:ascii="宋体" w:hAnsi="宋体"/>
          <w:b/>
          <w:bCs/>
          <w:color w:val="auto"/>
          <w:sz w:val="24"/>
          <w:highlight w:val="none"/>
        </w:rPr>
        <w:t>优采强采节能环保产品</w:t>
      </w:r>
      <w:bookmarkEnd w:id="162"/>
      <w:bookmarkEnd w:id="163"/>
      <w:r>
        <w:rPr>
          <w:rFonts w:hint="eastAsia" w:ascii="宋体" w:hAnsi="宋体"/>
          <w:b/>
          <w:bCs/>
          <w:color w:val="auto"/>
          <w:sz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1.1</w:t>
      </w:r>
      <w:r>
        <w:rPr>
          <w:rFonts w:hint="eastAsia" w:ascii="宋体" w:hAnsi="宋体"/>
          <w:color w:val="auto"/>
          <w:sz w:val="24"/>
          <w:highlight w:val="none"/>
        </w:rPr>
        <w:t>采购产品属于《节能产品政府采购品目清单》中强制采购节能产品的，供应商所投产品必须是《节能产品政府采购品目清单》中强制采购节能产品，提供</w:t>
      </w:r>
      <w:r>
        <w:rPr>
          <w:rFonts w:hint="eastAsia" w:ascii="宋体" w:hAnsi="宋体" w:cs="宋体"/>
          <w:color w:val="auto"/>
          <w:kern w:val="2"/>
          <w:sz w:val="24"/>
          <w:szCs w:val="24"/>
          <w:highlight w:val="none"/>
          <w:lang w:val="en-US" w:eastAsia="zh-CN" w:bidi="ar-SA"/>
        </w:rPr>
        <w:t>国家确定的认证机构出具的、处于有效期之内的</w:t>
      </w:r>
      <w:r>
        <w:rPr>
          <w:rFonts w:hint="eastAsia" w:ascii="宋体" w:hAnsi="宋体"/>
          <w:color w:val="auto"/>
          <w:sz w:val="24"/>
          <w:highlight w:val="none"/>
        </w:rPr>
        <w:t>认证证书</w:t>
      </w:r>
      <w:r>
        <w:rPr>
          <w:rFonts w:hint="eastAsia" w:ascii="宋体" w:hAnsi="宋体"/>
          <w:color w:val="auto"/>
          <w:sz w:val="24"/>
          <w:highlight w:val="none"/>
          <w:lang w:val="en-US" w:eastAsia="zh-CN"/>
        </w:rPr>
        <w:t>扫描件</w:t>
      </w:r>
      <w:r>
        <w:rPr>
          <w:rFonts w:hint="eastAsia" w:ascii="宋体" w:hAnsi="宋体" w:cs="宋体"/>
          <w:color w:val="auto"/>
          <w:kern w:val="2"/>
          <w:sz w:val="24"/>
          <w:szCs w:val="24"/>
          <w:highlight w:val="none"/>
          <w:lang w:val="zh-CN" w:eastAsia="zh-CN" w:bidi="ar-SA"/>
        </w:rPr>
        <w:t>或提供加盖供应商公章的节能产品认证结果信息发布平台或中国政府采购网（www.ccgp.gov.cn）产品网站查询截图。</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1.2</w:t>
      </w:r>
      <w:r>
        <w:rPr>
          <w:rFonts w:hint="eastAsia" w:ascii="宋体" w:hAnsi="宋体"/>
          <w:color w:val="auto"/>
          <w:sz w:val="24"/>
          <w:highlight w:val="none"/>
        </w:rPr>
        <w:t>属于节能产品品目清单中强制采购节能产品的则该</w:t>
      </w:r>
      <w:r>
        <w:rPr>
          <w:rFonts w:hint="eastAsia" w:ascii="宋体" w:hAnsi="宋体"/>
          <w:color w:val="auto"/>
          <w:sz w:val="24"/>
          <w:highlight w:val="none"/>
          <w:lang w:eastAsia="zh-CN"/>
        </w:rPr>
        <w:t>响应</w:t>
      </w:r>
      <w:r>
        <w:rPr>
          <w:rFonts w:hint="eastAsia" w:ascii="宋体" w:hAnsi="宋体"/>
          <w:color w:val="auto"/>
          <w:sz w:val="24"/>
          <w:highlight w:val="none"/>
        </w:rPr>
        <w:t>产品不享受优惠政策。供应商所报产品属于节能、环镜标志</w:t>
      </w:r>
      <w:r>
        <w:rPr>
          <w:rFonts w:hint="eastAsia" w:ascii="宋体" w:hAnsi="宋体"/>
          <w:color w:val="auto"/>
          <w:sz w:val="24"/>
          <w:highlight w:val="none"/>
          <w:lang w:val="en-US" w:eastAsia="zh-CN"/>
        </w:rPr>
        <w:t>产品</w:t>
      </w:r>
      <w:r>
        <w:rPr>
          <w:rFonts w:hint="eastAsia" w:ascii="宋体" w:hAnsi="宋体"/>
          <w:color w:val="auto"/>
          <w:sz w:val="24"/>
          <w:highlight w:val="none"/>
        </w:rPr>
        <w:t>政府采购品目清单中的产品并取得</w:t>
      </w:r>
      <w:r>
        <w:rPr>
          <w:rFonts w:hint="eastAsia" w:ascii="宋体" w:hAnsi="宋体" w:cs="宋体"/>
          <w:color w:val="auto"/>
          <w:kern w:val="2"/>
          <w:sz w:val="24"/>
          <w:szCs w:val="24"/>
          <w:highlight w:val="none"/>
          <w:lang w:val="en-US" w:eastAsia="zh-CN" w:bidi="ar-SA"/>
        </w:rPr>
        <w:t>国家确定的认证机构出具的、处于有效期之内的</w:t>
      </w:r>
      <w:r>
        <w:rPr>
          <w:rFonts w:hint="eastAsia" w:ascii="宋体" w:hAnsi="宋体"/>
          <w:color w:val="auto"/>
          <w:sz w:val="24"/>
          <w:highlight w:val="none"/>
        </w:rPr>
        <w:t>认证证书</w:t>
      </w:r>
      <w:r>
        <w:rPr>
          <w:rFonts w:hint="eastAsia" w:ascii="宋体" w:hAnsi="宋体"/>
          <w:color w:val="auto"/>
          <w:sz w:val="24"/>
          <w:highlight w:val="none"/>
          <w:lang w:val="en-US" w:eastAsia="zh-CN"/>
        </w:rPr>
        <w:t>扫描件</w:t>
      </w:r>
      <w:r>
        <w:rPr>
          <w:rFonts w:hint="eastAsia" w:ascii="宋体" w:hAnsi="宋体" w:cs="宋体"/>
          <w:color w:val="auto"/>
          <w:kern w:val="2"/>
          <w:sz w:val="24"/>
          <w:szCs w:val="24"/>
          <w:highlight w:val="none"/>
          <w:lang w:val="zh-CN" w:eastAsia="zh-CN" w:bidi="ar-SA"/>
        </w:rPr>
        <w:t>或提供加盖供应商公章的节能产品认证结果信息发布平台或中国政府采购网（www.ccgp.gov.cn）产品网站查询截图</w:t>
      </w:r>
      <w:r>
        <w:rPr>
          <w:rFonts w:hint="eastAsia" w:ascii="宋体" w:hAnsi="宋体"/>
          <w:color w:val="auto"/>
          <w:sz w:val="24"/>
          <w:highlight w:val="none"/>
        </w:rPr>
        <w:t>，且为政府非强制采购节能、环镜标志产品的，在价格、技术评审中，给予</w:t>
      </w:r>
      <w:r>
        <w:rPr>
          <w:rFonts w:hint="eastAsia" w:ascii="宋体" w:hAnsi="宋体"/>
          <w:color w:val="auto"/>
          <w:sz w:val="24"/>
          <w:highlight w:val="none"/>
          <w:u w:val="none"/>
          <w:lang w:val="en-US" w:eastAsia="zh-CN"/>
        </w:rPr>
        <w:t>一定</w:t>
      </w:r>
      <w:r>
        <w:rPr>
          <w:rFonts w:hint="eastAsia" w:ascii="宋体" w:hAnsi="宋体"/>
          <w:color w:val="auto"/>
          <w:sz w:val="24"/>
          <w:highlight w:val="none"/>
        </w:rPr>
        <w:t>比例的加分：</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在价格评审项中，对节能、环镜标志产品分别给予加分（加分=价格评标总分值×</w:t>
      </w:r>
      <w:r>
        <w:rPr>
          <w:rFonts w:hint="eastAsia" w:ascii="宋体" w:hAnsi="宋体"/>
          <w:color w:val="auto"/>
          <w:sz w:val="24"/>
          <w:highlight w:val="none"/>
          <w:u w:val="single"/>
          <w:lang w:val="en-US" w:eastAsia="zh-CN"/>
        </w:rPr>
        <w:t>5</w:t>
      </w:r>
      <w:r>
        <w:rPr>
          <w:rFonts w:hint="eastAsia" w:ascii="宋体" w:hAnsi="宋体"/>
          <w:color w:val="auto"/>
          <w:sz w:val="24"/>
          <w:highlight w:val="none"/>
        </w:rPr>
        <w:t>%×节能、环镜标志产品价格在报价中所占比例）；</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在技术评审项中，对节能、环镜标志产品分别给予加分（加分=技术评标总分值×</w:t>
      </w:r>
      <w:r>
        <w:rPr>
          <w:rFonts w:hint="eastAsia" w:ascii="宋体" w:hAnsi="宋体"/>
          <w:color w:val="auto"/>
          <w:sz w:val="24"/>
          <w:highlight w:val="none"/>
          <w:u w:val="single"/>
          <w:lang w:val="en-US" w:eastAsia="zh-CN"/>
        </w:rPr>
        <w:t>5</w:t>
      </w:r>
      <w:r>
        <w:rPr>
          <w:rFonts w:hint="eastAsia" w:ascii="宋体" w:hAnsi="宋体"/>
          <w:color w:val="auto"/>
          <w:sz w:val="24"/>
          <w:highlight w:val="none"/>
        </w:rPr>
        <w:t>%×节能、环镜标志产品价格在报价中所占比例）。</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auto"/>
          <w:sz w:val="24"/>
          <w:highlight w:val="none"/>
          <w:lang w:eastAsia="zh-CN"/>
        </w:rPr>
      </w:pPr>
      <w:r>
        <w:rPr>
          <w:rFonts w:hint="eastAsia" w:ascii="宋体" w:hAnsi="宋体"/>
          <w:color w:val="auto"/>
          <w:sz w:val="24"/>
          <w:highlight w:val="none"/>
          <w:lang w:val="en-US" w:eastAsia="zh-CN"/>
        </w:rPr>
        <w:t>1.3</w:t>
      </w:r>
      <w:r>
        <w:rPr>
          <w:rFonts w:hint="eastAsia" w:ascii="宋体" w:hAnsi="宋体"/>
          <w:color w:val="auto"/>
          <w:sz w:val="24"/>
          <w:highlight w:val="none"/>
        </w:rPr>
        <w:t>供应商在报价文件中必须对属于节能、环境标志产品清单中的产品，单独分项报价</w:t>
      </w:r>
      <w:r>
        <w:rPr>
          <w:rFonts w:hint="eastAsia" w:ascii="宋体" w:hAnsi="宋体"/>
          <w:color w:val="auto"/>
          <w:sz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1.4</w:t>
      </w:r>
      <w:r>
        <w:rPr>
          <w:rFonts w:hint="eastAsia" w:ascii="宋体" w:hAnsi="宋体"/>
          <w:color w:val="auto"/>
          <w:sz w:val="24"/>
          <w:highlight w:val="none"/>
        </w:rPr>
        <w:t>未按以上规定提供证书的不给予政策优惠，若节能产品、环境标志产品政府采购品目清单内的产品仅是构成</w:t>
      </w:r>
      <w:r>
        <w:rPr>
          <w:rFonts w:hint="eastAsia" w:ascii="宋体" w:hAnsi="宋体"/>
          <w:color w:val="auto"/>
          <w:sz w:val="24"/>
          <w:highlight w:val="none"/>
          <w:lang w:eastAsia="zh-CN"/>
        </w:rPr>
        <w:t>响应</w:t>
      </w:r>
      <w:r>
        <w:rPr>
          <w:rFonts w:hint="eastAsia" w:ascii="宋体" w:hAnsi="宋体"/>
          <w:color w:val="auto"/>
          <w:sz w:val="24"/>
          <w:highlight w:val="none"/>
        </w:rPr>
        <w:t>产品的部件、组件或零件的，则该</w:t>
      </w:r>
      <w:r>
        <w:rPr>
          <w:rFonts w:hint="eastAsia" w:ascii="宋体" w:hAnsi="宋体"/>
          <w:color w:val="auto"/>
          <w:sz w:val="24"/>
          <w:highlight w:val="none"/>
          <w:lang w:eastAsia="zh-CN"/>
        </w:rPr>
        <w:t>响应</w:t>
      </w:r>
      <w:r>
        <w:rPr>
          <w:rFonts w:hint="eastAsia" w:ascii="宋体" w:hAnsi="宋体"/>
          <w:color w:val="auto"/>
          <w:sz w:val="24"/>
          <w:highlight w:val="none"/>
        </w:rPr>
        <w:t>产品不享受优惠政策。</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422" w:firstLineChars="175"/>
        <w:textAlignment w:val="auto"/>
        <w:outlineLvl w:val="2"/>
        <w:rPr>
          <w:rFonts w:hint="eastAsia" w:ascii="宋体" w:hAnsi="宋体"/>
          <w:b/>
          <w:bCs/>
          <w:color w:val="auto"/>
          <w:sz w:val="24"/>
          <w:highlight w:val="none"/>
        </w:rPr>
      </w:pPr>
      <w:bookmarkStart w:id="164" w:name="_Toc2891"/>
      <w:bookmarkStart w:id="165" w:name="_Toc30476"/>
      <w:r>
        <w:rPr>
          <w:rFonts w:hint="eastAsia" w:ascii="宋体" w:hAnsi="宋体"/>
          <w:b/>
          <w:bCs/>
          <w:color w:val="auto"/>
          <w:sz w:val="24"/>
          <w:highlight w:val="none"/>
        </w:rPr>
        <w:t>2</w:t>
      </w:r>
      <w:r>
        <w:rPr>
          <w:rFonts w:hint="eastAsia" w:ascii="宋体" w:hAnsi="宋体"/>
          <w:b/>
          <w:bCs/>
          <w:color w:val="auto"/>
          <w:sz w:val="24"/>
          <w:highlight w:val="none"/>
          <w:lang w:eastAsia="zh-CN"/>
        </w:rPr>
        <w:t>.</w:t>
      </w:r>
      <w:r>
        <w:rPr>
          <w:rFonts w:hint="eastAsia" w:ascii="宋体" w:hAnsi="宋体"/>
          <w:b/>
          <w:bCs/>
          <w:color w:val="auto"/>
          <w:sz w:val="24"/>
          <w:highlight w:val="none"/>
        </w:rPr>
        <w:t>中、小微企业</w:t>
      </w:r>
      <w:bookmarkEnd w:id="164"/>
      <w:bookmarkEnd w:id="165"/>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2.1</w:t>
      </w:r>
      <w:r>
        <w:rPr>
          <w:rFonts w:hint="eastAsia" w:ascii="宋体" w:hAnsi="宋体"/>
          <w:color w:val="auto"/>
          <w:sz w:val="24"/>
          <w:highlight w:val="none"/>
        </w:rPr>
        <w:t>若供应商为小微企业，按照《政府采购促进中小企业发展</w:t>
      </w:r>
      <w:r>
        <w:rPr>
          <w:rFonts w:hint="eastAsia" w:ascii="宋体" w:hAnsi="宋体"/>
          <w:color w:val="auto"/>
          <w:sz w:val="24"/>
          <w:highlight w:val="none"/>
          <w:lang w:eastAsia="zh-CN"/>
        </w:rPr>
        <w:t>管理</w:t>
      </w:r>
      <w:r>
        <w:rPr>
          <w:rFonts w:hint="eastAsia" w:ascii="宋体" w:hAnsi="宋体"/>
          <w:color w:val="auto"/>
          <w:sz w:val="24"/>
          <w:highlight w:val="none"/>
        </w:rPr>
        <w:t>办法》（财库﹝</w:t>
      </w:r>
      <w:r>
        <w:rPr>
          <w:rFonts w:hint="eastAsia" w:ascii="宋体" w:hAnsi="宋体"/>
          <w:color w:val="auto"/>
          <w:sz w:val="24"/>
          <w:highlight w:val="none"/>
          <w:lang w:val="en-US" w:eastAsia="zh-CN"/>
        </w:rPr>
        <w:t>2020</w:t>
      </w:r>
      <w:r>
        <w:rPr>
          <w:rFonts w:hint="eastAsia" w:ascii="宋体" w:hAnsi="宋体"/>
          <w:color w:val="auto"/>
          <w:sz w:val="24"/>
          <w:highlight w:val="none"/>
        </w:rPr>
        <w:t>﹞</w:t>
      </w:r>
      <w:r>
        <w:rPr>
          <w:rFonts w:hint="eastAsia" w:ascii="宋体" w:hAnsi="宋体"/>
          <w:color w:val="auto"/>
          <w:sz w:val="24"/>
          <w:highlight w:val="none"/>
          <w:lang w:val="en-US" w:eastAsia="zh-CN"/>
        </w:rPr>
        <w:t>46</w:t>
      </w:r>
      <w:r>
        <w:rPr>
          <w:rFonts w:hint="eastAsia" w:ascii="宋体" w:hAnsi="宋体"/>
          <w:color w:val="auto"/>
          <w:sz w:val="24"/>
          <w:highlight w:val="none"/>
        </w:rPr>
        <w:t>号）及工信部等部委发布的《关于印发中小企业划型标准规定的通知》（工信部联企业〔2011〕300号）执行）的规定，享受评审中价格扣除的政府采购政策。</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给予小型和微型企业（包括相互之间组成的联合体）产品的价格</w:t>
      </w:r>
      <w:r>
        <w:rPr>
          <w:rFonts w:hint="eastAsia" w:ascii="宋体" w:hAnsi="宋体"/>
          <w:color w:val="auto"/>
          <w:sz w:val="24"/>
          <w:highlight w:val="none"/>
          <w:u w:val="single"/>
          <w:lang w:val="en-US" w:eastAsia="zh-CN"/>
        </w:rPr>
        <w:t>10%</w:t>
      </w:r>
      <w:r>
        <w:rPr>
          <w:rFonts w:hint="eastAsia" w:ascii="宋体" w:hAnsi="宋体"/>
          <w:color w:val="auto"/>
          <w:sz w:val="24"/>
          <w:highlight w:val="none"/>
        </w:rPr>
        <w:t>的扣除；计算方法是：</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，按照最终价格进行价格评审。</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2.2</w:t>
      </w:r>
      <w:r>
        <w:rPr>
          <w:rFonts w:hint="eastAsia" w:ascii="宋体" w:hAnsi="宋体"/>
          <w:color w:val="auto"/>
          <w:sz w:val="24"/>
          <w:highlight w:val="none"/>
        </w:rPr>
        <w:t>大中型企业和其他自然人、法人或者其他组织与小型、微型企业组成联合体</w:t>
      </w:r>
      <w:r>
        <w:rPr>
          <w:rFonts w:hint="eastAsia" w:ascii="宋体" w:hAnsi="宋体"/>
          <w:color w:val="auto"/>
          <w:sz w:val="24"/>
          <w:highlight w:val="none"/>
          <w:lang w:val="en-US" w:eastAsia="zh-CN"/>
        </w:rPr>
        <w:t>响应</w:t>
      </w:r>
      <w:r>
        <w:rPr>
          <w:rFonts w:hint="eastAsia" w:ascii="宋体" w:hAnsi="宋体"/>
          <w:color w:val="auto"/>
          <w:sz w:val="24"/>
          <w:highlight w:val="none"/>
        </w:rPr>
        <w:t>，联合协议中约定，小型、微型企业的协议合同金额占到联合体协议合同金额30%以上的，可给予联合体</w:t>
      </w:r>
      <w:r>
        <w:rPr>
          <w:rFonts w:hint="eastAsia" w:ascii="宋体" w:hAnsi="宋体"/>
          <w:color w:val="auto"/>
          <w:sz w:val="24"/>
          <w:highlight w:val="none"/>
          <w:u w:val="single"/>
          <w:lang w:val="en-US" w:eastAsia="zh-CN"/>
        </w:rPr>
        <w:t>2%</w:t>
      </w:r>
      <w:r>
        <w:rPr>
          <w:rFonts w:hint="eastAsia" w:ascii="宋体" w:hAnsi="宋体"/>
          <w:color w:val="auto"/>
          <w:sz w:val="24"/>
          <w:highlight w:val="none"/>
        </w:rPr>
        <w:t>的价格扣除。计算方法是：</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2.3</w:t>
      </w:r>
      <w:r>
        <w:rPr>
          <w:rFonts w:hint="eastAsia" w:ascii="宋体" w:hAnsi="宋体"/>
          <w:color w:val="auto"/>
          <w:sz w:val="24"/>
          <w:highlight w:val="none"/>
        </w:rPr>
        <w:t>供应商为小型和微型企业的，须提供《</w:t>
      </w:r>
      <w:r>
        <w:rPr>
          <w:rFonts w:hint="eastAsia" w:ascii="宋体" w:hAnsi="宋体"/>
          <w:color w:val="auto"/>
          <w:sz w:val="24"/>
          <w:highlight w:val="none"/>
          <w:lang w:val="en-US" w:eastAsia="zh-CN"/>
        </w:rPr>
        <w:t>中小</w:t>
      </w:r>
      <w:r>
        <w:rPr>
          <w:rFonts w:hint="eastAsia" w:ascii="宋体" w:hAnsi="宋体"/>
          <w:color w:val="auto"/>
          <w:sz w:val="24"/>
          <w:highlight w:val="none"/>
        </w:rPr>
        <w:t>企业声明函》（格式见附件）</w:t>
      </w:r>
      <w:r>
        <w:rPr>
          <w:rFonts w:hint="eastAsia" w:ascii="宋体" w:hAnsi="宋体"/>
          <w:color w:val="auto"/>
          <w:sz w:val="24"/>
          <w:highlight w:val="none"/>
          <w:lang w:eastAsia="zh-CN"/>
        </w:rPr>
        <w:t>扫描件</w:t>
      </w:r>
      <w:r>
        <w:rPr>
          <w:rFonts w:hint="eastAsia" w:ascii="宋体" w:hAnsi="宋体"/>
          <w:color w:val="auto"/>
          <w:sz w:val="24"/>
          <w:highlight w:val="none"/>
          <w:lang w:val="en-US" w:eastAsia="zh-CN"/>
        </w:rPr>
        <w:t>附于响应文件中</w:t>
      </w:r>
      <w:r>
        <w:rPr>
          <w:rFonts w:hint="eastAsia"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500" w:lineRule="exact"/>
        <w:ind w:firstLine="542" w:firstLineChars="225"/>
        <w:textAlignment w:val="auto"/>
        <w:outlineLvl w:val="2"/>
        <w:rPr>
          <w:rFonts w:hint="eastAsia" w:ascii="宋体" w:hAnsi="宋体"/>
          <w:b/>
          <w:bCs/>
          <w:color w:val="auto"/>
          <w:sz w:val="24"/>
          <w:highlight w:val="none"/>
        </w:rPr>
      </w:pPr>
      <w:bookmarkStart w:id="166" w:name="_Toc16308"/>
      <w:bookmarkStart w:id="167" w:name="_Toc24573"/>
      <w:r>
        <w:rPr>
          <w:rFonts w:hint="eastAsia" w:ascii="宋体" w:hAnsi="宋体"/>
          <w:b/>
          <w:bCs/>
          <w:color w:val="auto"/>
          <w:sz w:val="24"/>
          <w:highlight w:val="none"/>
        </w:rPr>
        <w:t>3</w:t>
      </w:r>
      <w:r>
        <w:rPr>
          <w:rFonts w:hint="eastAsia" w:ascii="宋体" w:hAnsi="宋体"/>
          <w:b/>
          <w:bCs/>
          <w:color w:val="auto"/>
          <w:sz w:val="24"/>
          <w:highlight w:val="none"/>
          <w:lang w:val="en-US" w:eastAsia="zh-CN"/>
        </w:rPr>
        <w:t>.</w:t>
      </w:r>
      <w:r>
        <w:rPr>
          <w:rFonts w:hint="eastAsia" w:ascii="宋体" w:hAnsi="宋体"/>
          <w:b/>
          <w:bCs/>
          <w:color w:val="auto"/>
          <w:sz w:val="24"/>
          <w:highlight w:val="none"/>
        </w:rPr>
        <w:t>监狱企业</w:t>
      </w:r>
      <w:bookmarkEnd w:id="166"/>
      <w:bookmarkEnd w:id="167"/>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3.1</w:t>
      </w:r>
      <w:r>
        <w:rPr>
          <w:rFonts w:hint="eastAsia" w:ascii="宋体" w:hAnsi="宋体"/>
          <w:color w:val="auto"/>
          <w:sz w:val="24"/>
          <w:highlight w:val="none"/>
        </w:rPr>
        <w:t>若供应商为监狱企业，按照财政部、司法部发布的《关于政府采购支持监狱企业发展有关问题的通知》的规定，在政府采购活动中，监狱企业视同小型、微型企业，享受评审中价格扣除的政府采购政策。</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3.2</w:t>
      </w:r>
      <w:r>
        <w:rPr>
          <w:rFonts w:hint="eastAsia" w:ascii="宋体" w:hAnsi="宋体"/>
          <w:color w:val="auto"/>
          <w:sz w:val="24"/>
          <w:highlight w:val="none"/>
        </w:rPr>
        <w:t>给予监狱企业（包括相互之间组成的联合体）产品的价格</w:t>
      </w:r>
      <w:r>
        <w:rPr>
          <w:rFonts w:hint="eastAsia" w:ascii="宋体" w:hAnsi="宋体"/>
          <w:color w:val="auto"/>
          <w:sz w:val="24"/>
          <w:highlight w:val="none"/>
          <w:u w:val="single"/>
          <w:lang w:val="en-US" w:eastAsia="zh-CN"/>
        </w:rPr>
        <w:t>8%</w:t>
      </w:r>
      <w:r>
        <w:rPr>
          <w:rFonts w:hint="eastAsia" w:ascii="宋体" w:hAnsi="宋体"/>
          <w:color w:val="auto"/>
          <w:sz w:val="24"/>
          <w:highlight w:val="none"/>
        </w:rPr>
        <w:t xml:space="preserve">的扣除；计算方法是： </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3.3</w:t>
      </w:r>
      <w:r>
        <w:rPr>
          <w:rFonts w:hint="eastAsia" w:ascii="宋体" w:hAnsi="宋体"/>
          <w:color w:val="auto"/>
          <w:sz w:val="24"/>
          <w:highlight w:val="none"/>
        </w:rPr>
        <w:t>法人、其他组织或者自然人与监狱企业组成联合体</w:t>
      </w:r>
      <w:r>
        <w:rPr>
          <w:rFonts w:hint="eastAsia" w:ascii="宋体" w:hAnsi="宋体"/>
          <w:color w:val="auto"/>
          <w:sz w:val="24"/>
          <w:highlight w:val="none"/>
          <w:lang w:eastAsia="zh-CN"/>
        </w:rPr>
        <w:t>响应</w:t>
      </w:r>
      <w:r>
        <w:rPr>
          <w:rFonts w:hint="eastAsia" w:ascii="宋体" w:hAnsi="宋体"/>
          <w:color w:val="auto"/>
          <w:sz w:val="24"/>
          <w:highlight w:val="none"/>
        </w:rPr>
        <w:t>，联合协议中约定，监狱企业的协议合同金额占到联合体协议合同金额30%以上的，可给予联合体</w:t>
      </w:r>
      <w:r>
        <w:rPr>
          <w:rFonts w:hint="eastAsia" w:ascii="宋体" w:hAnsi="宋体"/>
          <w:color w:val="auto"/>
          <w:sz w:val="24"/>
          <w:highlight w:val="none"/>
          <w:u w:val="single"/>
          <w:lang w:val="en-US" w:eastAsia="zh-CN"/>
        </w:rPr>
        <w:t>2%</w:t>
      </w:r>
      <w:r>
        <w:rPr>
          <w:rFonts w:hint="eastAsia" w:ascii="宋体" w:hAnsi="宋体"/>
          <w:color w:val="auto"/>
          <w:sz w:val="24"/>
          <w:highlight w:val="none"/>
        </w:rPr>
        <w:t xml:space="preserve">的价格扣除。计算方法是： </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 xml:space="preserve">，按照最终价格计算其价格分得分。 </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供应商须提供省级以上监狱管理局、戒毒管理局（含新疆生产建设兵团）出具的属于监狱企业的证明文件</w:t>
      </w:r>
      <w:r>
        <w:rPr>
          <w:rFonts w:hint="eastAsia" w:ascii="宋体" w:hAnsi="宋体"/>
          <w:color w:val="auto"/>
          <w:sz w:val="24"/>
          <w:highlight w:val="none"/>
          <w:lang w:eastAsia="zh-CN"/>
        </w:rPr>
        <w:t>扫描件</w:t>
      </w:r>
      <w:r>
        <w:rPr>
          <w:rFonts w:hint="eastAsia" w:ascii="宋体" w:hAnsi="宋体"/>
          <w:color w:val="auto"/>
          <w:sz w:val="24"/>
          <w:highlight w:val="none"/>
        </w:rPr>
        <w:t>附于响应文件中，否则不给予价格扣除。</w:t>
      </w:r>
    </w:p>
    <w:p>
      <w:pPr>
        <w:keepNext w:val="0"/>
        <w:keepLines w:val="0"/>
        <w:pageBreakBefore w:val="0"/>
        <w:widowControl w:val="0"/>
        <w:kinsoku/>
        <w:wordWrap/>
        <w:overflowPunct/>
        <w:topLinePunct w:val="0"/>
        <w:autoSpaceDE/>
        <w:autoSpaceDN/>
        <w:bidi w:val="0"/>
        <w:adjustRightInd/>
        <w:snapToGrid/>
        <w:spacing w:line="500" w:lineRule="exact"/>
        <w:ind w:firstLine="542" w:firstLineChars="225"/>
        <w:textAlignment w:val="auto"/>
        <w:outlineLvl w:val="2"/>
        <w:rPr>
          <w:rFonts w:hint="eastAsia" w:ascii="宋体" w:hAnsi="宋体"/>
          <w:b/>
          <w:bCs/>
          <w:color w:val="auto"/>
          <w:sz w:val="24"/>
          <w:highlight w:val="none"/>
        </w:rPr>
      </w:pPr>
      <w:bookmarkStart w:id="168" w:name="_Toc29287"/>
      <w:bookmarkStart w:id="169" w:name="_Toc14167"/>
      <w:r>
        <w:rPr>
          <w:rFonts w:hint="eastAsia" w:ascii="宋体" w:hAnsi="宋体"/>
          <w:b/>
          <w:bCs/>
          <w:color w:val="auto"/>
          <w:sz w:val="24"/>
          <w:highlight w:val="none"/>
        </w:rPr>
        <w:t>4</w:t>
      </w:r>
      <w:r>
        <w:rPr>
          <w:rFonts w:hint="eastAsia" w:ascii="宋体" w:hAnsi="宋体"/>
          <w:b/>
          <w:bCs/>
          <w:color w:val="auto"/>
          <w:sz w:val="24"/>
          <w:highlight w:val="none"/>
          <w:lang w:val="en-US" w:eastAsia="zh-CN"/>
        </w:rPr>
        <w:t>.</w:t>
      </w:r>
      <w:r>
        <w:rPr>
          <w:rFonts w:hint="eastAsia" w:ascii="宋体" w:hAnsi="宋体"/>
          <w:b/>
          <w:bCs/>
          <w:color w:val="auto"/>
          <w:sz w:val="24"/>
          <w:highlight w:val="none"/>
        </w:rPr>
        <w:t>残疾人福利性单位</w:t>
      </w:r>
      <w:bookmarkEnd w:id="168"/>
      <w:bookmarkEnd w:id="169"/>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4.1</w:t>
      </w:r>
      <w:r>
        <w:rPr>
          <w:rFonts w:hint="eastAsia" w:ascii="宋体" w:hAnsi="宋体"/>
          <w:color w:val="auto"/>
          <w:sz w:val="24"/>
          <w:highlight w:val="none"/>
        </w:rPr>
        <w:t>若供应商为残疾人福利性单位， &lt;&lt;三部门联合发布关于促进残疾人就业政府采购政策的通知&gt;&gt;(财库〔201</w:t>
      </w:r>
      <w:r>
        <w:rPr>
          <w:rFonts w:hint="eastAsia" w:ascii="宋体" w:hAnsi="宋体"/>
          <w:color w:val="auto"/>
          <w:sz w:val="24"/>
          <w:highlight w:val="none"/>
          <w:lang w:val="en-US" w:eastAsia="zh-CN"/>
        </w:rPr>
        <w:t>7</w:t>
      </w:r>
      <w:r>
        <w:rPr>
          <w:rFonts w:hint="eastAsia" w:ascii="宋体" w:hAnsi="宋体"/>
          <w:color w:val="auto"/>
          <w:sz w:val="24"/>
          <w:highlight w:val="none"/>
        </w:rPr>
        <w:t>〕141号)的规定，在政府采购活动中残疾人福利性单位视同小型、微型企业，享受预留份额、评审中价格扣除等促进中小企业发展的政府采购政策。残疾人福利性单位属于小型、微型企业的，不重复享受政策。</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4.2</w:t>
      </w:r>
      <w:r>
        <w:rPr>
          <w:rFonts w:hint="eastAsia" w:ascii="宋体" w:hAnsi="宋体"/>
          <w:color w:val="auto"/>
          <w:sz w:val="24"/>
          <w:highlight w:val="none"/>
        </w:rPr>
        <w:t>给予残疾人福利性单位产品的价格</w:t>
      </w:r>
      <w:r>
        <w:rPr>
          <w:rFonts w:hint="eastAsia" w:ascii="宋体" w:hAnsi="宋体"/>
          <w:color w:val="auto"/>
          <w:sz w:val="24"/>
          <w:highlight w:val="none"/>
          <w:u w:val="single"/>
          <w:lang w:val="en-US" w:eastAsia="zh-CN"/>
        </w:rPr>
        <w:t>8%</w:t>
      </w:r>
      <w:r>
        <w:rPr>
          <w:rFonts w:hint="eastAsia" w:ascii="宋体" w:hAnsi="宋体"/>
          <w:color w:val="auto"/>
          <w:sz w:val="24"/>
          <w:highlight w:val="none"/>
        </w:rPr>
        <w:t>的扣除；计算方法是：</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供应商须提供《残疾人福利性单位声明函》</w:t>
      </w:r>
      <w:r>
        <w:rPr>
          <w:rFonts w:hint="eastAsia" w:ascii="宋体" w:hAnsi="宋体"/>
          <w:color w:val="auto"/>
          <w:sz w:val="24"/>
          <w:highlight w:val="none"/>
          <w:lang w:eastAsia="zh-CN"/>
        </w:rPr>
        <w:t>扫描件</w:t>
      </w:r>
      <w:r>
        <w:rPr>
          <w:rFonts w:hint="eastAsia" w:ascii="宋体" w:hAnsi="宋体"/>
          <w:color w:val="auto"/>
          <w:sz w:val="24"/>
          <w:highlight w:val="none"/>
          <w:lang w:val="en-US" w:eastAsia="zh-CN"/>
        </w:rPr>
        <w:t>附于响应文件中</w:t>
      </w:r>
      <w:r>
        <w:rPr>
          <w:rFonts w:hint="eastAsia" w:ascii="宋体" w:hAnsi="宋体"/>
          <w:color w:val="auto"/>
          <w:sz w:val="24"/>
          <w:highlight w:val="none"/>
        </w:rPr>
        <w:t>，否则不给予价格扣除。</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4.3</w:t>
      </w:r>
      <w:r>
        <w:rPr>
          <w:rFonts w:hint="eastAsia" w:ascii="宋体" w:hAnsi="宋体"/>
          <w:color w:val="auto"/>
          <w:sz w:val="24"/>
          <w:highlight w:val="none"/>
        </w:rPr>
        <w:t>成交供应商为残疾人福利性单位的，采购代理机构应当随中标结果同时公告其《残疾人福利性单位声明函》，接受社会监督。</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注：供应商在响应文件中提供的涉及到政策加分项目的相关资料须一次性上传提交出示，不接受二次提交材料验证，由</w:t>
      </w:r>
      <w:r>
        <w:rPr>
          <w:rFonts w:hint="eastAsia" w:ascii="宋体" w:hAnsi="宋体"/>
          <w:color w:val="auto"/>
          <w:sz w:val="24"/>
          <w:highlight w:val="none"/>
          <w:lang w:val="en-US" w:eastAsia="zh-CN"/>
        </w:rPr>
        <w:t>评标委员会</w:t>
      </w:r>
      <w:r>
        <w:rPr>
          <w:rFonts w:hint="eastAsia" w:ascii="宋体" w:hAnsi="宋体"/>
          <w:color w:val="auto"/>
          <w:sz w:val="24"/>
          <w:highlight w:val="none"/>
        </w:rPr>
        <w:t>检查验证。供应商所提供的资料或填写的内容必须真实、可靠，如有虚假或隐瞒，一经查实将导致</w:t>
      </w:r>
      <w:r>
        <w:rPr>
          <w:rFonts w:hint="eastAsia" w:ascii="宋体" w:hAnsi="宋体"/>
          <w:color w:val="auto"/>
          <w:sz w:val="24"/>
          <w:highlight w:val="none"/>
          <w:lang w:eastAsia="zh-CN"/>
        </w:rPr>
        <w:t>响应</w:t>
      </w:r>
      <w:r>
        <w:rPr>
          <w:rFonts w:hint="eastAsia" w:ascii="宋体" w:hAnsi="宋体"/>
          <w:color w:val="auto"/>
          <w:sz w:val="24"/>
          <w:highlight w:val="none"/>
        </w:rPr>
        <w:t>被拒绝，并按照《中华人民共和国政府采购法》第七十七条第一款“提供虚假材料谋取中标的”进行处罚，给甲方造成损失的应承担赔偿</w:t>
      </w:r>
      <w:r>
        <w:rPr>
          <w:rFonts w:hint="eastAsia" w:ascii="宋体" w:hAnsi="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42" w:firstLineChars="225"/>
        <w:textAlignment w:val="auto"/>
        <w:outlineLvl w:val="1"/>
        <w:rPr>
          <w:rFonts w:hint="default" w:ascii="宋体" w:hAnsi="宋体" w:eastAsia="宋体"/>
          <w:b/>
          <w:bCs/>
          <w:color w:val="auto"/>
          <w:sz w:val="24"/>
          <w:highlight w:val="none"/>
          <w:lang w:val="en-US" w:eastAsia="zh-CN"/>
        </w:rPr>
      </w:pPr>
      <w:bookmarkStart w:id="170" w:name="_Toc1591"/>
      <w:r>
        <w:rPr>
          <w:rFonts w:hint="eastAsia" w:ascii="宋体" w:hAnsi="宋体"/>
          <w:b/>
          <w:bCs/>
          <w:color w:val="auto"/>
          <w:sz w:val="24"/>
          <w:highlight w:val="none"/>
          <w:lang w:val="en-US" w:eastAsia="zh-CN"/>
        </w:rPr>
        <w:t>二、评审办法</w:t>
      </w:r>
      <w:bookmarkEnd w:id="170"/>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lang w:val="zh-CN"/>
        </w:rPr>
      </w:pPr>
      <w:r>
        <w:rPr>
          <w:rFonts w:hint="eastAsia" w:ascii="宋体" w:hAnsi="宋体"/>
          <w:color w:val="auto"/>
          <w:sz w:val="24"/>
          <w:highlight w:val="none"/>
          <w:lang w:val="zh-CN"/>
        </w:rPr>
        <w:t>本次评审采用综合评分法。磋商小组对满足</w:t>
      </w:r>
      <w:r>
        <w:rPr>
          <w:rFonts w:hint="eastAsia" w:ascii="宋体" w:hAnsi="宋体"/>
          <w:color w:val="auto"/>
          <w:sz w:val="24"/>
          <w:highlight w:val="none"/>
          <w:lang w:val="en-US" w:eastAsia="zh-CN"/>
        </w:rPr>
        <w:t>采购</w:t>
      </w:r>
      <w:r>
        <w:rPr>
          <w:rFonts w:hint="eastAsia" w:ascii="宋体" w:hAnsi="宋体"/>
          <w:color w:val="auto"/>
          <w:sz w:val="24"/>
          <w:highlight w:val="none"/>
          <w:lang w:val="zh-CN"/>
        </w:rPr>
        <w:t>文件全部实质性要求的响应文件按照评审因素的量化指标进行评审。评审得分相同的，按照最后报价由底到高的顺序推荐。评审得分且最后最后报价相同的，按技术指标优劣顺序推荐。</w:t>
      </w:r>
      <w:bookmarkStart w:id="171" w:name="percentDesc"/>
      <w:bookmarkEnd w:id="171"/>
    </w:p>
    <w:p>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b/>
          <w:bCs/>
          <w:color w:val="auto"/>
          <w:sz w:val="24"/>
          <w:highlight w:val="none"/>
        </w:rPr>
      </w:pPr>
      <w:bookmarkStart w:id="172" w:name="_Toc14467"/>
      <w:r>
        <w:rPr>
          <w:rFonts w:hint="eastAsia" w:ascii="宋体" w:hAnsi="宋体"/>
          <w:b/>
          <w:bCs/>
          <w:color w:val="auto"/>
          <w:sz w:val="24"/>
          <w:highlight w:val="none"/>
          <w:lang w:val="en-US" w:eastAsia="zh-CN"/>
        </w:rPr>
        <w:t>三</w:t>
      </w:r>
      <w:r>
        <w:rPr>
          <w:rFonts w:hint="eastAsia" w:ascii="宋体" w:hAnsi="宋体"/>
          <w:b/>
          <w:bCs/>
          <w:color w:val="auto"/>
          <w:sz w:val="24"/>
          <w:highlight w:val="none"/>
        </w:rPr>
        <w:t>、评标标准</w:t>
      </w:r>
      <w:bookmarkEnd w:id="172"/>
    </w:p>
    <w:p>
      <w:pPr>
        <w:pStyle w:val="5"/>
        <w:pageBreakBefore w:val="0"/>
        <w:kinsoku/>
        <w:wordWrap/>
        <w:overflowPunct/>
        <w:topLinePunct w:val="0"/>
        <w:bidi w:val="0"/>
        <w:spacing w:line="560" w:lineRule="exact"/>
        <w:textAlignment w:val="auto"/>
        <w:outlineLvl w:val="2"/>
        <w:rPr>
          <w:rFonts w:ascii="宋体" w:hAnsi="宋体"/>
          <w:color w:val="auto"/>
          <w:highlight w:val="none"/>
        </w:rPr>
      </w:pPr>
      <w:bookmarkStart w:id="173" w:name="_Toc30512"/>
      <w:bookmarkStart w:id="174" w:name="_Toc46136844"/>
      <w:bookmarkStart w:id="175" w:name="_Toc45562497"/>
      <w:bookmarkStart w:id="176" w:name="_Toc22411"/>
      <w:bookmarkStart w:id="177" w:name="_Toc11209"/>
      <w:r>
        <w:rPr>
          <w:rFonts w:hint="eastAsia" w:ascii="宋体" w:hAnsi="宋体"/>
          <w:b w:val="0"/>
          <w:bCs/>
          <w:color w:val="auto"/>
          <w:highlight w:val="none"/>
        </w:rPr>
        <w:t>（一）初步评审</w:t>
      </w:r>
      <w:bookmarkEnd w:id="173"/>
      <w:bookmarkEnd w:id="174"/>
      <w:bookmarkEnd w:id="175"/>
      <w:bookmarkEnd w:id="176"/>
      <w:bookmarkEnd w:id="177"/>
    </w:p>
    <w:tbl>
      <w:tblPr>
        <w:tblStyle w:val="20"/>
        <w:tblW w:w="9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1"/>
        <w:gridCol w:w="773"/>
        <w:gridCol w:w="1870"/>
        <w:gridCol w:w="6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261" w:type="dxa"/>
            <w:noWrap w:val="0"/>
            <w:vAlign w:val="center"/>
          </w:tcPr>
          <w:p>
            <w:pPr>
              <w:pStyle w:val="2"/>
              <w:numPr>
                <w:ilvl w:val="0"/>
                <w:numId w:val="0"/>
              </w:numPr>
              <w:jc w:val="center"/>
              <w:rPr>
                <w:rFonts w:hint="eastAsia"/>
                <w:vertAlign w:val="baseline"/>
              </w:rPr>
            </w:pPr>
            <w:r>
              <w:rPr>
                <w:rFonts w:hint="eastAsia" w:ascii="宋体" w:hAnsi="宋体" w:eastAsia="宋体" w:cs="宋体"/>
                <w:color w:val="auto"/>
                <w:kern w:val="0"/>
                <w:sz w:val="24"/>
                <w:szCs w:val="24"/>
                <w:highlight w:val="none"/>
                <w:lang w:eastAsia="en-US"/>
              </w:rPr>
              <w:t>评审方式</w:t>
            </w:r>
          </w:p>
        </w:tc>
        <w:tc>
          <w:tcPr>
            <w:tcW w:w="773"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序号</w:t>
            </w:r>
          </w:p>
        </w:tc>
        <w:tc>
          <w:tcPr>
            <w:tcW w:w="187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评审因素</w:t>
            </w:r>
          </w:p>
        </w:tc>
        <w:tc>
          <w:tcPr>
            <w:tcW w:w="6061"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符合性</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评审</w:t>
            </w:r>
          </w:p>
          <w:p>
            <w:pPr>
              <w:pStyle w:val="2"/>
              <w:numPr>
                <w:ilvl w:val="0"/>
                <w:numId w:val="0"/>
              </w:numPr>
              <w:jc w:val="center"/>
              <w:rPr>
                <w:rFonts w:hint="eastAsia"/>
                <w:vertAlign w:val="baseline"/>
              </w:rPr>
            </w:pPr>
          </w:p>
        </w:tc>
        <w:tc>
          <w:tcPr>
            <w:tcW w:w="773"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1</w:t>
            </w:r>
          </w:p>
        </w:tc>
        <w:tc>
          <w:tcPr>
            <w:tcW w:w="187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供应商</w:t>
            </w:r>
            <w:r>
              <w:rPr>
                <w:rFonts w:hint="eastAsia" w:ascii="宋体" w:hAnsi="宋体" w:eastAsia="宋体" w:cs="宋体"/>
                <w:color w:val="auto"/>
                <w:kern w:val="0"/>
                <w:sz w:val="24"/>
                <w:szCs w:val="24"/>
                <w:highlight w:val="none"/>
                <w:lang w:eastAsia="en-US"/>
              </w:rPr>
              <w:t>名称</w:t>
            </w:r>
          </w:p>
        </w:tc>
        <w:tc>
          <w:tcPr>
            <w:tcW w:w="6061"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vMerge w:val="continue"/>
            <w:noWrap w:val="0"/>
            <w:vAlign w:val="top"/>
          </w:tcPr>
          <w:p>
            <w:pPr>
              <w:pStyle w:val="2"/>
              <w:numPr>
                <w:ilvl w:val="0"/>
                <w:numId w:val="0"/>
              </w:numPr>
              <w:jc w:val="center"/>
              <w:rPr>
                <w:rFonts w:hint="eastAsia"/>
                <w:vertAlign w:val="baseline"/>
              </w:rPr>
            </w:pPr>
          </w:p>
        </w:tc>
        <w:tc>
          <w:tcPr>
            <w:tcW w:w="773"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2</w:t>
            </w:r>
          </w:p>
        </w:tc>
        <w:tc>
          <w:tcPr>
            <w:tcW w:w="187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响应</w:t>
            </w:r>
            <w:r>
              <w:rPr>
                <w:rFonts w:hint="eastAsia" w:ascii="宋体" w:hAnsi="宋体" w:eastAsia="宋体" w:cs="宋体"/>
                <w:color w:val="auto"/>
                <w:kern w:val="0"/>
                <w:sz w:val="24"/>
                <w:szCs w:val="24"/>
                <w:highlight w:val="none"/>
                <w:lang w:eastAsia="en-US"/>
              </w:rPr>
              <w:t>文件签署</w:t>
            </w:r>
          </w:p>
        </w:tc>
        <w:tc>
          <w:tcPr>
            <w:tcW w:w="6061"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响应文件签署与采购文件要求加盖公章或法人签字或签字有法人有效授权；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261" w:type="dxa"/>
            <w:vMerge w:val="continue"/>
            <w:noWrap w:val="0"/>
            <w:vAlign w:val="top"/>
          </w:tcPr>
          <w:p>
            <w:pPr>
              <w:pStyle w:val="2"/>
              <w:numPr>
                <w:ilvl w:val="0"/>
                <w:numId w:val="0"/>
              </w:numPr>
              <w:jc w:val="center"/>
              <w:rPr>
                <w:rFonts w:hint="eastAsia"/>
                <w:vertAlign w:val="baseline"/>
              </w:rPr>
            </w:pPr>
          </w:p>
        </w:tc>
        <w:tc>
          <w:tcPr>
            <w:tcW w:w="773"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3</w:t>
            </w:r>
          </w:p>
        </w:tc>
        <w:tc>
          <w:tcPr>
            <w:tcW w:w="187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投标方案</w:t>
            </w:r>
          </w:p>
        </w:tc>
        <w:tc>
          <w:tcPr>
            <w:tcW w:w="6061"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只有一个投标方案且满足招标文件要求；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261" w:type="dxa"/>
            <w:vMerge w:val="continue"/>
            <w:noWrap w:val="0"/>
            <w:vAlign w:val="top"/>
          </w:tcPr>
          <w:p>
            <w:pPr>
              <w:pStyle w:val="2"/>
              <w:numPr>
                <w:ilvl w:val="0"/>
                <w:numId w:val="0"/>
              </w:numPr>
              <w:jc w:val="center"/>
              <w:rPr>
                <w:rFonts w:hint="eastAsia"/>
                <w:vertAlign w:val="baseline"/>
              </w:rPr>
            </w:pPr>
          </w:p>
        </w:tc>
        <w:tc>
          <w:tcPr>
            <w:tcW w:w="773"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4</w:t>
            </w:r>
          </w:p>
        </w:tc>
        <w:tc>
          <w:tcPr>
            <w:tcW w:w="187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eastAsia="en-US"/>
              </w:rPr>
              <w:t>报价</w:t>
            </w:r>
          </w:p>
        </w:tc>
        <w:tc>
          <w:tcPr>
            <w:tcW w:w="6061"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只有一个有效报价；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261" w:type="dxa"/>
            <w:vMerge w:val="continue"/>
            <w:noWrap w:val="0"/>
            <w:vAlign w:val="top"/>
          </w:tcPr>
          <w:p>
            <w:pPr>
              <w:pStyle w:val="2"/>
              <w:numPr>
                <w:ilvl w:val="0"/>
                <w:numId w:val="0"/>
              </w:numPr>
              <w:jc w:val="center"/>
              <w:rPr>
                <w:rFonts w:hint="eastAsia"/>
                <w:vertAlign w:val="baseline"/>
              </w:rPr>
            </w:pPr>
          </w:p>
        </w:tc>
        <w:tc>
          <w:tcPr>
            <w:tcW w:w="773"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5</w:t>
            </w:r>
          </w:p>
        </w:tc>
        <w:tc>
          <w:tcPr>
            <w:tcW w:w="187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响应</w:t>
            </w:r>
            <w:r>
              <w:rPr>
                <w:rFonts w:hint="eastAsia" w:ascii="宋体" w:hAnsi="宋体" w:eastAsia="宋体" w:cs="宋体"/>
                <w:color w:val="auto"/>
                <w:kern w:val="0"/>
                <w:sz w:val="24"/>
                <w:szCs w:val="24"/>
                <w:highlight w:val="none"/>
                <w:lang w:eastAsia="en-US"/>
              </w:rPr>
              <w:t>有效期</w:t>
            </w:r>
          </w:p>
        </w:tc>
        <w:tc>
          <w:tcPr>
            <w:tcW w:w="6061"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响应有效期符合采购文件规定；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261" w:type="dxa"/>
            <w:vMerge w:val="continue"/>
            <w:noWrap w:val="0"/>
            <w:vAlign w:val="top"/>
          </w:tcPr>
          <w:p>
            <w:pPr>
              <w:pStyle w:val="2"/>
              <w:numPr>
                <w:ilvl w:val="0"/>
                <w:numId w:val="0"/>
              </w:numPr>
              <w:jc w:val="center"/>
              <w:rPr>
                <w:rFonts w:hint="eastAsia"/>
                <w:vertAlign w:val="baseline"/>
              </w:rPr>
            </w:pPr>
          </w:p>
        </w:tc>
        <w:tc>
          <w:tcPr>
            <w:tcW w:w="773"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6</w:t>
            </w:r>
          </w:p>
        </w:tc>
        <w:tc>
          <w:tcPr>
            <w:tcW w:w="187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服务要求</w:t>
            </w:r>
          </w:p>
        </w:tc>
        <w:tc>
          <w:tcPr>
            <w:tcW w:w="6061"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符合采购文件第三章要求；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261" w:type="dxa"/>
            <w:vMerge w:val="continue"/>
            <w:noWrap w:val="0"/>
            <w:vAlign w:val="top"/>
          </w:tcPr>
          <w:p>
            <w:pPr>
              <w:pStyle w:val="2"/>
              <w:numPr>
                <w:ilvl w:val="0"/>
                <w:numId w:val="0"/>
              </w:numPr>
              <w:jc w:val="center"/>
              <w:rPr>
                <w:rFonts w:hint="eastAsia"/>
                <w:vertAlign w:val="baseline"/>
              </w:rPr>
            </w:pPr>
          </w:p>
        </w:tc>
        <w:tc>
          <w:tcPr>
            <w:tcW w:w="773"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7</w:t>
            </w:r>
          </w:p>
        </w:tc>
        <w:tc>
          <w:tcPr>
            <w:tcW w:w="187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服务期限</w:t>
            </w:r>
            <w:r>
              <w:rPr>
                <w:rFonts w:hint="eastAsia" w:ascii="宋体" w:hAnsi="宋体" w:eastAsia="宋体" w:cs="宋体"/>
                <w:color w:val="auto"/>
                <w:kern w:val="0"/>
                <w:sz w:val="24"/>
                <w:szCs w:val="24"/>
                <w:highlight w:val="none"/>
                <w:lang w:eastAsia="zh-CN"/>
              </w:rPr>
              <w:t>、地点</w:t>
            </w:r>
          </w:p>
        </w:tc>
        <w:tc>
          <w:tcPr>
            <w:tcW w:w="6061"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服务期限</w:t>
            </w:r>
            <w:r>
              <w:rPr>
                <w:rFonts w:hint="eastAsia" w:ascii="宋体" w:hAnsi="宋体" w:eastAsia="宋体" w:cs="宋体"/>
                <w:color w:val="auto"/>
                <w:kern w:val="0"/>
                <w:sz w:val="24"/>
                <w:szCs w:val="24"/>
                <w:highlight w:val="none"/>
                <w:lang w:eastAsia="zh-CN"/>
              </w:rPr>
              <w:t>、地点</w:t>
            </w:r>
            <w:r>
              <w:rPr>
                <w:rFonts w:hint="eastAsia" w:ascii="宋体" w:hAnsi="宋体" w:eastAsia="宋体" w:cs="宋体"/>
                <w:color w:val="auto"/>
                <w:kern w:val="0"/>
                <w:sz w:val="24"/>
                <w:szCs w:val="24"/>
                <w:highlight w:val="none"/>
              </w:rPr>
              <w:t>符合采购文件要求；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261" w:type="dxa"/>
            <w:vMerge w:val="continue"/>
            <w:noWrap w:val="0"/>
            <w:vAlign w:val="top"/>
          </w:tcPr>
          <w:p>
            <w:pPr>
              <w:pStyle w:val="2"/>
              <w:numPr>
                <w:ilvl w:val="0"/>
                <w:numId w:val="0"/>
              </w:numPr>
              <w:rPr>
                <w:rFonts w:hint="eastAsia"/>
                <w:vertAlign w:val="baseline"/>
              </w:rPr>
            </w:pPr>
          </w:p>
        </w:tc>
        <w:tc>
          <w:tcPr>
            <w:tcW w:w="773"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8</w:t>
            </w:r>
          </w:p>
        </w:tc>
        <w:tc>
          <w:tcPr>
            <w:tcW w:w="187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lang w:eastAsia="en-US"/>
              </w:rPr>
              <w:t>其他实质性要求</w:t>
            </w:r>
          </w:p>
        </w:tc>
        <w:tc>
          <w:tcPr>
            <w:tcW w:w="6061"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vertAlign w:val="baseline"/>
              </w:rPr>
            </w:pPr>
            <w:r>
              <w:rPr>
                <w:rFonts w:hint="eastAsia" w:ascii="宋体" w:hAnsi="宋体" w:eastAsia="宋体" w:cs="宋体"/>
                <w:color w:val="auto"/>
                <w:kern w:val="0"/>
                <w:sz w:val="24"/>
                <w:szCs w:val="24"/>
                <w:highlight w:val="none"/>
              </w:rPr>
              <w:t>符合法律、法规及采购文件中规定的其它实质性要求。</w:t>
            </w:r>
          </w:p>
        </w:tc>
      </w:tr>
    </w:tbl>
    <w:p>
      <w:pPr>
        <w:pStyle w:val="5"/>
        <w:pageBreakBefore w:val="0"/>
        <w:numPr>
          <w:ilvl w:val="0"/>
          <w:numId w:val="7"/>
        </w:numPr>
        <w:kinsoku/>
        <w:wordWrap/>
        <w:overflowPunct/>
        <w:topLinePunct w:val="0"/>
        <w:bidi w:val="0"/>
        <w:spacing w:line="560" w:lineRule="exact"/>
        <w:textAlignment w:val="auto"/>
        <w:outlineLvl w:val="2"/>
        <w:rPr>
          <w:rFonts w:hint="eastAsia" w:ascii="宋体" w:hAnsi="宋体"/>
          <w:b w:val="0"/>
          <w:bCs/>
          <w:color w:val="auto"/>
          <w:highlight w:val="none"/>
          <w:lang w:val="en-US" w:eastAsia="zh-CN"/>
        </w:rPr>
      </w:pPr>
      <w:bookmarkStart w:id="178" w:name="_Toc12700"/>
      <w:bookmarkStart w:id="179" w:name="_Toc16042"/>
      <w:r>
        <w:rPr>
          <w:rFonts w:hint="eastAsia" w:ascii="宋体" w:hAnsi="宋体"/>
          <w:b w:val="0"/>
          <w:bCs/>
          <w:color w:val="auto"/>
          <w:highlight w:val="none"/>
          <w:lang w:val="en-US" w:eastAsia="zh-CN"/>
        </w:rPr>
        <w:t>详细评审</w:t>
      </w:r>
      <w:bookmarkEnd w:id="178"/>
      <w:bookmarkEnd w:id="179"/>
    </w:p>
    <w:p>
      <w:pPr>
        <w:numPr>
          <w:ilvl w:val="0"/>
          <w:numId w:val="0"/>
        </w:numPr>
        <w:rPr>
          <w:rFonts w:hint="default"/>
          <w:lang w:val="en-US" w:eastAsia="zh-CN"/>
        </w:rPr>
      </w:pPr>
    </w:p>
    <w:tbl>
      <w:tblPr>
        <w:tblStyle w:val="19"/>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2"/>
        <w:gridCol w:w="1610"/>
        <w:gridCol w:w="950"/>
        <w:gridCol w:w="6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26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color w:val="auto"/>
                <w:sz w:val="24"/>
                <w:szCs w:val="24"/>
                <w:highlight w:val="none"/>
              </w:rPr>
            </w:pPr>
            <w:r>
              <w:rPr>
                <w:rFonts w:ascii="宋体" w:hAnsi="宋体" w:eastAsia="宋体" w:cs="宋体"/>
                <w:sz w:val="24"/>
              </w:rPr>
              <w:t>评分项目</w:t>
            </w:r>
          </w:p>
        </w:tc>
        <w:tc>
          <w:tcPr>
            <w:tcW w:w="16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评审因素</w:t>
            </w:r>
          </w:p>
        </w:tc>
        <w:tc>
          <w:tcPr>
            <w:tcW w:w="9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分值</w:t>
            </w:r>
          </w:p>
        </w:tc>
        <w:tc>
          <w:tcPr>
            <w:tcW w:w="606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2" w:type="dxa"/>
            <w:tcBorders>
              <w:top w:val="single" w:color="auto" w:sz="4" w:space="0"/>
              <w:left w:val="single" w:color="auto" w:sz="4" w:space="0"/>
              <w:right w:val="single" w:color="auto" w:sz="4" w:space="0"/>
            </w:tcBorders>
            <w:noWrap w:val="0"/>
            <w:vAlign w:val="center"/>
          </w:tcPr>
          <w:p>
            <w:pPr>
              <w:jc w:val="center"/>
              <w:rPr>
                <w:rFonts w:ascii="宋体" w:hAnsi="宋体" w:eastAsia="宋体" w:cs="宋体"/>
                <w:sz w:val="24"/>
              </w:rPr>
            </w:pPr>
            <w:r>
              <w:rPr>
                <w:rFonts w:ascii="宋体" w:hAnsi="宋体" w:eastAsia="宋体" w:cs="宋体"/>
                <w:sz w:val="24"/>
              </w:rPr>
              <w:t>价格</w:t>
            </w:r>
          </w:p>
          <w:p>
            <w:pPr>
              <w:jc w:val="center"/>
              <w:rPr>
                <w:rFonts w:hint="eastAsia" w:ascii="宋体" w:hAnsi="宋体" w:cs="宋体" w:eastAsiaTheme="minorEastAsia"/>
                <w:color w:val="auto"/>
                <w:szCs w:val="21"/>
                <w:highlight w:val="none"/>
                <w:lang w:val="en-US" w:eastAsia="zh-CN" w:bidi="ar"/>
              </w:rPr>
            </w:pPr>
            <w:r>
              <w:rPr>
                <w:rFonts w:ascii="宋体" w:hAnsi="宋体" w:eastAsia="宋体" w:cs="宋体"/>
                <w:sz w:val="24"/>
              </w:rPr>
              <w:t>（</w:t>
            </w:r>
            <w:r>
              <w:rPr>
                <w:rFonts w:hint="eastAsia" w:ascii="宋体" w:hAnsi="宋体" w:eastAsia="宋体" w:cs="宋体"/>
                <w:sz w:val="24"/>
                <w:lang w:val="en-US" w:eastAsia="zh-CN"/>
              </w:rPr>
              <w:t>10</w:t>
            </w:r>
            <w:r>
              <w:rPr>
                <w:rFonts w:ascii="宋体" w:hAnsi="宋体" w:eastAsia="宋体" w:cs="宋体"/>
                <w:sz w:val="24"/>
              </w:rPr>
              <w:t>分）</w:t>
            </w:r>
          </w:p>
        </w:tc>
        <w:tc>
          <w:tcPr>
            <w:tcW w:w="16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440" w:lineRule="exact"/>
              <w:jc w:val="center"/>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投标报价</w:t>
            </w:r>
          </w:p>
        </w:tc>
        <w:tc>
          <w:tcPr>
            <w:tcW w:w="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440" w:lineRule="exact"/>
              <w:jc w:val="center"/>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10分</w:t>
            </w:r>
          </w:p>
        </w:tc>
        <w:tc>
          <w:tcPr>
            <w:tcW w:w="60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right="-23"/>
              <w:jc w:val="left"/>
              <w:textAlignment w:val="auto"/>
              <w:rPr>
                <w:rFonts w:hint="eastAsia" w:ascii="宋体" w:hAnsi="宋体" w:cs="宋体"/>
                <w:color w:val="auto"/>
                <w:szCs w:val="21"/>
                <w:highlight w:val="none"/>
              </w:rPr>
            </w:pPr>
            <w:r>
              <w:rPr>
                <w:rFonts w:ascii="宋体" w:hAnsi="宋体" w:eastAsia="宋体" w:cs="宋体"/>
                <w:sz w:val="24"/>
              </w:rPr>
              <w:t>以满足</w:t>
            </w:r>
            <w:r>
              <w:rPr>
                <w:rFonts w:hint="eastAsia" w:ascii="宋体" w:hAnsi="宋体" w:eastAsia="宋体" w:cs="宋体"/>
                <w:sz w:val="24"/>
              </w:rPr>
              <w:t>招标</w:t>
            </w:r>
            <w:r>
              <w:rPr>
                <w:rFonts w:ascii="宋体" w:hAnsi="宋体" w:eastAsia="宋体" w:cs="宋体"/>
                <w:sz w:val="24"/>
              </w:rPr>
              <w:t>文件要求且报价最低的报价为基准价，其价格分为满分</w:t>
            </w:r>
            <w:r>
              <w:rPr>
                <w:rFonts w:hint="eastAsia" w:ascii="宋体" w:hAnsi="宋体" w:eastAsia="宋体" w:cs="宋体"/>
                <w:sz w:val="24"/>
                <w:lang w:val="en-US" w:eastAsia="zh-CN"/>
              </w:rPr>
              <w:t>10</w:t>
            </w:r>
            <w:r>
              <w:rPr>
                <w:rFonts w:ascii="宋体" w:hAnsi="宋体" w:eastAsia="宋体" w:cs="宋体"/>
                <w:sz w:val="24"/>
              </w:rPr>
              <w:t>分。其他投标人的价格分统一</w:t>
            </w:r>
            <w:r>
              <w:rPr>
                <w:rFonts w:hint="eastAsia" w:ascii="宋体" w:hAnsi="宋体" w:eastAsia="宋体" w:cs="宋体"/>
                <w:sz w:val="24"/>
              </w:rPr>
              <w:t>按照下列公式计算，即：报价得分=（基准价／各供应商投标报价）</w:t>
            </w:r>
            <w:r>
              <w:rPr>
                <w:rFonts w:ascii="宋体" w:hAnsi="宋体" w:eastAsia="宋体" w:cs="宋体"/>
                <w:sz w:val="24"/>
              </w:rPr>
              <w:t>×</w:t>
            </w:r>
            <w:r>
              <w:rPr>
                <w:rFonts w:hint="eastAsia" w:ascii="宋体" w:hAnsi="宋体" w:eastAsia="宋体" w:cs="宋体"/>
                <w:sz w:val="24"/>
                <w:lang w:val="en-US" w:eastAsia="zh-CN"/>
              </w:rPr>
              <w:t>10</w:t>
            </w:r>
            <w:r>
              <w:rPr>
                <w:rFonts w:ascii="宋体" w:hAnsi="宋体" w:eastAsia="宋体" w:cs="宋体"/>
                <w:sz w:val="24"/>
              </w:rPr>
              <w:t>％×100（得分四舍五入，保留两位小数）。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jc w:val="center"/>
        </w:trPr>
        <w:tc>
          <w:tcPr>
            <w:tcW w:w="1262" w:type="dxa"/>
            <w:vMerge w:val="restart"/>
            <w:tcBorders>
              <w:top w:val="single" w:color="auto" w:sz="4" w:space="0"/>
              <w:left w:val="single" w:color="auto" w:sz="4" w:space="0"/>
              <w:right w:val="single" w:color="auto" w:sz="4" w:space="0"/>
            </w:tcBorders>
            <w:noWrap w:val="0"/>
            <w:vAlign w:val="center"/>
          </w:tcPr>
          <w:p>
            <w:pPr>
              <w:pageBreakBefore w:val="0"/>
              <w:kinsoku/>
              <w:wordWrap/>
              <w:overflowPunct/>
              <w:topLinePunct w:val="0"/>
              <w:bidi w:val="0"/>
              <w:spacing w:line="560" w:lineRule="exact"/>
              <w:ind w:right="-20"/>
              <w:jc w:val="center"/>
              <w:textAlignment w:val="auto"/>
              <w:rPr>
                <w:rFonts w:ascii="宋体" w:hAnsi="宋体" w:cs="宋体"/>
                <w:color w:val="auto"/>
                <w:szCs w:val="21"/>
                <w:highlight w:val="none"/>
              </w:rPr>
            </w:pPr>
            <w:r>
              <w:rPr>
                <w:rFonts w:ascii="宋体" w:hAnsi="宋体" w:eastAsia="宋体" w:cs="宋体"/>
                <w:sz w:val="24"/>
              </w:rPr>
              <w:t>技术部分（</w:t>
            </w:r>
            <w:r>
              <w:rPr>
                <w:rFonts w:hint="eastAsia" w:ascii="宋体" w:hAnsi="宋体" w:eastAsia="宋体" w:cs="宋体"/>
                <w:sz w:val="24"/>
                <w:lang w:val="en-US" w:eastAsia="zh-CN"/>
              </w:rPr>
              <w:t>60</w:t>
            </w:r>
            <w:r>
              <w:rPr>
                <w:rFonts w:ascii="宋体" w:hAnsi="宋体" w:eastAsia="宋体" w:cs="宋体"/>
                <w:sz w:val="24"/>
              </w:rPr>
              <w:t>分）</w:t>
            </w:r>
          </w:p>
        </w:tc>
        <w:tc>
          <w:tcPr>
            <w:tcW w:w="1610"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color w:val="auto"/>
                <w:szCs w:val="21"/>
                <w:highlight w:val="none"/>
              </w:rPr>
            </w:pPr>
            <w:r>
              <w:rPr>
                <w:rFonts w:hint="eastAsia" w:ascii="宋体" w:hAnsi="宋体" w:eastAsia="宋体" w:cs="宋体"/>
                <w:bCs/>
                <w:sz w:val="24"/>
              </w:rPr>
              <w:t>总体服务</w:t>
            </w:r>
            <w:r>
              <w:rPr>
                <w:rFonts w:ascii="宋体" w:hAnsi="宋体" w:eastAsia="宋体" w:cs="宋体"/>
                <w:bCs/>
                <w:sz w:val="24"/>
              </w:rPr>
              <w:t>方案</w:t>
            </w:r>
          </w:p>
        </w:tc>
        <w:tc>
          <w:tcPr>
            <w:tcW w:w="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color w:val="auto"/>
                <w:szCs w:val="21"/>
                <w:highlight w:val="none"/>
              </w:rPr>
            </w:pPr>
            <w:r>
              <w:rPr>
                <w:rFonts w:ascii="宋体" w:hAnsi="宋体" w:eastAsia="宋体" w:cs="宋体"/>
                <w:sz w:val="24"/>
              </w:rPr>
              <w:t>1</w:t>
            </w:r>
            <w:r>
              <w:rPr>
                <w:rFonts w:hint="eastAsia" w:ascii="宋体" w:hAnsi="宋体" w:eastAsia="宋体" w:cs="宋体"/>
                <w:sz w:val="24"/>
                <w:lang w:val="en-US" w:eastAsia="zh-CN"/>
              </w:rPr>
              <w:t>5分</w:t>
            </w:r>
          </w:p>
        </w:tc>
        <w:tc>
          <w:tcPr>
            <w:tcW w:w="6061" w:type="dxa"/>
            <w:tcBorders>
              <w:top w:val="single" w:color="auto" w:sz="4" w:space="0"/>
              <w:left w:val="single" w:color="auto" w:sz="4" w:space="0"/>
              <w:bottom w:val="single" w:color="auto" w:sz="4" w:space="0"/>
              <w:right w:val="single" w:color="auto" w:sz="4" w:space="0"/>
            </w:tcBorders>
            <w:noWrap w:val="0"/>
            <w:vAlign w:val="center"/>
          </w:tcPr>
          <w:p>
            <w:pPr>
              <w:pStyle w:val="25"/>
              <w:keepNext w:val="0"/>
              <w:keepLines w:val="0"/>
              <w:pageBreakBefore w:val="0"/>
              <w:kinsoku/>
              <w:wordWrap/>
              <w:overflowPunct/>
              <w:topLinePunct w:val="0"/>
              <w:autoSpaceDE/>
              <w:autoSpaceDN/>
              <w:bidi w:val="0"/>
              <w:adjustRightInd/>
              <w:snapToGrid/>
              <w:spacing w:line="440" w:lineRule="exact"/>
              <w:ind w:firstLine="0" w:firstLineChars="0"/>
              <w:textAlignment w:val="auto"/>
              <w:rPr>
                <w:rFonts w:hint="eastAsia" w:ascii="宋体" w:hAnsi="宋体" w:cs="宋体"/>
                <w:color w:val="auto"/>
                <w:szCs w:val="21"/>
                <w:highlight w:val="none"/>
              </w:rPr>
            </w:pPr>
            <w:r>
              <w:rPr>
                <w:rFonts w:hint="eastAsia" w:ascii="宋体" w:hAnsi="宋体" w:eastAsia="宋体" w:cs="宋体"/>
              </w:rPr>
              <w:t>根据投标人</w:t>
            </w:r>
            <w:r>
              <w:rPr>
                <w:rFonts w:hint="eastAsia" w:ascii="宋体" w:hAnsi="宋体" w:eastAsia="宋体" w:cs="宋体"/>
                <w:bCs/>
                <w:kern w:val="2"/>
              </w:rPr>
              <w:t>针对本项目总体服务方案（</w:t>
            </w:r>
            <w:r>
              <w:rPr>
                <w:rFonts w:hint="eastAsia" w:ascii="宋体" w:hAnsi="宋体" w:eastAsia="宋体" w:cs="宋体"/>
                <w:bCs/>
              </w:rPr>
              <w:t>具体实施方案、</w:t>
            </w:r>
            <w:r>
              <w:rPr>
                <w:rFonts w:hint="eastAsia" w:ascii="宋体" w:hAnsi="宋体" w:eastAsia="宋体" w:cs="宋体"/>
                <w:bCs/>
                <w:kern w:val="2"/>
              </w:rPr>
              <w:t>服务理念、工作目标、工作</w:t>
            </w:r>
            <w:r>
              <w:rPr>
                <w:rFonts w:ascii="宋体" w:hAnsi="宋体" w:eastAsia="宋体" w:cs="宋体"/>
                <w:bCs/>
                <w:kern w:val="2"/>
              </w:rPr>
              <w:t>标准、</w:t>
            </w:r>
            <w:r>
              <w:rPr>
                <w:rFonts w:hint="eastAsia" w:ascii="宋体" w:hAnsi="宋体" w:eastAsia="宋体" w:cs="宋体"/>
                <w:bCs/>
                <w:kern w:val="2"/>
              </w:rPr>
              <w:t>工作范围）等情况，</w:t>
            </w:r>
            <w:r>
              <w:rPr>
                <w:rFonts w:hint="eastAsia" w:ascii="宋体" w:hAnsi="宋体" w:eastAsia="宋体" w:cs="宋体"/>
              </w:rPr>
              <w:t>由评标委员会根据投标人的投标文件进行评定：</w:t>
            </w:r>
            <w:r>
              <w:rPr>
                <w:rFonts w:hint="eastAsia" w:ascii="宋体" w:hAnsi="宋体" w:eastAsia="宋体" w:cs="宋体"/>
                <w:bCs/>
                <w:kern w:val="2"/>
              </w:rPr>
              <w:t>服务方案内容完整、表述清晰、符合现实情况、针对性强对</w:t>
            </w:r>
            <w:r>
              <w:rPr>
                <w:rFonts w:ascii="宋体" w:hAnsi="宋体" w:eastAsia="宋体" w:cs="宋体"/>
                <w:bCs/>
                <w:kern w:val="2"/>
              </w:rPr>
              <w:t>项目工作内容、工作范围理解准确，</w:t>
            </w:r>
            <w:r>
              <w:rPr>
                <w:rFonts w:hint="eastAsia" w:ascii="宋体" w:hAnsi="宋体" w:eastAsia="宋体" w:cs="宋体"/>
                <w:bCs/>
                <w:kern w:val="2"/>
              </w:rPr>
              <w:t>工作目标</w:t>
            </w:r>
            <w:r>
              <w:rPr>
                <w:rFonts w:ascii="宋体" w:hAnsi="宋体" w:eastAsia="宋体" w:cs="宋体"/>
                <w:bCs/>
                <w:kern w:val="2"/>
              </w:rPr>
              <w:t>明确、标准高</w:t>
            </w:r>
            <w:r>
              <w:rPr>
                <w:rFonts w:hint="eastAsia" w:ascii="宋体" w:hAnsi="宋体" w:eastAsia="宋体" w:cs="宋体"/>
                <w:bCs/>
                <w:kern w:val="2"/>
              </w:rPr>
              <w:t>，满足</w:t>
            </w:r>
            <w:r>
              <w:rPr>
                <w:rFonts w:ascii="宋体" w:hAnsi="宋体" w:eastAsia="宋体" w:cs="宋体"/>
                <w:bCs/>
                <w:kern w:val="2"/>
              </w:rPr>
              <w:t>采购人对项目的</w:t>
            </w:r>
            <w:r>
              <w:rPr>
                <w:rFonts w:hint="eastAsia" w:ascii="宋体" w:hAnsi="宋体" w:eastAsia="宋体" w:cs="宋体"/>
                <w:bCs/>
                <w:kern w:val="2"/>
              </w:rPr>
              <w:t>需求得</w:t>
            </w:r>
            <w:r>
              <w:rPr>
                <w:rFonts w:hint="eastAsia" w:ascii="宋体" w:hAnsi="宋体" w:eastAsia="宋体" w:cs="宋体"/>
                <w:bCs/>
                <w:kern w:val="2"/>
                <w:lang w:val="en-US" w:eastAsia="zh-CN"/>
              </w:rPr>
              <w:t>15</w:t>
            </w:r>
            <w:r>
              <w:rPr>
                <w:rFonts w:hint="eastAsia" w:ascii="宋体" w:hAnsi="宋体" w:eastAsia="宋体" w:cs="宋体"/>
                <w:bCs/>
                <w:kern w:val="2"/>
              </w:rPr>
              <w:t>分，</w:t>
            </w:r>
            <w:r>
              <w:rPr>
                <w:rFonts w:ascii="宋体" w:hAnsi="宋体" w:eastAsia="宋体"/>
              </w:rPr>
              <w:t>有缺陷或不足之处减1分，减完为止。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2" w:type="dxa"/>
            <w:vMerge w:val="continue"/>
            <w:tcBorders>
              <w:left w:val="single" w:color="auto" w:sz="4" w:space="0"/>
              <w:right w:val="single" w:color="auto" w:sz="4" w:space="0"/>
            </w:tcBorders>
            <w:noWrap w:val="0"/>
            <w:vAlign w:val="center"/>
          </w:tcPr>
          <w:p>
            <w:pPr>
              <w:pageBreakBefore w:val="0"/>
              <w:kinsoku/>
              <w:wordWrap/>
              <w:overflowPunct/>
              <w:topLinePunct w:val="0"/>
              <w:bidi w:val="0"/>
              <w:spacing w:line="560" w:lineRule="exact"/>
              <w:textAlignment w:val="auto"/>
              <w:rPr>
                <w:color w:val="auto"/>
                <w:sz w:val="20"/>
                <w:szCs w:val="20"/>
                <w:highlight w:val="none"/>
              </w:rPr>
            </w:pPr>
          </w:p>
        </w:tc>
        <w:tc>
          <w:tcPr>
            <w:tcW w:w="1610" w:type="dxa"/>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napToGrid/>
              <w:spacing w:line="440" w:lineRule="exact"/>
              <w:jc w:val="center"/>
              <w:textAlignment w:val="auto"/>
              <w:rPr>
                <w:rFonts w:hint="eastAsia" w:ascii="宋体" w:hAnsi="宋体" w:cs="宋体"/>
                <w:color w:val="auto"/>
                <w:szCs w:val="21"/>
                <w:highlight w:val="none"/>
              </w:rPr>
            </w:pPr>
            <w:r>
              <w:rPr>
                <w:rFonts w:hint="eastAsia" w:ascii="宋体" w:hAnsi="宋体" w:eastAsia="宋体"/>
                <w:bCs/>
                <w:sz w:val="24"/>
              </w:rPr>
              <w:t>质量保证措施、质量控制体系及</w:t>
            </w:r>
            <w:r>
              <w:rPr>
                <w:rFonts w:ascii="宋体" w:hAnsi="宋体" w:eastAsia="宋体"/>
                <w:bCs/>
                <w:sz w:val="24"/>
              </w:rPr>
              <w:t>现场了解程度</w:t>
            </w:r>
          </w:p>
        </w:tc>
        <w:tc>
          <w:tcPr>
            <w:tcW w:w="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napToGrid/>
              <w:spacing w:line="440" w:lineRule="exact"/>
              <w:jc w:val="center"/>
              <w:textAlignment w:val="auto"/>
              <w:rPr>
                <w:rFonts w:hint="eastAsia" w:ascii="宋体" w:hAnsi="宋体" w:cs="宋体"/>
                <w:color w:val="auto"/>
                <w:szCs w:val="21"/>
                <w:highlight w:val="none"/>
              </w:rPr>
            </w:pPr>
            <w:r>
              <w:rPr>
                <w:rFonts w:ascii="宋体" w:hAnsi="宋体" w:eastAsia="宋体" w:cs="宋体"/>
                <w:sz w:val="24"/>
              </w:rPr>
              <w:t>10</w:t>
            </w:r>
            <w:r>
              <w:rPr>
                <w:rFonts w:hint="eastAsia" w:ascii="宋体" w:hAnsi="宋体" w:eastAsia="宋体" w:cs="宋体"/>
                <w:sz w:val="24"/>
                <w:lang w:val="en-US" w:eastAsia="zh-CN"/>
              </w:rPr>
              <w:t>分</w:t>
            </w:r>
          </w:p>
        </w:tc>
        <w:tc>
          <w:tcPr>
            <w:tcW w:w="60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tabs>
                <w:tab w:val="left" w:pos="540"/>
              </w:tabs>
              <w:kinsoku/>
              <w:wordWrap/>
              <w:overflowPunct/>
              <w:topLinePunct w:val="0"/>
              <w:autoSpaceDE/>
              <w:autoSpaceDN/>
              <w:bidi w:val="0"/>
              <w:adjustRightInd w:val="0"/>
              <w:snapToGrid/>
              <w:spacing w:line="440" w:lineRule="exact"/>
              <w:textAlignment w:val="auto"/>
              <w:rPr>
                <w:rFonts w:hint="eastAsia" w:ascii="宋体" w:hAnsi="宋体" w:cs="宋体"/>
                <w:color w:val="auto"/>
                <w:szCs w:val="21"/>
                <w:highlight w:val="none"/>
              </w:rPr>
            </w:pPr>
            <w:r>
              <w:rPr>
                <w:rFonts w:hint="eastAsia" w:ascii="宋体" w:hAnsi="宋体" w:eastAsia="宋体" w:cs="宋体"/>
                <w:sz w:val="24"/>
              </w:rPr>
              <w:t>根据投标人</w:t>
            </w:r>
            <w:r>
              <w:rPr>
                <w:rFonts w:hint="eastAsia" w:ascii="宋体" w:hAnsi="宋体" w:eastAsia="宋体"/>
                <w:bCs/>
                <w:sz w:val="24"/>
              </w:rPr>
              <w:t>针对本项目服务的质量保证措施、质量控制体系等</w:t>
            </w:r>
            <w:r>
              <w:rPr>
                <w:rFonts w:ascii="宋体" w:hAnsi="宋体" w:eastAsia="宋体"/>
                <w:bCs/>
                <w:sz w:val="24"/>
              </w:rPr>
              <w:t>情况</w:t>
            </w:r>
            <w:r>
              <w:rPr>
                <w:rFonts w:hint="eastAsia" w:ascii="宋体" w:hAnsi="宋体" w:eastAsia="宋体" w:cs="宋体"/>
                <w:sz w:val="24"/>
              </w:rPr>
              <w:t>，由评标委员会根据投标人的投标文件进行评定：服务质量目标明确，质量保证措施全面，质量控制体系完善得10分，有缺陷或不足之处减1分，减完为止。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2" w:type="dxa"/>
            <w:vMerge w:val="continue"/>
            <w:tcBorders>
              <w:left w:val="single" w:color="auto" w:sz="4" w:space="0"/>
              <w:right w:val="single" w:color="auto" w:sz="4" w:space="0"/>
            </w:tcBorders>
            <w:noWrap w:val="0"/>
            <w:vAlign w:val="center"/>
          </w:tcPr>
          <w:p>
            <w:pPr>
              <w:pageBreakBefore w:val="0"/>
              <w:kinsoku/>
              <w:wordWrap/>
              <w:overflowPunct/>
              <w:topLinePunct w:val="0"/>
              <w:bidi w:val="0"/>
              <w:spacing w:line="560" w:lineRule="exact"/>
              <w:textAlignment w:val="auto"/>
              <w:rPr>
                <w:color w:val="auto"/>
                <w:sz w:val="20"/>
                <w:szCs w:val="20"/>
                <w:highlight w:val="none"/>
              </w:rPr>
            </w:pPr>
          </w:p>
        </w:tc>
        <w:tc>
          <w:tcPr>
            <w:tcW w:w="161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napToGrid/>
              <w:spacing w:line="440" w:lineRule="exact"/>
              <w:jc w:val="center"/>
              <w:textAlignment w:val="auto"/>
              <w:rPr>
                <w:rFonts w:hint="eastAsia" w:ascii="宋体" w:hAnsi="宋体" w:cs="宋体"/>
                <w:color w:val="auto"/>
                <w:szCs w:val="21"/>
                <w:highlight w:val="none"/>
              </w:rPr>
            </w:pPr>
            <w:r>
              <w:rPr>
                <w:rFonts w:hint="eastAsia" w:ascii="宋体" w:hAnsi="宋体" w:eastAsia="宋体"/>
                <w:bCs/>
                <w:sz w:val="24"/>
              </w:rPr>
              <w:t>专业</w:t>
            </w:r>
            <w:r>
              <w:rPr>
                <w:rFonts w:ascii="宋体" w:hAnsi="宋体" w:eastAsia="宋体"/>
                <w:bCs/>
                <w:sz w:val="24"/>
              </w:rPr>
              <w:t>技术人员配备</w:t>
            </w:r>
          </w:p>
        </w:tc>
        <w:tc>
          <w:tcPr>
            <w:tcW w:w="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napToGrid/>
              <w:spacing w:line="440" w:lineRule="exact"/>
              <w:jc w:val="center"/>
              <w:textAlignment w:val="auto"/>
              <w:rPr>
                <w:rFonts w:hint="eastAsia" w:ascii="宋体" w:hAnsi="宋体" w:cs="宋体"/>
                <w:color w:val="auto"/>
                <w:szCs w:val="21"/>
                <w:highlight w:val="none"/>
              </w:rPr>
            </w:pPr>
            <w:r>
              <w:rPr>
                <w:rFonts w:hint="eastAsia" w:ascii="宋体" w:hAnsi="宋体" w:eastAsia="宋体" w:cs="宋体"/>
                <w:sz w:val="24"/>
                <w:lang w:val="en-US" w:eastAsia="zh-CN"/>
              </w:rPr>
              <w:t>10分</w:t>
            </w:r>
          </w:p>
        </w:tc>
        <w:tc>
          <w:tcPr>
            <w:tcW w:w="60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tabs>
                <w:tab w:val="left" w:pos="540"/>
              </w:tabs>
              <w:kinsoku/>
              <w:wordWrap/>
              <w:overflowPunct/>
              <w:topLinePunct w:val="0"/>
              <w:autoSpaceDE/>
              <w:autoSpaceDN/>
              <w:bidi w:val="0"/>
              <w:adjustRightInd w:val="0"/>
              <w:snapToGrid/>
              <w:spacing w:line="440" w:lineRule="exact"/>
              <w:textAlignment w:val="auto"/>
              <w:rPr>
                <w:rFonts w:hint="eastAsia" w:ascii="宋体" w:hAnsi="宋体" w:cs="宋体"/>
                <w:color w:val="auto"/>
                <w:szCs w:val="21"/>
                <w:highlight w:val="none"/>
              </w:rPr>
            </w:pPr>
            <w:r>
              <w:rPr>
                <w:rFonts w:hint="eastAsia" w:ascii="宋体" w:hAnsi="宋体" w:eastAsia="宋体" w:cs="宋体"/>
                <w:sz w:val="24"/>
              </w:rPr>
              <w:t>根据投标人</w:t>
            </w:r>
            <w:r>
              <w:rPr>
                <w:rFonts w:hint="eastAsia" w:ascii="宋体" w:hAnsi="宋体" w:eastAsia="宋体"/>
                <w:bCs/>
                <w:sz w:val="24"/>
              </w:rPr>
              <w:t>针对本项目的专业技术人员配备、</w:t>
            </w:r>
            <w:r>
              <w:rPr>
                <w:rFonts w:ascii="宋体" w:hAnsi="宋体" w:eastAsia="宋体"/>
                <w:bCs/>
                <w:sz w:val="24"/>
              </w:rPr>
              <w:t>服务力量</w:t>
            </w:r>
            <w:r>
              <w:rPr>
                <w:rFonts w:hint="eastAsia" w:ascii="宋体" w:hAnsi="宋体" w:eastAsia="宋体"/>
                <w:bCs/>
                <w:sz w:val="24"/>
              </w:rPr>
              <w:t>等</w:t>
            </w:r>
            <w:r>
              <w:rPr>
                <w:rFonts w:ascii="宋体" w:hAnsi="宋体" w:eastAsia="宋体"/>
                <w:bCs/>
                <w:sz w:val="24"/>
              </w:rPr>
              <w:t>情况</w:t>
            </w:r>
            <w:r>
              <w:rPr>
                <w:rFonts w:hint="eastAsia" w:ascii="宋体" w:hAnsi="宋体" w:eastAsia="宋体" w:cs="宋体"/>
                <w:sz w:val="24"/>
              </w:rPr>
              <w:t>，由评标委员会根据投标人的投标文件进行评定：服务力量强</w:t>
            </w:r>
            <w:r>
              <w:rPr>
                <w:rFonts w:ascii="宋体" w:hAnsi="宋体" w:eastAsia="宋体" w:cs="宋体"/>
                <w:sz w:val="24"/>
              </w:rPr>
              <w:t>、</w:t>
            </w:r>
            <w:r>
              <w:rPr>
                <w:rFonts w:hint="eastAsia" w:ascii="宋体" w:hAnsi="宋体" w:eastAsia="宋体" w:cs="宋体"/>
                <w:sz w:val="24"/>
              </w:rPr>
              <w:t>人员</w:t>
            </w:r>
            <w:r>
              <w:rPr>
                <w:rFonts w:ascii="宋体" w:hAnsi="宋体" w:eastAsia="宋体" w:cs="宋体"/>
                <w:sz w:val="24"/>
              </w:rPr>
              <w:t>配备充足</w:t>
            </w:r>
            <w:r>
              <w:rPr>
                <w:rFonts w:hint="eastAsia" w:ascii="宋体" w:hAnsi="宋体" w:eastAsia="宋体" w:cs="宋体"/>
                <w:sz w:val="24"/>
              </w:rPr>
              <w:t>、工作</w:t>
            </w:r>
            <w:r>
              <w:rPr>
                <w:rFonts w:ascii="宋体" w:hAnsi="宋体" w:eastAsia="宋体" w:cs="宋体"/>
                <w:sz w:val="24"/>
              </w:rPr>
              <w:t>经验丰富</w:t>
            </w:r>
            <w:r>
              <w:rPr>
                <w:rFonts w:hint="eastAsia" w:ascii="宋体" w:hAnsi="宋体" w:eastAsia="宋体" w:cs="宋体"/>
                <w:sz w:val="24"/>
              </w:rPr>
              <w:t>、</w:t>
            </w:r>
            <w:r>
              <w:rPr>
                <w:rFonts w:ascii="宋体" w:hAnsi="宋体" w:eastAsia="宋体" w:cs="宋体"/>
                <w:sz w:val="24"/>
              </w:rPr>
              <w:t>技术力量强</w:t>
            </w:r>
            <w:r>
              <w:rPr>
                <w:rFonts w:hint="eastAsia" w:ascii="宋体" w:hAnsi="宋体" w:eastAsia="宋体" w:cs="宋体"/>
                <w:sz w:val="24"/>
              </w:rPr>
              <w:t>、分工明确</w:t>
            </w:r>
            <w:r>
              <w:rPr>
                <w:rFonts w:ascii="宋体" w:hAnsi="宋体" w:eastAsia="宋体" w:cs="宋体"/>
                <w:sz w:val="24"/>
              </w:rPr>
              <w:t>，岗位责任制健全</w:t>
            </w:r>
            <w:r>
              <w:rPr>
                <w:rFonts w:hint="eastAsia" w:ascii="宋体" w:hAnsi="宋体" w:eastAsia="宋体" w:cs="宋体"/>
                <w:sz w:val="24"/>
              </w:rPr>
              <w:t>得</w:t>
            </w:r>
            <w:r>
              <w:rPr>
                <w:rFonts w:hint="eastAsia" w:ascii="宋体" w:hAnsi="宋体" w:eastAsia="宋体" w:cs="宋体"/>
                <w:sz w:val="24"/>
                <w:lang w:val="en-US" w:eastAsia="zh-CN"/>
              </w:rPr>
              <w:t>10</w:t>
            </w:r>
            <w:r>
              <w:rPr>
                <w:rFonts w:hint="eastAsia" w:ascii="宋体" w:hAnsi="宋体" w:eastAsia="宋体" w:cs="宋体"/>
                <w:sz w:val="24"/>
              </w:rPr>
              <w:t>分</w:t>
            </w:r>
            <w:r>
              <w:rPr>
                <w:rFonts w:ascii="宋体" w:hAnsi="宋体" w:eastAsia="宋体" w:cs="宋体"/>
                <w:sz w:val="24"/>
              </w:rPr>
              <w:t>，有缺陷或不足之处减</w:t>
            </w:r>
            <w:r>
              <w:rPr>
                <w:rFonts w:hint="eastAsia" w:ascii="宋体" w:hAnsi="宋体" w:eastAsia="宋体" w:cs="宋体"/>
                <w:sz w:val="24"/>
                <w:lang w:val="en-US" w:eastAsia="zh-CN"/>
              </w:rPr>
              <w:t>1</w:t>
            </w:r>
            <w:r>
              <w:rPr>
                <w:rFonts w:ascii="宋体" w:hAnsi="宋体" w:eastAsia="宋体" w:cs="宋体"/>
                <w:sz w:val="24"/>
              </w:rPr>
              <w:t>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2" w:type="dxa"/>
            <w:vMerge w:val="continue"/>
            <w:tcBorders>
              <w:left w:val="single" w:color="auto" w:sz="4" w:space="0"/>
              <w:right w:val="single" w:color="auto" w:sz="4" w:space="0"/>
            </w:tcBorders>
            <w:noWrap w:val="0"/>
            <w:vAlign w:val="center"/>
          </w:tcPr>
          <w:p>
            <w:pPr>
              <w:pageBreakBefore w:val="0"/>
              <w:kinsoku/>
              <w:wordWrap/>
              <w:overflowPunct/>
              <w:topLinePunct w:val="0"/>
              <w:bidi w:val="0"/>
              <w:spacing w:line="560" w:lineRule="exact"/>
              <w:textAlignment w:val="auto"/>
              <w:rPr>
                <w:color w:val="auto"/>
                <w:sz w:val="20"/>
                <w:szCs w:val="20"/>
                <w:highlight w:val="none"/>
              </w:rPr>
            </w:pPr>
          </w:p>
        </w:tc>
        <w:tc>
          <w:tcPr>
            <w:tcW w:w="161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napToGrid/>
              <w:spacing w:line="440" w:lineRule="exact"/>
              <w:jc w:val="center"/>
              <w:textAlignment w:val="auto"/>
              <w:rPr>
                <w:rFonts w:hint="eastAsia" w:ascii="宋体" w:hAnsi="宋体" w:cs="宋体"/>
                <w:color w:val="auto"/>
                <w:szCs w:val="21"/>
                <w:highlight w:val="none"/>
                <w:u w:val="none"/>
              </w:rPr>
            </w:pPr>
            <w:r>
              <w:rPr>
                <w:rFonts w:ascii="宋体" w:hAnsi="宋体" w:eastAsia="宋体"/>
                <w:bCs/>
                <w:sz w:val="24"/>
                <w:u w:val="none"/>
              </w:rPr>
              <w:t>响应能力</w:t>
            </w:r>
            <w:r>
              <w:rPr>
                <w:rFonts w:hint="eastAsia" w:ascii="宋体" w:hAnsi="宋体" w:eastAsia="宋体"/>
                <w:bCs/>
                <w:sz w:val="24"/>
                <w:u w:val="none"/>
              </w:rPr>
              <w:t>、</w:t>
            </w:r>
            <w:r>
              <w:rPr>
                <w:rFonts w:ascii="宋体" w:hAnsi="宋体" w:eastAsia="宋体"/>
                <w:bCs/>
                <w:sz w:val="24"/>
                <w:u w:val="none"/>
              </w:rPr>
              <w:t>时效保证措施及应急服务方案</w:t>
            </w:r>
          </w:p>
        </w:tc>
        <w:tc>
          <w:tcPr>
            <w:tcW w:w="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snapToGrid/>
              <w:spacing w:line="440" w:lineRule="exact"/>
              <w:jc w:val="center"/>
              <w:textAlignment w:val="auto"/>
              <w:rPr>
                <w:rFonts w:hint="eastAsia" w:ascii="宋体" w:hAnsi="宋体" w:cs="宋体"/>
                <w:color w:val="auto"/>
                <w:szCs w:val="21"/>
                <w:highlight w:val="none"/>
                <w:u w:val="none"/>
              </w:rPr>
            </w:pPr>
            <w:r>
              <w:rPr>
                <w:rFonts w:hint="eastAsia" w:ascii="宋体" w:hAnsi="宋体" w:eastAsia="宋体" w:cs="宋体"/>
                <w:sz w:val="24"/>
                <w:u w:val="none"/>
                <w:lang w:val="en-US" w:eastAsia="zh-CN"/>
              </w:rPr>
              <w:t>9</w:t>
            </w:r>
            <w:r>
              <w:rPr>
                <w:rFonts w:hint="eastAsia" w:ascii="宋体" w:hAnsi="宋体" w:eastAsia="宋体" w:cs="宋体"/>
                <w:sz w:val="24"/>
                <w:lang w:val="en-US" w:eastAsia="zh-CN"/>
              </w:rPr>
              <w:t>分</w:t>
            </w:r>
          </w:p>
        </w:tc>
        <w:tc>
          <w:tcPr>
            <w:tcW w:w="60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tabs>
                <w:tab w:val="left" w:pos="540"/>
              </w:tabs>
              <w:kinsoku/>
              <w:wordWrap/>
              <w:overflowPunct/>
              <w:topLinePunct w:val="0"/>
              <w:autoSpaceDE/>
              <w:autoSpaceDN/>
              <w:bidi w:val="0"/>
              <w:adjustRightInd w:val="0"/>
              <w:snapToGrid/>
              <w:spacing w:line="440" w:lineRule="exact"/>
              <w:textAlignment w:val="auto"/>
              <w:rPr>
                <w:rFonts w:hint="eastAsia" w:ascii="宋体" w:hAnsi="宋体" w:cs="宋体"/>
                <w:color w:val="auto"/>
                <w:szCs w:val="21"/>
                <w:highlight w:val="none"/>
                <w:u w:val="none"/>
              </w:rPr>
            </w:pPr>
            <w:r>
              <w:rPr>
                <w:rFonts w:hint="eastAsia" w:ascii="宋体" w:hAnsi="宋体" w:eastAsia="宋体" w:cs="宋体"/>
                <w:sz w:val="24"/>
                <w:u w:val="none"/>
              </w:rPr>
              <w:t>根据投标人</w:t>
            </w:r>
            <w:r>
              <w:rPr>
                <w:rFonts w:hint="eastAsia" w:ascii="宋体" w:hAnsi="宋体" w:eastAsia="宋体"/>
                <w:bCs/>
                <w:sz w:val="24"/>
                <w:u w:val="none"/>
              </w:rPr>
              <w:t>针对本项目的服务</w:t>
            </w:r>
            <w:r>
              <w:rPr>
                <w:rFonts w:ascii="宋体" w:hAnsi="宋体" w:eastAsia="宋体"/>
                <w:bCs/>
                <w:sz w:val="24"/>
                <w:u w:val="none"/>
              </w:rPr>
              <w:t>响应能力</w:t>
            </w:r>
            <w:r>
              <w:rPr>
                <w:rFonts w:hint="eastAsia" w:ascii="宋体" w:hAnsi="宋体" w:eastAsia="宋体"/>
                <w:bCs/>
                <w:sz w:val="24"/>
                <w:u w:val="none"/>
              </w:rPr>
              <w:t>、</w:t>
            </w:r>
            <w:r>
              <w:rPr>
                <w:rFonts w:ascii="宋体" w:hAnsi="宋体" w:eastAsia="宋体"/>
                <w:bCs/>
                <w:sz w:val="24"/>
                <w:u w:val="none"/>
              </w:rPr>
              <w:t>服务时效保证措施及应急服务方案</w:t>
            </w:r>
            <w:r>
              <w:rPr>
                <w:rFonts w:hint="eastAsia" w:ascii="宋体" w:hAnsi="宋体" w:eastAsia="宋体"/>
                <w:bCs/>
                <w:sz w:val="24"/>
                <w:u w:val="none"/>
              </w:rPr>
              <w:t>等</w:t>
            </w:r>
            <w:r>
              <w:rPr>
                <w:rFonts w:ascii="宋体" w:hAnsi="宋体" w:eastAsia="宋体"/>
                <w:bCs/>
                <w:sz w:val="24"/>
                <w:u w:val="none"/>
              </w:rPr>
              <w:t>情况</w:t>
            </w:r>
            <w:r>
              <w:rPr>
                <w:rFonts w:hint="eastAsia" w:ascii="宋体" w:hAnsi="宋体" w:eastAsia="宋体" w:cs="宋体"/>
                <w:sz w:val="24"/>
                <w:u w:val="none"/>
              </w:rPr>
              <w:t>，由评标委员会根据投标人的投标文件进行评定：</w:t>
            </w:r>
            <w:r>
              <w:rPr>
                <w:rFonts w:hint="eastAsia" w:ascii="宋体" w:hAnsi="宋体" w:eastAsia="宋体"/>
                <w:bCs/>
                <w:sz w:val="24"/>
                <w:u w:val="none"/>
              </w:rPr>
              <w:t>服务</w:t>
            </w:r>
            <w:r>
              <w:rPr>
                <w:rFonts w:ascii="宋体" w:hAnsi="宋体" w:eastAsia="宋体"/>
                <w:bCs/>
                <w:sz w:val="24"/>
                <w:u w:val="none"/>
              </w:rPr>
              <w:t>响应迅速</w:t>
            </w:r>
            <w:r>
              <w:rPr>
                <w:rFonts w:hint="eastAsia" w:ascii="宋体" w:hAnsi="宋体" w:eastAsia="宋体"/>
                <w:bCs/>
                <w:sz w:val="24"/>
                <w:u w:val="none"/>
              </w:rPr>
              <w:t>，</w:t>
            </w:r>
            <w:r>
              <w:rPr>
                <w:rFonts w:ascii="宋体" w:hAnsi="宋体" w:eastAsia="宋体"/>
                <w:bCs/>
                <w:sz w:val="24"/>
                <w:u w:val="none"/>
              </w:rPr>
              <w:t>时效保证措施</w:t>
            </w:r>
            <w:r>
              <w:rPr>
                <w:rFonts w:hint="eastAsia" w:ascii="宋体" w:hAnsi="宋体" w:eastAsia="宋体"/>
                <w:bCs/>
                <w:sz w:val="24"/>
                <w:u w:val="none"/>
              </w:rPr>
              <w:t>得当、严谨</w:t>
            </w:r>
            <w:r>
              <w:rPr>
                <w:rFonts w:ascii="宋体" w:hAnsi="宋体" w:eastAsia="宋体"/>
                <w:bCs/>
                <w:sz w:val="24"/>
                <w:u w:val="none"/>
              </w:rPr>
              <w:t>可行</w:t>
            </w:r>
            <w:r>
              <w:rPr>
                <w:rFonts w:hint="eastAsia" w:ascii="宋体" w:hAnsi="宋体" w:eastAsia="宋体"/>
                <w:bCs/>
                <w:sz w:val="24"/>
                <w:u w:val="none"/>
              </w:rPr>
              <w:t>，</w:t>
            </w:r>
            <w:r>
              <w:rPr>
                <w:rFonts w:ascii="宋体" w:hAnsi="宋体" w:eastAsia="宋体"/>
                <w:bCs/>
                <w:sz w:val="24"/>
                <w:u w:val="none"/>
              </w:rPr>
              <w:t>应急服务方案</w:t>
            </w:r>
            <w:r>
              <w:rPr>
                <w:rFonts w:hint="eastAsia" w:ascii="宋体" w:hAnsi="宋体" w:eastAsia="宋体"/>
                <w:bCs/>
                <w:sz w:val="24"/>
                <w:u w:val="none"/>
              </w:rPr>
              <w:t>健全</w:t>
            </w:r>
            <w:r>
              <w:rPr>
                <w:rFonts w:ascii="宋体" w:hAnsi="宋体" w:eastAsia="宋体"/>
                <w:bCs/>
                <w:sz w:val="24"/>
                <w:u w:val="none"/>
              </w:rPr>
              <w:t>、结合项目实际</w:t>
            </w:r>
            <w:r>
              <w:rPr>
                <w:rFonts w:hint="eastAsia" w:ascii="宋体" w:hAnsi="宋体" w:eastAsia="宋体"/>
                <w:bCs/>
                <w:sz w:val="24"/>
                <w:u w:val="none"/>
              </w:rPr>
              <w:t>，针对性强得</w:t>
            </w:r>
            <w:r>
              <w:rPr>
                <w:rFonts w:hint="eastAsia" w:ascii="宋体" w:hAnsi="宋体" w:eastAsia="宋体"/>
                <w:bCs/>
                <w:sz w:val="24"/>
                <w:u w:val="none"/>
                <w:lang w:val="en-US" w:eastAsia="zh-CN"/>
              </w:rPr>
              <w:t>9</w:t>
            </w:r>
            <w:r>
              <w:rPr>
                <w:rFonts w:hint="eastAsia" w:ascii="宋体" w:hAnsi="宋体" w:eastAsia="宋体"/>
                <w:bCs/>
                <w:sz w:val="24"/>
                <w:u w:val="none"/>
              </w:rPr>
              <w:t>分</w:t>
            </w:r>
            <w:r>
              <w:rPr>
                <w:rFonts w:ascii="宋体" w:hAnsi="宋体" w:eastAsia="宋体"/>
                <w:bCs/>
                <w:sz w:val="24"/>
                <w:u w:val="none"/>
              </w:rPr>
              <w:t>，</w:t>
            </w:r>
            <w:r>
              <w:rPr>
                <w:rFonts w:hint="eastAsia" w:ascii="宋体" w:hAnsi="宋体" w:eastAsia="宋体"/>
                <w:bCs/>
                <w:sz w:val="24"/>
                <w:u w:val="none"/>
              </w:rPr>
              <w:t>有缺陷或不足之处减1分，减完为止。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2" w:type="dxa"/>
            <w:vMerge w:val="continue"/>
            <w:tcBorders>
              <w:left w:val="single" w:color="auto" w:sz="4" w:space="0"/>
              <w:right w:val="single" w:color="auto" w:sz="4" w:space="0"/>
            </w:tcBorders>
            <w:noWrap w:val="0"/>
            <w:vAlign w:val="center"/>
          </w:tcPr>
          <w:p>
            <w:pPr>
              <w:pageBreakBefore w:val="0"/>
              <w:kinsoku/>
              <w:wordWrap/>
              <w:overflowPunct/>
              <w:topLinePunct w:val="0"/>
              <w:bidi w:val="0"/>
              <w:spacing w:line="560" w:lineRule="exact"/>
              <w:textAlignment w:val="auto"/>
              <w:rPr>
                <w:color w:val="auto"/>
                <w:sz w:val="20"/>
                <w:szCs w:val="20"/>
                <w:highlight w:val="none"/>
              </w:rPr>
            </w:pPr>
          </w:p>
        </w:tc>
        <w:tc>
          <w:tcPr>
            <w:tcW w:w="161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eastAsia="宋体"/>
                <w:bCs/>
                <w:sz w:val="24"/>
                <w:u w:val="none"/>
              </w:rPr>
            </w:pPr>
            <w:r>
              <w:rPr>
                <w:rFonts w:hint="eastAsia" w:ascii="宋体" w:hAnsi="宋体" w:cs="宋体"/>
                <w:sz w:val="24"/>
                <w:lang w:val="zh-CN"/>
              </w:rPr>
              <w:t>安全保证</w:t>
            </w:r>
            <w:r>
              <w:rPr>
                <w:rFonts w:hint="eastAsia" w:ascii="宋体" w:hAnsi="宋体" w:cs="宋体"/>
                <w:sz w:val="24"/>
              </w:rPr>
              <w:t>措施</w:t>
            </w:r>
          </w:p>
        </w:tc>
        <w:tc>
          <w:tcPr>
            <w:tcW w:w="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sz w:val="24"/>
                <w:u w:val="none"/>
              </w:rPr>
            </w:pPr>
            <w:r>
              <w:rPr>
                <w:rFonts w:hint="eastAsia" w:ascii="宋体" w:hAnsi="宋体" w:eastAsia="宋体" w:cs="宋体"/>
                <w:sz w:val="24"/>
                <w:lang w:val="en-US" w:eastAsia="zh-CN"/>
              </w:rPr>
              <w:t>8分</w:t>
            </w:r>
          </w:p>
        </w:tc>
        <w:tc>
          <w:tcPr>
            <w:tcW w:w="60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b w:val="0"/>
                <w:u w:val="none"/>
              </w:rPr>
            </w:pPr>
            <w:r>
              <w:rPr>
                <w:rFonts w:hint="eastAsia" w:ascii="宋体" w:hAnsi="宋体" w:eastAsia="宋体" w:cs="宋体"/>
                <w:sz w:val="24"/>
              </w:rPr>
              <w:t>根据投标人</w:t>
            </w:r>
            <w:r>
              <w:rPr>
                <w:rFonts w:hint="eastAsia" w:ascii="宋体" w:hAnsi="宋体" w:eastAsia="宋体"/>
                <w:bCs/>
                <w:sz w:val="24"/>
              </w:rPr>
              <w:t>针对</w:t>
            </w:r>
            <w:r>
              <w:rPr>
                <w:rFonts w:ascii="宋体" w:hAnsi="宋体" w:eastAsia="宋体"/>
                <w:bCs/>
                <w:sz w:val="24"/>
              </w:rPr>
              <w:t>本项目</w:t>
            </w:r>
            <w:r>
              <w:rPr>
                <w:rFonts w:hint="eastAsia" w:ascii="宋体" w:hAnsi="宋体" w:eastAsia="宋体"/>
                <w:bCs/>
                <w:sz w:val="24"/>
              </w:rPr>
              <w:t>的安全保证措施、安全文明</w:t>
            </w:r>
            <w:r>
              <w:rPr>
                <w:rFonts w:ascii="宋体" w:hAnsi="宋体" w:eastAsia="宋体"/>
                <w:bCs/>
                <w:sz w:val="24"/>
              </w:rPr>
              <w:t>维保及环境保护措施</w:t>
            </w:r>
            <w:r>
              <w:rPr>
                <w:rFonts w:hint="eastAsia" w:ascii="宋体" w:hAnsi="宋体" w:eastAsia="宋体"/>
                <w:bCs/>
                <w:sz w:val="24"/>
              </w:rPr>
              <w:t>等</w:t>
            </w:r>
            <w:r>
              <w:rPr>
                <w:rFonts w:ascii="宋体" w:hAnsi="宋体" w:eastAsia="宋体"/>
                <w:bCs/>
                <w:sz w:val="24"/>
              </w:rPr>
              <w:t>情况</w:t>
            </w:r>
            <w:r>
              <w:rPr>
                <w:rFonts w:hint="eastAsia" w:ascii="宋体" w:hAnsi="宋体" w:eastAsia="宋体" w:cs="宋体"/>
                <w:sz w:val="24"/>
              </w:rPr>
              <w:t>，</w:t>
            </w:r>
            <w:r>
              <w:rPr>
                <w:rFonts w:hint="eastAsia" w:ascii="宋体" w:hAnsi="宋体" w:eastAsia="宋体" w:cs="宋体"/>
                <w:sz w:val="24"/>
                <w:highlight w:val="none"/>
              </w:rPr>
              <w:t>由评标委员会根据投标人的投标文件进行评定：</w:t>
            </w:r>
            <w:r>
              <w:rPr>
                <w:rFonts w:hint="eastAsia" w:ascii="宋体" w:hAnsi="宋体"/>
                <w:sz w:val="24"/>
                <w:highlight w:val="none"/>
              </w:rPr>
              <w:t>针对本项目的</w:t>
            </w:r>
            <w:r>
              <w:rPr>
                <w:rFonts w:hint="eastAsia" w:ascii="宋体" w:hAnsi="宋体"/>
                <w:sz w:val="24"/>
                <w:highlight w:val="none"/>
                <w:lang w:val="zh-CN"/>
              </w:rPr>
              <w:t>安全保证</w:t>
            </w:r>
            <w:r>
              <w:rPr>
                <w:rFonts w:hint="eastAsia" w:ascii="宋体" w:hAnsi="宋体"/>
                <w:sz w:val="24"/>
                <w:highlight w:val="none"/>
              </w:rPr>
              <w:t>措施全面</w:t>
            </w:r>
            <w:r>
              <w:rPr>
                <w:rFonts w:ascii="宋体" w:hAnsi="宋体"/>
                <w:sz w:val="24"/>
                <w:highlight w:val="none"/>
              </w:rPr>
              <w:t>、</w:t>
            </w:r>
            <w:r>
              <w:rPr>
                <w:rFonts w:hint="eastAsia" w:ascii="宋体" w:hAnsi="宋体"/>
                <w:sz w:val="24"/>
                <w:highlight w:val="none"/>
                <w:lang w:val="zh-CN"/>
              </w:rPr>
              <w:t>安全管理体系</w:t>
            </w:r>
            <w:r>
              <w:rPr>
                <w:rFonts w:ascii="宋体" w:hAnsi="宋体"/>
                <w:sz w:val="24"/>
                <w:highlight w:val="none"/>
                <w:lang w:val="zh-CN"/>
              </w:rPr>
              <w:t>健全，</w:t>
            </w:r>
            <w:r>
              <w:rPr>
                <w:rFonts w:hint="eastAsia" w:ascii="宋体" w:hAnsi="宋体" w:eastAsia="宋体"/>
                <w:bCs/>
                <w:sz w:val="24"/>
                <w:highlight w:val="none"/>
              </w:rPr>
              <w:t>安</w:t>
            </w:r>
            <w:r>
              <w:rPr>
                <w:rFonts w:hint="eastAsia" w:ascii="宋体" w:hAnsi="宋体" w:eastAsia="宋体"/>
                <w:bCs/>
                <w:sz w:val="24"/>
              </w:rPr>
              <w:t>全文明</w:t>
            </w:r>
            <w:r>
              <w:rPr>
                <w:rFonts w:ascii="宋体" w:hAnsi="宋体" w:eastAsia="宋体"/>
                <w:bCs/>
                <w:sz w:val="24"/>
              </w:rPr>
              <w:t>维保及环境保护措施</w:t>
            </w:r>
            <w:r>
              <w:rPr>
                <w:rFonts w:hint="eastAsia" w:ascii="宋体" w:hAnsi="宋体"/>
                <w:sz w:val="24"/>
                <w:lang w:val="zh-CN"/>
              </w:rPr>
              <w:t>具有针对性且能完全</w:t>
            </w:r>
            <w:r>
              <w:rPr>
                <w:rFonts w:ascii="宋体" w:hAnsi="宋体"/>
                <w:sz w:val="24"/>
                <w:lang w:val="zh-CN"/>
              </w:rPr>
              <w:t>保障</w:t>
            </w:r>
            <w:r>
              <w:rPr>
                <w:rFonts w:hint="eastAsia" w:ascii="宋体" w:hAnsi="宋体"/>
                <w:sz w:val="24"/>
                <w:lang w:val="zh-CN"/>
              </w:rPr>
              <w:t>采购项目实施的得</w:t>
            </w:r>
            <w:r>
              <w:rPr>
                <w:rFonts w:hint="eastAsia" w:ascii="宋体" w:hAnsi="宋体"/>
                <w:sz w:val="24"/>
                <w:lang w:val="en-US" w:eastAsia="zh-CN"/>
              </w:rPr>
              <w:t>8</w:t>
            </w:r>
            <w:r>
              <w:rPr>
                <w:rFonts w:hint="eastAsia" w:ascii="宋体" w:hAnsi="宋体"/>
                <w:sz w:val="24"/>
                <w:lang w:val="zh-CN"/>
              </w:rPr>
              <w:t>分</w:t>
            </w:r>
            <w:r>
              <w:rPr>
                <w:rFonts w:hint="eastAsia" w:ascii="宋体" w:hAnsi="宋体"/>
                <w:sz w:val="24"/>
              </w:rPr>
              <w:t>，</w:t>
            </w:r>
            <w:r>
              <w:rPr>
                <w:rFonts w:ascii="宋体" w:hAnsi="宋体" w:eastAsia="宋体"/>
                <w:sz w:val="24"/>
              </w:rPr>
              <w:t>有缺陷或不足之处减1分，减完为止。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62" w:type="dxa"/>
            <w:vMerge w:val="continue"/>
            <w:tcBorders>
              <w:left w:val="single" w:color="auto" w:sz="4" w:space="0"/>
              <w:right w:val="single" w:color="auto" w:sz="4" w:space="0"/>
            </w:tcBorders>
            <w:noWrap w:val="0"/>
            <w:vAlign w:val="center"/>
          </w:tcPr>
          <w:p>
            <w:pPr>
              <w:pageBreakBefore w:val="0"/>
              <w:kinsoku/>
              <w:wordWrap/>
              <w:overflowPunct/>
              <w:topLinePunct w:val="0"/>
              <w:bidi w:val="0"/>
              <w:spacing w:line="560" w:lineRule="exact"/>
              <w:textAlignment w:val="auto"/>
              <w:rPr>
                <w:color w:val="auto"/>
                <w:sz w:val="20"/>
                <w:szCs w:val="20"/>
                <w:highlight w:val="none"/>
              </w:rPr>
            </w:pPr>
          </w:p>
        </w:tc>
        <w:tc>
          <w:tcPr>
            <w:tcW w:w="1610" w:type="dxa"/>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440" w:lineRule="exact"/>
              <w:jc w:val="center"/>
              <w:textAlignment w:val="auto"/>
              <w:rPr>
                <w:rFonts w:hint="eastAsia" w:ascii="宋体" w:hAnsi="宋体" w:cs="宋体"/>
                <w:sz w:val="24"/>
                <w:lang w:val="zh-CN"/>
              </w:rPr>
            </w:pPr>
            <w:r>
              <w:rPr>
                <w:rFonts w:hint="eastAsia" w:ascii="宋体" w:hAnsi="宋体" w:eastAsia="宋体"/>
                <w:bCs/>
                <w:sz w:val="24"/>
              </w:rPr>
              <w:t>突发事件应急预案</w:t>
            </w:r>
          </w:p>
        </w:tc>
        <w:tc>
          <w:tcPr>
            <w:tcW w:w="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440" w:lineRule="exact"/>
              <w:jc w:val="center"/>
              <w:textAlignment w:val="auto"/>
              <w:rPr>
                <w:rFonts w:ascii="宋体" w:hAnsi="宋体" w:cs="宋体"/>
                <w:sz w:val="24"/>
              </w:rPr>
            </w:pPr>
            <w:r>
              <w:rPr>
                <w:rFonts w:ascii="宋体" w:hAnsi="宋体" w:eastAsia="宋体" w:cs="宋体"/>
                <w:sz w:val="24"/>
              </w:rPr>
              <w:t>8</w:t>
            </w:r>
            <w:r>
              <w:rPr>
                <w:rFonts w:hint="eastAsia" w:ascii="宋体" w:hAnsi="宋体" w:eastAsia="宋体" w:cs="宋体"/>
                <w:sz w:val="24"/>
                <w:lang w:val="en-US" w:eastAsia="zh-CN"/>
              </w:rPr>
              <w:t>分</w:t>
            </w:r>
          </w:p>
        </w:tc>
        <w:tc>
          <w:tcPr>
            <w:tcW w:w="60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440" w:lineRule="exact"/>
              <w:textAlignment w:val="auto"/>
              <w:rPr>
                <w:rFonts w:hint="eastAsia" w:ascii="宋体" w:hAnsi="宋体" w:eastAsia="宋体" w:cs="宋体"/>
                <w:sz w:val="24"/>
              </w:rPr>
            </w:pPr>
            <w:r>
              <w:rPr>
                <w:rFonts w:hint="eastAsia" w:ascii="宋体" w:hAnsi="宋体" w:eastAsia="宋体" w:cs="宋体"/>
                <w:sz w:val="24"/>
                <w:highlight w:val="none"/>
              </w:rPr>
              <w:t>根据投标人</w:t>
            </w:r>
            <w:r>
              <w:rPr>
                <w:rFonts w:hint="eastAsia" w:ascii="宋体" w:hAnsi="宋体" w:eastAsia="宋体"/>
                <w:bCs/>
                <w:sz w:val="24"/>
                <w:highlight w:val="none"/>
              </w:rPr>
              <w:t>针对</w:t>
            </w:r>
            <w:r>
              <w:rPr>
                <w:rFonts w:ascii="宋体" w:hAnsi="宋体" w:eastAsia="宋体"/>
                <w:bCs/>
                <w:sz w:val="24"/>
                <w:highlight w:val="none"/>
              </w:rPr>
              <w:t>本项目</w:t>
            </w:r>
            <w:r>
              <w:rPr>
                <w:rFonts w:hint="eastAsia" w:ascii="宋体" w:hAnsi="宋体" w:eastAsia="宋体"/>
                <w:bCs/>
                <w:sz w:val="24"/>
                <w:highlight w:val="none"/>
              </w:rPr>
              <w:t>提供的各项突发事件及应急预案进行综合评审</w:t>
            </w:r>
            <w:r>
              <w:rPr>
                <w:rFonts w:hint="eastAsia" w:ascii="宋体" w:hAnsi="宋体" w:eastAsia="宋体" w:cs="宋体"/>
                <w:sz w:val="24"/>
                <w:highlight w:val="none"/>
              </w:rPr>
              <w:t>由评标委员会根据投标人的投标文件进行评定：</w:t>
            </w:r>
            <w:r>
              <w:rPr>
                <w:rFonts w:hint="eastAsia" w:ascii="宋体" w:hAnsi="宋体" w:eastAsia="宋体"/>
                <w:bCs/>
                <w:sz w:val="24"/>
                <w:highlight w:val="none"/>
              </w:rPr>
              <w:t>突发事件应急预案总结全面、详尽，实用性强、有针对性，应对措施完善、行性强，相关经验丰富、社会认可度高且能满足招标文件及项目实际需求的</w:t>
            </w:r>
            <w:r>
              <w:rPr>
                <w:rFonts w:hint="eastAsia" w:ascii="宋体" w:hAnsi="宋体"/>
                <w:sz w:val="24"/>
                <w:lang w:val="zh-CN"/>
              </w:rPr>
              <w:t>得</w:t>
            </w:r>
            <w:r>
              <w:rPr>
                <w:rFonts w:hint="eastAsia" w:ascii="宋体" w:hAnsi="宋体"/>
                <w:sz w:val="24"/>
                <w:lang w:val="en-US" w:eastAsia="zh-CN"/>
              </w:rPr>
              <w:t>8</w:t>
            </w:r>
            <w:r>
              <w:rPr>
                <w:rFonts w:hint="eastAsia" w:ascii="宋体" w:hAnsi="宋体"/>
                <w:sz w:val="24"/>
                <w:lang w:val="zh-CN"/>
              </w:rPr>
              <w:t>分</w:t>
            </w:r>
            <w:r>
              <w:rPr>
                <w:rFonts w:hint="eastAsia" w:ascii="宋体" w:hAnsi="宋体" w:eastAsia="宋体"/>
                <w:bCs/>
                <w:sz w:val="24"/>
                <w:highlight w:val="none"/>
                <w:lang w:eastAsia="zh-CN"/>
              </w:rPr>
              <w:t>，</w:t>
            </w:r>
            <w:r>
              <w:rPr>
                <w:rFonts w:hint="eastAsia" w:ascii="宋体" w:hAnsi="宋体" w:eastAsia="宋体" w:cs="宋体"/>
                <w:sz w:val="24"/>
              </w:rPr>
              <w:t>有缺陷或不足之处减1分，减完为止。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2" w:type="dxa"/>
            <w:vMerge w:val="restart"/>
            <w:tcBorders>
              <w:left w:val="single" w:color="auto" w:sz="4" w:space="0"/>
              <w:right w:val="single" w:color="auto" w:sz="4" w:space="0"/>
            </w:tcBorders>
            <w:noWrap w:val="0"/>
            <w:vAlign w:val="center"/>
          </w:tcPr>
          <w:p>
            <w:pPr>
              <w:pageBreakBefore w:val="0"/>
              <w:kinsoku/>
              <w:wordWrap/>
              <w:overflowPunct/>
              <w:topLinePunct w:val="0"/>
              <w:bidi w:val="0"/>
              <w:spacing w:line="560" w:lineRule="exact"/>
              <w:textAlignment w:val="auto"/>
              <w:rPr>
                <w:rFonts w:hint="eastAsia" w:ascii="宋体" w:hAnsi="宋体" w:eastAsia="宋体" w:cs="宋体"/>
                <w:sz w:val="24"/>
                <w:lang w:val="en-US" w:eastAsia="zh-CN"/>
              </w:rPr>
            </w:pPr>
            <w:r>
              <w:rPr>
                <w:rFonts w:ascii="宋体" w:hAnsi="宋体" w:eastAsia="宋体" w:cs="宋体"/>
                <w:sz w:val="24"/>
              </w:rPr>
              <w:t>其它条件（</w:t>
            </w:r>
            <w:r>
              <w:rPr>
                <w:rFonts w:hint="eastAsia" w:ascii="宋体" w:hAnsi="宋体" w:eastAsia="宋体" w:cs="宋体"/>
                <w:sz w:val="24"/>
                <w:lang w:val="en-US" w:eastAsia="zh-CN"/>
              </w:rPr>
              <w:t>30</w:t>
            </w:r>
            <w:r>
              <w:rPr>
                <w:rFonts w:ascii="宋体" w:hAnsi="宋体" w:eastAsia="宋体" w:cs="宋体"/>
                <w:sz w:val="24"/>
              </w:rPr>
              <w:t>分</w:t>
            </w:r>
            <w:r>
              <w:rPr>
                <w:rFonts w:hint="eastAsia" w:ascii="宋体" w:hAnsi="宋体" w:eastAsia="宋体" w:cs="宋体"/>
                <w:sz w:val="24"/>
                <w:lang w:val="en-US" w:eastAsia="zh-CN"/>
              </w:rPr>
              <w:t>)</w:t>
            </w:r>
          </w:p>
        </w:tc>
        <w:tc>
          <w:tcPr>
            <w:tcW w:w="161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sz w:val="24"/>
              </w:rPr>
            </w:pPr>
            <w:r>
              <w:rPr>
                <w:rFonts w:hint="eastAsia" w:ascii="宋体" w:hAnsi="宋体" w:eastAsia="宋体" w:cs="宋体"/>
                <w:sz w:val="24"/>
              </w:rPr>
              <w:t>供应商</w:t>
            </w:r>
            <w:r>
              <w:rPr>
                <w:rFonts w:ascii="宋体" w:hAnsi="宋体" w:eastAsia="宋体" w:cs="宋体"/>
                <w:sz w:val="24"/>
              </w:rPr>
              <w:t>的服务体系、</w:t>
            </w:r>
            <w:r>
              <w:rPr>
                <w:rFonts w:hint="eastAsia" w:ascii="宋体" w:hAnsi="宋体" w:eastAsia="宋体" w:cs="宋体"/>
                <w:sz w:val="24"/>
              </w:rPr>
              <w:t>工作</w:t>
            </w:r>
            <w:r>
              <w:rPr>
                <w:rFonts w:ascii="宋体" w:hAnsi="宋体" w:eastAsia="宋体" w:cs="宋体"/>
                <w:sz w:val="24"/>
              </w:rPr>
              <w:t>制度</w:t>
            </w:r>
            <w:r>
              <w:rPr>
                <w:rFonts w:hint="eastAsia" w:ascii="宋体" w:hAnsi="宋体" w:eastAsia="宋体" w:cs="宋体"/>
                <w:sz w:val="24"/>
              </w:rPr>
              <w:t>及</w:t>
            </w:r>
            <w:r>
              <w:rPr>
                <w:rFonts w:ascii="宋体" w:hAnsi="宋体" w:eastAsia="宋体" w:cs="宋体"/>
                <w:sz w:val="24"/>
              </w:rPr>
              <w:t>工作守则</w:t>
            </w:r>
          </w:p>
        </w:tc>
        <w:tc>
          <w:tcPr>
            <w:tcW w:w="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sz w:val="24"/>
                <w:lang w:eastAsia="zh-CN"/>
              </w:rPr>
            </w:pPr>
            <w:r>
              <w:rPr>
                <w:rFonts w:hint="eastAsia" w:ascii="宋体" w:hAnsi="宋体" w:eastAsia="宋体" w:cs="宋体"/>
                <w:sz w:val="24"/>
                <w:lang w:val="en-US" w:eastAsia="zh-CN"/>
              </w:rPr>
              <w:t>10分</w:t>
            </w:r>
          </w:p>
        </w:tc>
        <w:tc>
          <w:tcPr>
            <w:tcW w:w="60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bCs/>
              </w:rPr>
            </w:pPr>
            <w:r>
              <w:rPr>
                <w:rFonts w:hint="eastAsia" w:ascii="宋体" w:hAnsi="宋体" w:eastAsia="宋体" w:cs="宋体"/>
                <w:sz w:val="24"/>
                <w:lang w:val="zh-CN"/>
              </w:rPr>
              <w:t>根据</w:t>
            </w:r>
            <w:r>
              <w:rPr>
                <w:rFonts w:hint="eastAsia" w:ascii="宋体" w:hAnsi="宋体" w:eastAsia="宋体" w:cs="宋体"/>
                <w:sz w:val="24"/>
              </w:rPr>
              <w:t>针对供应商的服务体系、工作制度及工作守则等</w:t>
            </w:r>
            <w:r>
              <w:rPr>
                <w:rFonts w:ascii="宋体" w:hAnsi="宋体" w:eastAsia="宋体" w:cs="宋体"/>
                <w:sz w:val="24"/>
              </w:rPr>
              <w:t>情况</w:t>
            </w:r>
            <w:r>
              <w:rPr>
                <w:rFonts w:hint="eastAsia" w:ascii="宋体" w:hAnsi="宋体" w:eastAsia="宋体" w:cs="宋体"/>
                <w:sz w:val="24"/>
                <w:lang w:val="zh-CN"/>
              </w:rPr>
              <w:t>，</w:t>
            </w:r>
            <w:r>
              <w:rPr>
                <w:rFonts w:hint="eastAsia" w:ascii="宋体" w:hAnsi="宋体" w:eastAsia="宋体" w:cs="宋体"/>
                <w:sz w:val="24"/>
              </w:rPr>
              <w:t>由评标委员会根据投标人的投标文件进行评定：服务</w:t>
            </w:r>
            <w:r>
              <w:rPr>
                <w:rFonts w:ascii="宋体" w:hAnsi="宋体" w:eastAsia="宋体" w:cs="宋体"/>
                <w:sz w:val="24"/>
              </w:rPr>
              <w:t>体系</w:t>
            </w:r>
            <w:r>
              <w:rPr>
                <w:rFonts w:hint="eastAsia" w:ascii="宋体" w:hAnsi="宋体" w:eastAsia="宋体" w:cs="宋体"/>
                <w:sz w:val="24"/>
              </w:rPr>
              <w:t>完善，工作</w:t>
            </w:r>
            <w:r>
              <w:rPr>
                <w:rFonts w:ascii="宋体" w:hAnsi="宋体" w:eastAsia="宋体" w:cs="宋体"/>
                <w:sz w:val="24"/>
              </w:rPr>
              <w:t>制度</w:t>
            </w:r>
            <w:r>
              <w:rPr>
                <w:rFonts w:hint="eastAsia" w:ascii="宋体" w:hAnsi="宋体" w:eastAsia="宋体" w:cs="宋体"/>
                <w:sz w:val="24"/>
              </w:rPr>
              <w:t>健全，工作守则</w:t>
            </w:r>
            <w:r>
              <w:rPr>
                <w:rFonts w:ascii="宋体" w:hAnsi="宋体" w:eastAsia="宋体" w:cs="宋体"/>
                <w:sz w:val="24"/>
              </w:rPr>
              <w:t>详细</w:t>
            </w:r>
            <w:r>
              <w:rPr>
                <w:rFonts w:hint="eastAsia" w:ascii="宋体" w:hAnsi="宋体" w:eastAsia="宋体" w:cs="宋体"/>
                <w:sz w:val="24"/>
              </w:rPr>
              <w:t>、严密</w:t>
            </w:r>
            <w:r>
              <w:rPr>
                <w:rFonts w:ascii="宋体" w:hAnsi="宋体" w:eastAsia="宋体" w:cs="宋体"/>
                <w:sz w:val="24"/>
              </w:rPr>
              <w:t>得</w:t>
            </w:r>
            <w:r>
              <w:rPr>
                <w:rFonts w:hint="eastAsia" w:ascii="宋体" w:hAnsi="宋体" w:eastAsia="宋体" w:cs="宋体"/>
                <w:sz w:val="24"/>
                <w:lang w:val="en-US" w:eastAsia="zh-CN"/>
              </w:rPr>
              <w:t>10</w:t>
            </w:r>
            <w:r>
              <w:rPr>
                <w:rFonts w:hint="eastAsia" w:ascii="宋体" w:hAnsi="宋体" w:eastAsia="宋体" w:cs="宋体"/>
                <w:sz w:val="24"/>
              </w:rPr>
              <w:t>分</w:t>
            </w:r>
            <w:r>
              <w:rPr>
                <w:rFonts w:ascii="宋体" w:hAnsi="宋体" w:eastAsia="宋体" w:cs="宋体"/>
                <w:sz w:val="24"/>
              </w:rPr>
              <w:t>，</w:t>
            </w:r>
            <w:r>
              <w:rPr>
                <w:rFonts w:hint="eastAsia" w:ascii="宋体" w:hAnsi="宋体" w:eastAsia="宋体" w:cs="宋体"/>
                <w:sz w:val="24"/>
              </w:rPr>
              <w:t>有缺陷或不足之处减1分，减完为止。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2" w:type="dxa"/>
            <w:vMerge w:val="continue"/>
            <w:tcBorders>
              <w:left w:val="single" w:color="auto" w:sz="4" w:space="0"/>
              <w:right w:val="single" w:color="auto" w:sz="4" w:space="0"/>
            </w:tcBorders>
            <w:noWrap w:val="0"/>
            <w:vAlign w:val="center"/>
          </w:tcPr>
          <w:p>
            <w:pPr>
              <w:pageBreakBefore w:val="0"/>
              <w:kinsoku/>
              <w:wordWrap/>
              <w:overflowPunct/>
              <w:topLinePunct w:val="0"/>
              <w:bidi w:val="0"/>
              <w:spacing w:line="560" w:lineRule="exact"/>
              <w:textAlignment w:val="auto"/>
              <w:rPr>
                <w:rFonts w:ascii="宋体" w:hAnsi="宋体" w:eastAsia="宋体" w:cs="宋体"/>
                <w:sz w:val="24"/>
              </w:rPr>
            </w:pPr>
          </w:p>
        </w:tc>
        <w:tc>
          <w:tcPr>
            <w:tcW w:w="161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sz w:val="24"/>
              </w:rPr>
            </w:pPr>
            <w:r>
              <w:rPr>
                <w:rFonts w:hint="eastAsia" w:ascii="宋体" w:hAnsi="宋体" w:eastAsia="宋体" w:cs="宋体"/>
                <w:sz w:val="24"/>
              </w:rPr>
              <w:t>服务承诺</w:t>
            </w:r>
          </w:p>
        </w:tc>
        <w:tc>
          <w:tcPr>
            <w:tcW w:w="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sz w:val="24"/>
                <w:lang w:eastAsia="zh-CN"/>
              </w:rPr>
            </w:pPr>
            <w:r>
              <w:rPr>
                <w:rFonts w:hint="eastAsia" w:ascii="宋体" w:hAnsi="宋体" w:eastAsia="宋体" w:cs="宋体"/>
                <w:sz w:val="24"/>
                <w:lang w:val="en-US" w:eastAsia="zh-CN"/>
              </w:rPr>
              <w:t>10分</w:t>
            </w:r>
          </w:p>
        </w:tc>
        <w:tc>
          <w:tcPr>
            <w:tcW w:w="60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bCs/>
              </w:rPr>
            </w:pPr>
            <w:r>
              <w:rPr>
                <w:rFonts w:hint="eastAsia" w:ascii="宋体" w:hAnsi="宋体" w:eastAsia="宋体" w:cs="宋体"/>
                <w:sz w:val="24"/>
                <w:lang w:val="zh-CN"/>
              </w:rPr>
              <w:t>根据</w:t>
            </w:r>
            <w:r>
              <w:rPr>
                <w:rFonts w:hint="eastAsia" w:ascii="宋体" w:hAnsi="宋体" w:eastAsia="宋体" w:cs="宋体"/>
                <w:sz w:val="24"/>
              </w:rPr>
              <w:t>针对本项目的服务承诺</w:t>
            </w:r>
            <w:r>
              <w:rPr>
                <w:rFonts w:hint="eastAsia" w:ascii="宋体" w:hAnsi="宋体" w:eastAsia="宋体" w:cs="宋体"/>
                <w:sz w:val="24"/>
                <w:lang w:eastAsia="zh-CN"/>
              </w:rPr>
              <w:t>，</w:t>
            </w:r>
            <w:r>
              <w:rPr>
                <w:rFonts w:hint="eastAsia" w:ascii="宋体" w:hAnsi="宋体" w:eastAsia="宋体" w:cs="宋体"/>
                <w:sz w:val="24"/>
              </w:rPr>
              <w:t>由评标委员会根据投标人的投标文件进行评定：服务承诺全面、可行，后续服务保障切合实际、合理得</w:t>
            </w:r>
            <w:r>
              <w:rPr>
                <w:rFonts w:hint="eastAsia" w:ascii="宋体" w:hAnsi="宋体" w:eastAsia="宋体" w:cs="宋体"/>
                <w:sz w:val="24"/>
                <w:lang w:val="en-US" w:eastAsia="zh-CN"/>
              </w:rPr>
              <w:t>10</w:t>
            </w:r>
            <w:r>
              <w:rPr>
                <w:rFonts w:hint="eastAsia" w:ascii="宋体" w:hAnsi="宋体" w:eastAsia="宋体" w:cs="宋体"/>
                <w:sz w:val="24"/>
              </w:rPr>
              <w:t>分</w:t>
            </w:r>
            <w:r>
              <w:rPr>
                <w:rFonts w:ascii="宋体" w:hAnsi="宋体" w:eastAsia="宋体" w:cs="宋体"/>
                <w:sz w:val="24"/>
              </w:rPr>
              <w:t>，</w:t>
            </w:r>
            <w:r>
              <w:rPr>
                <w:rFonts w:hint="eastAsia" w:ascii="宋体" w:hAnsi="宋体" w:eastAsia="宋体" w:cs="宋体"/>
                <w:sz w:val="24"/>
              </w:rPr>
              <w:t>有缺陷或不足之处减1分，减完为止。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2" w:type="dxa"/>
            <w:vMerge w:val="continue"/>
            <w:tcBorders>
              <w:left w:val="single" w:color="auto" w:sz="4" w:space="0"/>
              <w:bottom w:val="single" w:color="auto" w:sz="4" w:space="0"/>
              <w:right w:val="single" w:color="auto" w:sz="4" w:space="0"/>
            </w:tcBorders>
            <w:noWrap w:val="0"/>
            <w:vAlign w:val="center"/>
          </w:tcPr>
          <w:p>
            <w:pPr>
              <w:pageBreakBefore w:val="0"/>
              <w:kinsoku/>
              <w:wordWrap/>
              <w:overflowPunct/>
              <w:topLinePunct w:val="0"/>
              <w:bidi w:val="0"/>
              <w:spacing w:line="560" w:lineRule="exact"/>
              <w:textAlignment w:val="auto"/>
              <w:rPr>
                <w:rFonts w:ascii="宋体" w:hAnsi="宋体" w:eastAsia="宋体" w:cs="宋体"/>
                <w:sz w:val="24"/>
              </w:rPr>
            </w:pPr>
          </w:p>
        </w:tc>
        <w:tc>
          <w:tcPr>
            <w:tcW w:w="1610" w:type="dxa"/>
            <w:tcBorders>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sz w:val="24"/>
              </w:rPr>
            </w:pPr>
            <w:r>
              <w:rPr>
                <w:rFonts w:hint="eastAsia" w:ascii="宋体" w:hAnsi="宋体" w:eastAsia="宋体" w:cs="宋体"/>
                <w:sz w:val="24"/>
              </w:rPr>
              <w:t>承接本项目的</w:t>
            </w:r>
            <w:r>
              <w:rPr>
                <w:rFonts w:ascii="宋体" w:hAnsi="宋体" w:eastAsia="宋体" w:cs="宋体"/>
                <w:sz w:val="24"/>
              </w:rPr>
              <w:t>优势及履约能力</w:t>
            </w:r>
          </w:p>
        </w:tc>
        <w:tc>
          <w:tcPr>
            <w:tcW w:w="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sz w:val="24"/>
                <w:lang w:eastAsia="zh-CN"/>
              </w:rPr>
            </w:pPr>
            <w:r>
              <w:rPr>
                <w:rFonts w:hint="eastAsia" w:ascii="宋体" w:hAnsi="宋体" w:eastAsia="宋体" w:cs="宋体"/>
                <w:sz w:val="24"/>
                <w:lang w:val="en-US" w:eastAsia="zh-CN"/>
              </w:rPr>
              <w:t>10分</w:t>
            </w:r>
          </w:p>
        </w:tc>
        <w:tc>
          <w:tcPr>
            <w:tcW w:w="606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bCs/>
              </w:rPr>
            </w:pPr>
            <w:r>
              <w:rPr>
                <w:rFonts w:hint="eastAsia" w:ascii="宋体" w:hAnsi="宋体" w:eastAsia="宋体" w:cs="宋体"/>
                <w:sz w:val="24"/>
                <w:lang w:val="zh-CN"/>
              </w:rPr>
              <w:t>根据</w:t>
            </w:r>
            <w:r>
              <w:rPr>
                <w:rFonts w:hint="eastAsia" w:ascii="宋体" w:hAnsi="宋体" w:eastAsia="宋体" w:cs="宋体"/>
                <w:sz w:val="24"/>
              </w:rPr>
              <w:t>针对承接本项目的</w:t>
            </w:r>
            <w:r>
              <w:rPr>
                <w:rFonts w:ascii="宋体" w:hAnsi="宋体" w:eastAsia="宋体" w:cs="宋体"/>
                <w:sz w:val="24"/>
              </w:rPr>
              <w:t>优势及履约能力</w:t>
            </w:r>
            <w:r>
              <w:rPr>
                <w:rFonts w:hint="eastAsia" w:ascii="宋体" w:hAnsi="宋体" w:eastAsia="宋体" w:cs="宋体"/>
                <w:sz w:val="24"/>
              </w:rPr>
              <w:t>等</w:t>
            </w:r>
            <w:r>
              <w:rPr>
                <w:rFonts w:ascii="宋体" w:hAnsi="宋体" w:eastAsia="宋体" w:cs="宋体"/>
                <w:sz w:val="24"/>
              </w:rPr>
              <w:t>情况</w:t>
            </w:r>
            <w:r>
              <w:rPr>
                <w:rFonts w:hint="eastAsia" w:ascii="宋体" w:hAnsi="宋体" w:eastAsia="宋体" w:cs="宋体"/>
                <w:sz w:val="24"/>
                <w:lang w:val="zh-CN"/>
              </w:rPr>
              <w:t>，</w:t>
            </w:r>
            <w:r>
              <w:rPr>
                <w:rFonts w:hint="eastAsia" w:ascii="宋体" w:hAnsi="宋体" w:eastAsia="宋体" w:cs="宋体"/>
                <w:sz w:val="24"/>
              </w:rPr>
              <w:t>由评标委员会根据投标人的投标文件进行评定：承接本项目具有明显优势、有</w:t>
            </w:r>
            <w:r>
              <w:rPr>
                <w:rFonts w:ascii="宋体" w:hAnsi="宋体" w:eastAsia="宋体" w:cs="宋体"/>
                <w:sz w:val="24"/>
              </w:rPr>
              <w:t>针对本项目的优惠条件，</w:t>
            </w:r>
            <w:r>
              <w:rPr>
                <w:rFonts w:hint="eastAsia" w:ascii="宋体" w:hAnsi="宋体" w:eastAsia="宋体" w:cs="宋体"/>
                <w:sz w:val="24"/>
              </w:rPr>
              <w:t>履约能力</w:t>
            </w:r>
            <w:r>
              <w:rPr>
                <w:rFonts w:ascii="宋体" w:hAnsi="宋体" w:eastAsia="宋体" w:cs="宋体"/>
                <w:sz w:val="24"/>
              </w:rPr>
              <w:t>强</w:t>
            </w:r>
            <w:r>
              <w:rPr>
                <w:rFonts w:hint="eastAsia" w:ascii="宋体" w:hAnsi="宋体" w:eastAsia="宋体" w:cs="宋体"/>
                <w:sz w:val="24"/>
              </w:rPr>
              <w:t>得</w:t>
            </w:r>
            <w:r>
              <w:rPr>
                <w:rFonts w:hint="eastAsia" w:ascii="宋体" w:hAnsi="宋体" w:eastAsia="宋体" w:cs="宋体"/>
                <w:sz w:val="24"/>
                <w:lang w:val="en-US" w:eastAsia="zh-CN"/>
              </w:rPr>
              <w:t>10</w:t>
            </w:r>
            <w:r>
              <w:rPr>
                <w:rFonts w:hint="eastAsia" w:ascii="宋体" w:hAnsi="宋体" w:eastAsia="宋体" w:cs="宋体"/>
                <w:sz w:val="24"/>
              </w:rPr>
              <w:t>分</w:t>
            </w:r>
            <w:r>
              <w:rPr>
                <w:rFonts w:ascii="宋体" w:hAnsi="宋体" w:eastAsia="宋体" w:cs="宋体"/>
                <w:sz w:val="24"/>
              </w:rPr>
              <w:t>，</w:t>
            </w:r>
            <w:r>
              <w:rPr>
                <w:rFonts w:hint="eastAsia" w:ascii="宋体" w:hAnsi="宋体" w:eastAsia="宋体" w:cs="宋体"/>
                <w:sz w:val="24"/>
              </w:rPr>
              <w:t>有缺陷或不足之处减1分，减完为止。</w:t>
            </w:r>
          </w:p>
        </w:tc>
      </w:tr>
    </w:tbl>
    <w:p>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b/>
          <w:bCs/>
          <w:color w:val="auto"/>
          <w:sz w:val="24"/>
          <w:highlight w:val="none"/>
          <w:lang w:val="en-US" w:eastAsia="zh-CN"/>
        </w:rPr>
      </w:pPr>
      <w:r>
        <w:rPr>
          <w:rFonts w:hint="eastAsia" w:ascii="宋体" w:hAnsi="宋体"/>
          <w:b/>
          <w:bCs/>
          <w:color w:val="auto"/>
          <w:sz w:val="24"/>
          <w:highlight w:val="none"/>
        </w:rPr>
        <w:t>价格部分、鼓励优惠政策加分项直接计算得分，技术部分、商务部分由各评审专家在充分审阅响应文件的基础上，按照评审标准对各供应商进行分别打分，取各评委打分的算术平均值为该供应商的评议得分，报价得分和评议得分相加合计为供应商的最终得分（小数点后保留2位有效数字）。按照最终得分由高到低排序，排名第一且得分最高的为成交供应商。如果出现两个以上成交供应商得分相同的情况，取报价最低者排序在前；评审得分且最终报价相同的，由磋商小组投票的方式确定供应商排序顺次。</w:t>
      </w:r>
    </w:p>
    <w:p>
      <w:pPr>
        <w:keepNext w:val="0"/>
        <w:keepLines w:val="0"/>
        <w:pageBreakBefore w:val="0"/>
        <w:widowControl w:val="0"/>
        <w:kinsoku/>
        <w:wordWrap/>
        <w:overflowPunct/>
        <w:topLinePunct w:val="0"/>
        <w:autoSpaceDE/>
        <w:autoSpaceDN/>
        <w:bidi w:val="0"/>
        <w:adjustRightInd/>
        <w:snapToGrid/>
        <w:spacing w:line="500" w:lineRule="exact"/>
        <w:ind w:firstLine="542" w:firstLineChars="225"/>
        <w:textAlignment w:val="auto"/>
        <w:rPr>
          <w:rFonts w:hint="eastAsia" w:ascii="宋体" w:hAnsi="宋体"/>
          <w:b/>
          <w:bCs/>
          <w:color w:val="auto"/>
          <w:sz w:val="24"/>
          <w:highlight w:val="none"/>
          <w:lang w:eastAsia="zh-CN"/>
        </w:rPr>
      </w:pPr>
      <w:r>
        <w:rPr>
          <w:rFonts w:hint="eastAsia" w:ascii="宋体" w:hAnsi="宋体"/>
          <w:b/>
          <w:bCs/>
          <w:color w:val="auto"/>
          <w:sz w:val="24"/>
          <w:highlight w:val="none"/>
          <w:lang w:val="en-US" w:eastAsia="zh-CN"/>
        </w:rPr>
        <w:t>四</w:t>
      </w:r>
      <w:r>
        <w:rPr>
          <w:rFonts w:hint="eastAsia" w:ascii="宋体" w:hAnsi="宋体"/>
          <w:b/>
          <w:bCs/>
          <w:color w:val="auto"/>
          <w:sz w:val="24"/>
          <w:highlight w:val="none"/>
        </w:rPr>
        <w:t>、</w:t>
      </w:r>
      <w:r>
        <w:rPr>
          <w:rFonts w:hint="eastAsia" w:ascii="宋体" w:hAnsi="宋体"/>
          <w:b/>
          <w:bCs/>
          <w:color w:val="auto"/>
          <w:sz w:val="24"/>
          <w:highlight w:val="none"/>
          <w:lang w:val="en-US" w:eastAsia="zh-CN"/>
        </w:rPr>
        <w:t>结果确认</w:t>
      </w:r>
    </w:p>
    <w:p>
      <w:pPr>
        <w:keepNext w:val="0"/>
        <w:keepLines w:val="0"/>
        <w:pageBreakBefore w:val="0"/>
        <w:widowControl w:val="0"/>
        <w:kinsoku/>
        <w:wordWrap/>
        <w:overflowPunct/>
        <w:topLinePunct w:val="0"/>
        <w:autoSpaceDE/>
        <w:autoSpaceDN/>
        <w:bidi w:val="0"/>
        <w:adjustRightInd/>
        <w:snapToGrid/>
        <w:spacing w:line="500" w:lineRule="exact"/>
        <w:ind w:firstLine="540" w:firstLineChars="225"/>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本项目</w:t>
      </w:r>
      <w:r>
        <w:rPr>
          <w:rFonts w:hint="eastAsia" w:ascii="宋体" w:hAnsi="宋体"/>
          <w:color w:val="auto"/>
          <w:sz w:val="24"/>
          <w:highlight w:val="none"/>
        </w:rPr>
        <w:t>按</w:t>
      </w:r>
      <w:r>
        <w:rPr>
          <w:rFonts w:hint="eastAsia" w:ascii="宋体" w:hAnsi="宋体"/>
          <w:color w:val="auto"/>
          <w:sz w:val="24"/>
          <w:highlight w:val="none"/>
          <w:lang w:val="en-US" w:eastAsia="zh-CN"/>
        </w:rPr>
        <w:t>照供应商</w:t>
      </w:r>
      <w:r>
        <w:rPr>
          <w:rFonts w:hint="eastAsia" w:ascii="宋体" w:hAnsi="宋体"/>
          <w:color w:val="auto"/>
          <w:sz w:val="24"/>
          <w:highlight w:val="none"/>
          <w:lang w:eastAsia="zh-CN"/>
        </w:rPr>
        <w:t>须知</w:t>
      </w:r>
      <w:r>
        <w:rPr>
          <w:rFonts w:hint="eastAsia" w:ascii="宋体" w:hAnsi="宋体"/>
          <w:color w:val="auto"/>
          <w:sz w:val="24"/>
          <w:highlight w:val="none"/>
          <w:lang w:val="en-US" w:eastAsia="zh-CN"/>
        </w:rPr>
        <w:t>资料表由采购人委托磋商小组直接确定成交供应商。</w:t>
      </w:r>
    </w:p>
    <w:p>
      <w:pPr>
        <w:rPr>
          <w:rFonts w:hint="eastAsia" w:ascii="宋体" w:hAnsi="宋体" w:eastAsia="宋体" w:cs="宋体"/>
          <w:b/>
          <w:color w:val="auto"/>
          <w:sz w:val="32"/>
          <w:szCs w:val="32"/>
          <w:highlight w:val="none"/>
        </w:rPr>
      </w:pPr>
      <w:bookmarkStart w:id="180" w:name="_Toc606"/>
      <w:r>
        <w:rPr>
          <w:rFonts w:hint="eastAsia" w:ascii="宋体" w:hAnsi="宋体" w:eastAsia="宋体" w:cs="宋体"/>
          <w:b/>
          <w:color w:val="auto"/>
          <w:sz w:val="32"/>
          <w:szCs w:val="32"/>
          <w:highlight w:val="none"/>
        </w:rPr>
        <w:br w:type="page"/>
      </w:r>
    </w:p>
    <w:p>
      <w:pPr>
        <w:keepNext/>
        <w:keepLines/>
        <w:pageBreakBefore w:val="0"/>
        <w:kinsoku/>
        <w:wordWrap/>
        <w:overflowPunct/>
        <w:topLinePunct w:val="0"/>
        <w:bidi w:val="0"/>
        <w:spacing w:before="240" w:after="120" w:line="560" w:lineRule="exact"/>
        <w:jc w:val="center"/>
        <w:textAlignment w:val="auto"/>
        <w:outlineLvl w:val="0"/>
        <w:rPr>
          <w:rFonts w:hint="eastAsia" w:ascii="宋体" w:hAnsi="宋体" w:eastAsia="宋体" w:cs="宋体"/>
          <w:b/>
          <w:color w:val="auto"/>
          <w:sz w:val="32"/>
          <w:szCs w:val="32"/>
          <w:highlight w:val="none"/>
        </w:rPr>
      </w:pPr>
      <w:bookmarkStart w:id="181" w:name="_Toc24152"/>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章 响应文件格式</w:t>
      </w:r>
      <w:bookmarkEnd w:id="180"/>
      <w:bookmarkEnd w:id="181"/>
    </w:p>
    <w:p>
      <w:pPr>
        <w:keepNext/>
        <w:keepLines/>
        <w:pageBreakBefore w:val="0"/>
        <w:kinsoku/>
        <w:wordWrap/>
        <w:overflowPunct/>
        <w:topLinePunct w:val="0"/>
        <w:bidi w:val="0"/>
        <w:spacing w:before="120" w:line="560" w:lineRule="exact"/>
        <w:ind w:left="774" w:hanging="771"/>
        <w:jc w:val="center"/>
        <w:textAlignment w:val="auto"/>
        <w:outlineLvl w:val="1"/>
        <w:rPr>
          <w:rFonts w:hint="eastAsia" w:ascii="宋体" w:hAnsi="宋体" w:eastAsia="黑体" w:cstheme="minorBidi"/>
          <w:b/>
          <w:color w:val="auto"/>
          <w:kern w:val="0"/>
          <w:sz w:val="30"/>
          <w:szCs w:val="20"/>
          <w:highlight w:val="none"/>
          <w:lang w:val="en-US" w:eastAsia="zh-CN" w:bidi="ar-SA"/>
        </w:rPr>
      </w:pPr>
      <w:bookmarkStart w:id="182" w:name="_Toc30896"/>
      <w:bookmarkStart w:id="183" w:name="_Toc23306"/>
      <w:r>
        <w:rPr>
          <w:rFonts w:hint="eastAsia" w:ascii="宋体" w:hAnsi="宋体" w:eastAsia="黑体" w:cstheme="minorBidi"/>
          <w:b w:val="0"/>
          <w:bCs/>
          <w:color w:val="auto"/>
          <w:kern w:val="0"/>
          <w:sz w:val="30"/>
          <w:szCs w:val="20"/>
          <w:highlight w:val="none"/>
          <w:lang w:val="en-US" w:eastAsia="zh-CN" w:bidi="ar-SA"/>
        </w:rPr>
        <w:t>一、开标一览表</w:t>
      </w:r>
      <w:bookmarkEnd w:id="182"/>
      <w:bookmarkEnd w:id="183"/>
    </w:p>
    <w:p>
      <w:pPr>
        <w:keepNext/>
        <w:keepLines/>
        <w:pageBreakBefore w:val="0"/>
        <w:kinsoku/>
        <w:wordWrap/>
        <w:overflowPunct/>
        <w:topLinePunct w:val="0"/>
        <w:bidi w:val="0"/>
        <w:spacing w:before="360" w:after="120" w:line="560" w:lineRule="exact"/>
        <w:textAlignment w:val="auto"/>
        <w:outlineLvl w:val="9"/>
        <w:rPr>
          <w:rFonts w:ascii="宋体" w:hAnsi="宋体" w:eastAsia="宋体" w:cs="宋体"/>
          <w:b/>
          <w:color w:val="auto"/>
          <w:sz w:val="24"/>
          <w:highlight w:val="none"/>
        </w:rPr>
      </w:pPr>
      <w:r>
        <w:rPr>
          <w:rFonts w:ascii="宋体" w:hAnsi="宋体" w:eastAsia="宋体" w:cs="宋体"/>
          <w:b/>
          <w:color w:val="auto"/>
          <w:sz w:val="24"/>
          <w:highlight w:val="none"/>
        </w:rPr>
        <w:t>1</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开标</w:t>
      </w:r>
      <w:r>
        <w:rPr>
          <w:rFonts w:ascii="宋体" w:hAnsi="宋体" w:eastAsia="宋体" w:cs="宋体"/>
          <w:b/>
          <w:color w:val="auto"/>
          <w:sz w:val="24"/>
          <w:highlight w:val="none"/>
        </w:rPr>
        <w:t>一览表</w:t>
      </w:r>
    </w:p>
    <w:tbl>
      <w:tblPr>
        <w:tblStyle w:val="19"/>
        <w:tblW w:w="8925" w:type="dxa"/>
        <w:tblInd w:w="98" w:type="dxa"/>
        <w:tblLayout w:type="fixed"/>
        <w:tblCellMar>
          <w:top w:w="0" w:type="dxa"/>
          <w:left w:w="10" w:type="dxa"/>
          <w:bottom w:w="0" w:type="dxa"/>
          <w:right w:w="10" w:type="dxa"/>
        </w:tblCellMar>
      </w:tblPr>
      <w:tblGrid>
        <w:gridCol w:w="3208"/>
        <w:gridCol w:w="5717"/>
      </w:tblGrid>
      <w:tr>
        <w:tblPrEx>
          <w:tblCellMar>
            <w:top w:w="0" w:type="dxa"/>
            <w:left w:w="10" w:type="dxa"/>
            <w:bottom w:w="0" w:type="dxa"/>
            <w:right w:w="10" w:type="dxa"/>
          </w:tblCellMar>
        </w:tblPrEx>
        <w:trPr>
          <w:trHeight w:val="691"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ascii="宋体" w:hAnsi="宋体" w:eastAsia="宋体" w:cs="宋体"/>
                <w:color w:val="auto"/>
                <w:sz w:val="24"/>
                <w:highlight w:val="none"/>
              </w:rPr>
              <w:t>项目编号</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ascii="宋体" w:hAnsi="宋体" w:eastAsia="宋体" w:cs="宋体"/>
                <w:color w:val="auto"/>
                <w:sz w:val="24"/>
                <w:highlight w:val="none"/>
              </w:rPr>
              <w:t>项目名称</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p>
        </w:tc>
      </w:tr>
      <w:tr>
        <w:tblPrEx>
          <w:tblCellMar>
            <w:top w:w="0" w:type="dxa"/>
            <w:left w:w="10" w:type="dxa"/>
            <w:bottom w:w="0" w:type="dxa"/>
            <w:right w:w="10" w:type="dxa"/>
          </w:tblCellMar>
        </w:tblPrEx>
        <w:trPr>
          <w:trHeight w:val="850"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ascii="宋体" w:hAnsi="宋体" w:eastAsia="宋体" w:cs="宋体"/>
                <w:color w:val="auto"/>
                <w:sz w:val="24"/>
                <w:highlight w:val="none"/>
              </w:rPr>
              <w:t>供应商名称</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p>
        </w:tc>
      </w:tr>
      <w:tr>
        <w:tblPrEx>
          <w:tblCellMar>
            <w:top w:w="0" w:type="dxa"/>
            <w:left w:w="10" w:type="dxa"/>
            <w:bottom w:w="0" w:type="dxa"/>
            <w:right w:w="10" w:type="dxa"/>
          </w:tblCellMar>
        </w:tblPrEx>
        <w:trPr>
          <w:trHeight w:val="1543"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hint="eastAsia" w:ascii="宋体" w:hAnsi="宋体" w:eastAsia="宋体" w:cs="宋体"/>
                <w:color w:val="auto"/>
                <w:sz w:val="24"/>
                <w:highlight w:val="none"/>
                <w:lang w:eastAsia="zh-CN"/>
              </w:rPr>
              <w:t>报价</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ind w:firstLine="1080"/>
              <w:textAlignment w:val="auto"/>
              <w:rPr>
                <w:rFonts w:ascii="宋体" w:hAnsi="宋体" w:eastAsia="宋体" w:cs="宋体"/>
                <w:color w:val="auto"/>
                <w:sz w:val="24"/>
                <w:highlight w:val="none"/>
                <w:u w:val="single"/>
              </w:rPr>
            </w:pPr>
            <w:r>
              <w:rPr>
                <w:rFonts w:ascii="宋体" w:hAnsi="宋体" w:eastAsia="宋体" w:cs="宋体"/>
                <w:color w:val="auto"/>
                <w:sz w:val="24"/>
                <w:highlight w:val="none"/>
              </w:rPr>
              <w:t>大写：</w:t>
            </w:r>
          </w:p>
          <w:p>
            <w:pPr>
              <w:pageBreakBefore w:val="0"/>
              <w:kinsoku/>
              <w:wordWrap/>
              <w:overflowPunct/>
              <w:topLinePunct w:val="0"/>
              <w:bidi w:val="0"/>
              <w:spacing w:line="560" w:lineRule="exact"/>
              <w:ind w:firstLine="1080"/>
              <w:textAlignment w:val="auto"/>
              <w:rPr>
                <w:rFonts w:ascii="宋体" w:hAnsi="宋体" w:eastAsia="宋体" w:cs="宋体"/>
                <w:color w:val="auto"/>
                <w:highlight w:val="none"/>
              </w:rPr>
            </w:pPr>
            <w:r>
              <w:rPr>
                <w:rFonts w:ascii="宋体" w:hAnsi="宋体" w:eastAsia="宋体" w:cs="宋体"/>
                <w:color w:val="auto"/>
                <w:sz w:val="24"/>
                <w:highlight w:val="none"/>
              </w:rPr>
              <w:t>小写：</w:t>
            </w:r>
          </w:p>
        </w:tc>
      </w:tr>
      <w:tr>
        <w:tblPrEx>
          <w:tblCellMar>
            <w:top w:w="0" w:type="dxa"/>
            <w:left w:w="10" w:type="dxa"/>
            <w:bottom w:w="0" w:type="dxa"/>
            <w:right w:w="10" w:type="dxa"/>
          </w:tblCellMar>
        </w:tblPrEx>
        <w:trPr>
          <w:trHeight w:val="1589"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hint="eastAsia" w:ascii="宋体" w:hAnsi="宋体" w:eastAsia="宋体" w:cs="宋体"/>
                <w:color w:val="auto"/>
                <w:highlight w:val="none"/>
                <w:lang w:eastAsia="zh-CN"/>
              </w:rPr>
            </w:pPr>
            <w:r>
              <w:rPr>
                <w:rFonts w:ascii="宋体" w:hAnsi="宋体" w:eastAsia="宋体" w:cs="宋体"/>
                <w:color w:val="auto"/>
                <w:sz w:val="24"/>
                <w:highlight w:val="none"/>
              </w:rPr>
              <w:t>服务</w:t>
            </w:r>
            <w:r>
              <w:rPr>
                <w:rFonts w:hint="eastAsia" w:ascii="宋体" w:hAnsi="宋体" w:eastAsia="宋体" w:cs="宋体"/>
                <w:color w:val="auto"/>
                <w:sz w:val="24"/>
                <w:highlight w:val="none"/>
                <w:lang w:eastAsia="zh-CN"/>
              </w:rPr>
              <w:t>承诺</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p>
        </w:tc>
      </w:tr>
      <w:tr>
        <w:tblPrEx>
          <w:tblCellMar>
            <w:top w:w="0" w:type="dxa"/>
            <w:left w:w="10" w:type="dxa"/>
            <w:bottom w:w="0" w:type="dxa"/>
            <w:right w:w="10" w:type="dxa"/>
          </w:tblCellMar>
        </w:tblPrEx>
        <w:trPr>
          <w:trHeight w:val="985" w:hRule="atLeast"/>
        </w:trPr>
        <w:tc>
          <w:tcPr>
            <w:tcW w:w="320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highlight w:val="none"/>
              </w:rPr>
            </w:pPr>
            <w:r>
              <w:rPr>
                <w:rFonts w:ascii="宋体" w:hAnsi="宋体" w:eastAsia="宋体" w:cs="宋体"/>
                <w:color w:val="auto"/>
                <w:sz w:val="24"/>
                <w:highlight w:val="none"/>
              </w:rPr>
              <w:t>备注</w:t>
            </w:r>
          </w:p>
        </w:tc>
        <w:tc>
          <w:tcPr>
            <w:tcW w:w="571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ageBreakBefore w:val="0"/>
              <w:kinsoku/>
              <w:wordWrap/>
              <w:overflowPunct/>
              <w:topLinePunct w:val="0"/>
              <w:bidi w:val="0"/>
              <w:spacing w:line="560" w:lineRule="exact"/>
              <w:jc w:val="center"/>
              <w:textAlignment w:val="auto"/>
              <w:rPr>
                <w:rFonts w:ascii="宋体" w:hAnsi="宋体" w:eastAsia="宋体" w:cs="宋体"/>
                <w:color w:val="auto"/>
                <w:sz w:val="22"/>
                <w:highlight w:val="none"/>
              </w:rPr>
            </w:pPr>
          </w:p>
        </w:tc>
      </w:tr>
    </w:tbl>
    <w:p>
      <w:pPr>
        <w:pageBreakBefore w:val="0"/>
        <w:kinsoku/>
        <w:wordWrap/>
        <w:overflowPunct/>
        <w:topLinePunct w:val="0"/>
        <w:bidi w:val="0"/>
        <w:spacing w:line="560" w:lineRule="exact"/>
        <w:textAlignment w:val="auto"/>
        <w:rPr>
          <w:rFonts w:ascii="宋体" w:hAnsi="宋体" w:cs="宋体"/>
          <w:color w:val="auto"/>
          <w:sz w:val="24"/>
          <w:highlight w:val="none"/>
        </w:rPr>
      </w:pPr>
    </w:p>
    <w:p>
      <w:pPr>
        <w:pageBreakBefore w:val="0"/>
        <w:kinsoku/>
        <w:wordWrap/>
        <w:overflowPunct/>
        <w:topLinePunct w:val="0"/>
        <w:bidi w:val="0"/>
        <w:spacing w:line="560" w:lineRule="exact"/>
        <w:textAlignment w:val="auto"/>
        <w:rPr>
          <w:rFonts w:eastAsia="Calibri" w:cs="Calibri"/>
          <w:color w:val="auto"/>
          <w:sz w:val="24"/>
          <w:highlight w:val="none"/>
        </w:rPr>
      </w:pPr>
      <w:r>
        <w:rPr>
          <w:rFonts w:hint="eastAsia" w:ascii="宋体" w:hAnsi="宋体" w:cs="宋体"/>
          <w:color w:val="auto"/>
          <w:sz w:val="24"/>
          <w:highlight w:val="none"/>
        </w:rPr>
        <w:t>供应商</w:t>
      </w:r>
      <w:r>
        <w:rPr>
          <w:rFonts w:ascii="宋体" w:hAnsi="宋体" w:cs="宋体"/>
          <w:color w:val="auto"/>
          <w:sz w:val="24"/>
          <w:highlight w:val="none"/>
        </w:rPr>
        <w:t>名称（公章）：</w:t>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r>
        <w:rPr>
          <w:rFonts w:ascii="宋体" w:hAnsi="宋体" w:cs="宋体"/>
          <w:color w:val="auto"/>
          <w:sz w:val="24"/>
          <w:highlight w:val="none"/>
          <w:u w:val="single"/>
        </w:rPr>
        <w:tab/>
      </w:r>
    </w:p>
    <w:p>
      <w:pPr>
        <w:pageBreakBefore w:val="0"/>
        <w:kinsoku/>
        <w:wordWrap/>
        <w:overflowPunct/>
        <w:topLinePunct w:val="0"/>
        <w:bidi w:val="0"/>
        <w:spacing w:line="560" w:lineRule="exact"/>
        <w:textAlignment w:val="auto"/>
        <w:rPr>
          <w:rFonts w:eastAsia="Calibri" w:cs="Calibri"/>
          <w:color w:val="auto"/>
          <w:sz w:val="24"/>
          <w:highlight w:val="none"/>
        </w:rPr>
      </w:pPr>
      <w:r>
        <w:rPr>
          <w:rFonts w:ascii="宋体" w:hAnsi="宋体" w:cs="宋体"/>
          <w:color w:val="auto"/>
          <w:sz w:val="24"/>
          <w:highlight w:val="none"/>
        </w:rPr>
        <w:t>法定代表人（非法人组织的负责人）或其授权代表（签章）：</w:t>
      </w:r>
      <w:r>
        <w:rPr>
          <w:rFonts w:ascii="宋体" w:hAnsi="宋体" w:cs="宋体"/>
          <w:color w:val="auto"/>
          <w:sz w:val="24"/>
          <w:highlight w:val="none"/>
          <w:u w:val="single"/>
        </w:rPr>
        <w:tab/>
      </w:r>
      <w:r>
        <w:rPr>
          <w:rFonts w:ascii="宋体" w:hAnsi="宋体" w:cs="宋体"/>
          <w:color w:val="auto"/>
          <w:sz w:val="24"/>
          <w:highlight w:val="none"/>
          <w:u w:val="single"/>
        </w:rPr>
        <w:tab/>
      </w:r>
    </w:p>
    <w:p>
      <w:pPr>
        <w:pageBreakBefore w:val="0"/>
        <w:kinsoku/>
        <w:wordWrap/>
        <w:overflowPunct/>
        <w:topLinePunct w:val="0"/>
        <w:bidi w:val="0"/>
        <w:spacing w:line="560" w:lineRule="exact"/>
        <w:textAlignment w:val="auto"/>
        <w:rPr>
          <w:rFonts w:ascii="宋体" w:hAnsi="宋体" w:cs="宋体"/>
          <w:color w:val="auto"/>
          <w:sz w:val="24"/>
          <w:highlight w:val="none"/>
        </w:rPr>
      </w:pPr>
      <w:r>
        <w:rPr>
          <w:rFonts w:ascii="宋体" w:hAnsi="宋体" w:cs="宋体"/>
          <w:color w:val="auto"/>
          <w:sz w:val="24"/>
          <w:highlight w:val="none"/>
        </w:rPr>
        <w:t>日    期：      年   月   日</w:t>
      </w:r>
    </w:p>
    <w:p>
      <w:pPr>
        <w:pStyle w:val="5"/>
        <w:pageBreakBefore w:val="0"/>
        <w:kinsoku/>
        <w:wordWrap/>
        <w:overflowPunct/>
        <w:topLinePunct w:val="0"/>
        <w:bidi w:val="0"/>
        <w:spacing w:line="560" w:lineRule="exact"/>
        <w:jc w:val="both"/>
        <w:textAlignment w:val="auto"/>
        <w:outlineLvl w:val="1"/>
        <w:rPr>
          <w:rFonts w:hint="eastAsia" w:ascii="宋体" w:hAnsi="宋体"/>
          <w:color w:val="auto"/>
          <w:highlight w:val="none"/>
          <w:lang w:eastAsia="zh-CN"/>
        </w:rPr>
      </w:pPr>
      <w:bookmarkStart w:id="184" w:name="_Toc17369"/>
      <w:bookmarkStart w:id="185" w:name="_Toc31431"/>
    </w:p>
    <w:p>
      <w:pPr>
        <w:rPr>
          <w:rFonts w:hint="eastAsia"/>
          <w:lang w:eastAsia="zh-CN"/>
        </w:rPr>
      </w:pPr>
    </w:p>
    <w:p>
      <w:pPr>
        <w:rPr>
          <w:rFonts w:hint="eastAsia" w:ascii="宋体" w:hAnsi="宋体"/>
          <w:color w:val="auto"/>
          <w:highlight w:val="none"/>
          <w:lang w:eastAsia="zh-CN"/>
        </w:rPr>
      </w:pPr>
      <w:r>
        <w:rPr>
          <w:rFonts w:hint="eastAsia" w:ascii="宋体" w:hAnsi="宋体"/>
          <w:color w:val="auto"/>
          <w:highlight w:val="none"/>
          <w:lang w:eastAsia="zh-CN"/>
        </w:rPr>
        <w:br w:type="page"/>
      </w:r>
    </w:p>
    <w:p>
      <w:pPr>
        <w:numPr>
          <w:ilvl w:val="0"/>
          <w:numId w:val="8"/>
        </w:numPr>
        <w:spacing w:after="120" w:afterLines="50" w:line="276" w:lineRule="auto"/>
        <w:jc w:val="center"/>
        <w:outlineLvl w:val="1"/>
        <w:rPr>
          <w:rFonts w:hint="eastAsia" w:ascii="宋体" w:hAnsi="宋体" w:cs="宋体"/>
          <w:b/>
          <w:bCs/>
          <w:sz w:val="24"/>
          <w:szCs w:val="24"/>
        </w:rPr>
      </w:pPr>
      <w:bookmarkStart w:id="186" w:name="_Toc4912"/>
      <w:bookmarkStart w:id="187" w:name="_Toc25521"/>
      <w:r>
        <w:rPr>
          <w:rFonts w:hint="eastAsia" w:ascii="宋体" w:hAnsi="宋体" w:cs="宋体"/>
          <w:b/>
          <w:bCs/>
          <w:sz w:val="24"/>
          <w:szCs w:val="24"/>
        </w:rPr>
        <w:t>报价明细表</w:t>
      </w:r>
      <w:bookmarkEnd w:id="186"/>
      <w:bookmarkEnd w:id="187"/>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2023"/>
        <w:gridCol w:w="966"/>
        <w:gridCol w:w="1191"/>
        <w:gridCol w:w="1360"/>
        <w:gridCol w:w="1609"/>
        <w:gridCol w:w="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04" w:type="dxa"/>
            <w:vAlign w:val="center"/>
          </w:tcPr>
          <w:p>
            <w:pPr>
              <w:numPr>
                <w:ilvl w:val="0"/>
                <w:numId w:val="0"/>
              </w:numPr>
              <w:jc w:val="center"/>
              <w:rPr>
                <w:rFonts w:hint="default" w:eastAsiaTheme="minorEastAsia"/>
                <w:sz w:val="24"/>
                <w:szCs w:val="24"/>
                <w:vertAlign w:val="baseline"/>
                <w:lang w:val="en-US" w:eastAsia="zh-CN"/>
              </w:rPr>
            </w:pPr>
            <w:r>
              <w:rPr>
                <w:rFonts w:hint="eastAsia"/>
                <w:sz w:val="24"/>
                <w:szCs w:val="24"/>
                <w:vertAlign w:val="baseline"/>
                <w:lang w:val="en-US" w:eastAsia="zh-CN"/>
              </w:rPr>
              <w:t>序号</w:t>
            </w:r>
          </w:p>
        </w:tc>
        <w:tc>
          <w:tcPr>
            <w:tcW w:w="2023" w:type="dxa"/>
            <w:vAlign w:val="center"/>
          </w:tcPr>
          <w:p>
            <w:pPr>
              <w:numPr>
                <w:ilvl w:val="0"/>
                <w:numId w:val="0"/>
              </w:numPr>
              <w:jc w:val="center"/>
              <w:rPr>
                <w:rFonts w:hint="default" w:eastAsiaTheme="minorEastAsia"/>
                <w:sz w:val="24"/>
                <w:szCs w:val="24"/>
                <w:vertAlign w:val="baseline"/>
                <w:lang w:val="en-US" w:eastAsia="zh-CN"/>
              </w:rPr>
            </w:pPr>
            <w:r>
              <w:rPr>
                <w:rFonts w:hint="eastAsia"/>
                <w:sz w:val="24"/>
                <w:szCs w:val="24"/>
                <w:vertAlign w:val="baseline"/>
                <w:lang w:val="en-US" w:eastAsia="zh-CN"/>
              </w:rPr>
              <w:t>项目分类</w:t>
            </w:r>
          </w:p>
        </w:tc>
        <w:tc>
          <w:tcPr>
            <w:tcW w:w="966" w:type="dxa"/>
            <w:vAlign w:val="center"/>
          </w:tcPr>
          <w:p>
            <w:pPr>
              <w:numPr>
                <w:ilvl w:val="0"/>
                <w:numId w:val="0"/>
              </w:numPr>
              <w:jc w:val="center"/>
              <w:rPr>
                <w:rFonts w:hint="eastAsia" w:eastAsiaTheme="minorEastAsia"/>
                <w:sz w:val="24"/>
                <w:szCs w:val="24"/>
                <w:vertAlign w:val="baseline"/>
                <w:lang w:val="en-US" w:eastAsia="zh-CN"/>
              </w:rPr>
            </w:pPr>
            <w:r>
              <w:rPr>
                <w:rFonts w:hint="eastAsia"/>
                <w:sz w:val="24"/>
                <w:szCs w:val="24"/>
                <w:vertAlign w:val="baseline"/>
                <w:lang w:val="en-US" w:eastAsia="zh-CN"/>
              </w:rPr>
              <w:t>数量</w:t>
            </w:r>
          </w:p>
        </w:tc>
        <w:tc>
          <w:tcPr>
            <w:tcW w:w="1191" w:type="dxa"/>
            <w:vAlign w:val="center"/>
          </w:tcPr>
          <w:p>
            <w:pPr>
              <w:numPr>
                <w:ilvl w:val="0"/>
                <w:numId w:val="0"/>
              </w:numPr>
              <w:jc w:val="center"/>
              <w:rPr>
                <w:rFonts w:hint="default" w:eastAsiaTheme="minorEastAsia"/>
                <w:sz w:val="24"/>
                <w:szCs w:val="24"/>
                <w:vertAlign w:val="baseline"/>
                <w:lang w:val="en-US" w:eastAsia="zh-CN"/>
              </w:rPr>
            </w:pPr>
            <w:r>
              <w:rPr>
                <w:rFonts w:hint="eastAsia"/>
                <w:sz w:val="24"/>
                <w:szCs w:val="24"/>
                <w:vertAlign w:val="baseline"/>
                <w:lang w:val="en-US" w:eastAsia="zh-CN"/>
              </w:rPr>
              <w:t>单价（元）</w:t>
            </w:r>
          </w:p>
        </w:tc>
        <w:tc>
          <w:tcPr>
            <w:tcW w:w="1360" w:type="dxa"/>
            <w:vAlign w:val="center"/>
          </w:tcPr>
          <w:p>
            <w:pPr>
              <w:numPr>
                <w:ilvl w:val="0"/>
                <w:numId w:val="0"/>
              </w:numPr>
              <w:jc w:val="center"/>
              <w:rPr>
                <w:rFonts w:hint="default" w:eastAsiaTheme="minorEastAsia"/>
                <w:sz w:val="24"/>
                <w:szCs w:val="24"/>
                <w:vertAlign w:val="baseline"/>
                <w:lang w:val="en-US" w:eastAsia="zh-CN"/>
              </w:rPr>
            </w:pPr>
            <w:r>
              <w:rPr>
                <w:rFonts w:hint="eastAsia"/>
                <w:sz w:val="24"/>
                <w:szCs w:val="24"/>
                <w:vertAlign w:val="baseline"/>
                <w:lang w:val="en-US" w:eastAsia="zh-CN"/>
              </w:rPr>
              <w:t>每月费用（元）</w:t>
            </w:r>
          </w:p>
        </w:tc>
        <w:tc>
          <w:tcPr>
            <w:tcW w:w="1609" w:type="dxa"/>
            <w:vAlign w:val="center"/>
          </w:tcPr>
          <w:p>
            <w:pPr>
              <w:numPr>
                <w:ilvl w:val="0"/>
                <w:numId w:val="0"/>
              </w:numPr>
              <w:jc w:val="center"/>
              <w:rPr>
                <w:rFonts w:hint="default" w:eastAsiaTheme="minorEastAsia"/>
                <w:sz w:val="24"/>
                <w:szCs w:val="24"/>
                <w:vertAlign w:val="baseline"/>
                <w:lang w:val="en-US" w:eastAsia="zh-CN"/>
              </w:rPr>
            </w:pPr>
            <w:r>
              <w:rPr>
                <w:rFonts w:hint="eastAsia"/>
                <w:sz w:val="24"/>
                <w:szCs w:val="24"/>
                <w:vertAlign w:val="baseline"/>
                <w:lang w:val="en-US" w:eastAsia="zh-CN"/>
              </w:rPr>
              <w:t>1年合同期内费用（元）</w:t>
            </w:r>
          </w:p>
        </w:tc>
        <w:tc>
          <w:tcPr>
            <w:tcW w:w="962" w:type="dxa"/>
            <w:vAlign w:val="center"/>
          </w:tcPr>
          <w:p>
            <w:pPr>
              <w:numPr>
                <w:ilvl w:val="0"/>
                <w:numId w:val="0"/>
              </w:numPr>
              <w:jc w:val="center"/>
              <w:rPr>
                <w:rFonts w:hint="eastAsia" w:eastAsiaTheme="minorEastAsia"/>
                <w:sz w:val="24"/>
                <w:szCs w:val="24"/>
                <w:vertAlign w:val="baseline"/>
                <w:lang w:val="en-US" w:eastAsia="zh-CN"/>
              </w:rPr>
            </w:pPr>
            <w:r>
              <w:rPr>
                <w:rFonts w:hint="eastAsia"/>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04" w:type="dxa"/>
            <w:vAlign w:val="center"/>
          </w:tcPr>
          <w:p>
            <w:pPr>
              <w:numPr>
                <w:ilvl w:val="0"/>
                <w:numId w:val="0"/>
              </w:numPr>
              <w:jc w:val="center"/>
              <w:rPr>
                <w:rFonts w:hint="eastAsia" w:eastAsiaTheme="minorEastAsia"/>
                <w:sz w:val="24"/>
                <w:szCs w:val="24"/>
                <w:vertAlign w:val="baseline"/>
                <w:lang w:val="en-US" w:eastAsia="zh-CN"/>
              </w:rPr>
            </w:pPr>
            <w:r>
              <w:rPr>
                <w:rFonts w:hint="eastAsia"/>
                <w:sz w:val="24"/>
                <w:szCs w:val="24"/>
                <w:vertAlign w:val="baseline"/>
                <w:lang w:val="en-US" w:eastAsia="zh-CN"/>
              </w:rPr>
              <w:t>1</w:t>
            </w:r>
          </w:p>
        </w:tc>
        <w:tc>
          <w:tcPr>
            <w:tcW w:w="2023" w:type="dxa"/>
            <w:vAlign w:val="center"/>
          </w:tcPr>
          <w:p>
            <w:pPr>
              <w:numPr>
                <w:ilvl w:val="0"/>
                <w:numId w:val="0"/>
              </w:numPr>
              <w:jc w:val="center"/>
              <w:rPr>
                <w:rFonts w:hint="eastAsia"/>
                <w:sz w:val="24"/>
                <w:szCs w:val="24"/>
                <w:vertAlign w:val="baseline"/>
                <w:lang w:val="en-US" w:eastAsia="zh-CN"/>
              </w:rPr>
            </w:pPr>
            <w:r>
              <w:rPr>
                <w:rFonts w:hint="eastAsia"/>
                <w:sz w:val="24"/>
                <w:szCs w:val="24"/>
                <w:vertAlign w:val="baseline"/>
                <w:lang w:val="en-US" w:eastAsia="zh-CN"/>
              </w:rPr>
              <w:t>人员工资</w:t>
            </w:r>
          </w:p>
          <w:p>
            <w:pPr>
              <w:numPr>
                <w:ilvl w:val="0"/>
                <w:numId w:val="0"/>
              </w:numPr>
              <w:jc w:val="center"/>
              <w:rPr>
                <w:rFonts w:hint="default" w:eastAsiaTheme="minorEastAsia"/>
                <w:sz w:val="24"/>
                <w:szCs w:val="24"/>
                <w:vertAlign w:val="baseline"/>
                <w:lang w:val="en-US" w:eastAsia="zh-CN"/>
              </w:rPr>
            </w:pPr>
            <w:r>
              <w:rPr>
                <w:rFonts w:hint="eastAsia"/>
                <w:sz w:val="24"/>
                <w:szCs w:val="24"/>
                <w:vertAlign w:val="baseline"/>
                <w:lang w:val="en-US" w:eastAsia="zh-CN"/>
              </w:rPr>
              <w:t>（含保险）</w:t>
            </w:r>
          </w:p>
        </w:tc>
        <w:tc>
          <w:tcPr>
            <w:tcW w:w="966" w:type="dxa"/>
            <w:vAlign w:val="center"/>
          </w:tcPr>
          <w:p>
            <w:pPr>
              <w:numPr>
                <w:ilvl w:val="0"/>
                <w:numId w:val="0"/>
              </w:numPr>
              <w:jc w:val="center"/>
              <w:rPr>
                <w:rFonts w:hint="eastAsia"/>
                <w:sz w:val="24"/>
                <w:szCs w:val="24"/>
                <w:vertAlign w:val="baseline"/>
              </w:rPr>
            </w:pPr>
          </w:p>
        </w:tc>
        <w:tc>
          <w:tcPr>
            <w:tcW w:w="1191" w:type="dxa"/>
            <w:vAlign w:val="center"/>
          </w:tcPr>
          <w:p>
            <w:pPr>
              <w:numPr>
                <w:ilvl w:val="0"/>
                <w:numId w:val="0"/>
              </w:numPr>
              <w:jc w:val="center"/>
              <w:rPr>
                <w:rFonts w:hint="eastAsia"/>
                <w:sz w:val="24"/>
                <w:szCs w:val="24"/>
                <w:vertAlign w:val="baseline"/>
              </w:rPr>
            </w:pPr>
          </w:p>
        </w:tc>
        <w:tc>
          <w:tcPr>
            <w:tcW w:w="1360" w:type="dxa"/>
            <w:vAlign w:val="center"/>
          </w:tcPr>
          <w:p>
            <w:pPr>
              <w:numPr>
                <w:ilvl w:val="0"/>
                <w:numId w:val="0"/>
              </w:numPr>
              <w:jc w:val="center"/>
              <w:rPr>
                <w:rFonts w:hint="eastAsia"/>
                <w:sz w:val="24"/>
                <w:szCs w:val="24"/>
                <w:vertAlign w:val="baseline"/>
              </w:rPr>
            </w:pPr>
          </w:p>
        </w:tc>
        <w:tc>
          <w:tcPr>
            <w:tcW w:w="1609" w:type="dxa"/>
            <w:vAlign w:val="center"/>
          </w:tcPr>
          <w:p>
            <w:pPr>
              <w:numPr>
                <w:ilvl w:val="0"/>
                <w:numId w:val="0"/>
              </w:numPr>
              <w:jc w:val="center"/>
              <w:rPr>
                <w:rFonts w:hint="eastAsia"/>
                <w:sz w:val="24"/>
                <w:szCs w:val="24"/>
                <w:vertAlign w:val="baseline"/>
              </w:rPr>
            </w:pPr>
          </w:p>
        </w:tc>
        <w:tc>
          <w:tcPr>
            <w:tcW w:w="962" w:type="dxa"/>
            <w:vAlign w:val="center"/>
          </w:tcPr>
          <w:p>
            <w:pPr>
              <w:numPr>
                <w:ilvl w:val="0"/>
                <w:numId w:val="0"/>
              </w:numPr>
              <w:jc w:val="center"/>
              <w:rPr>
                <w:rFonts w:hint="eastAsia"/>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04" w:type="dxa"/>
            <w:vAlign w:val="center"/>
          </w:tcPr>
          <w:p>
            <w:pPr>
              <w:numPr>
                <w:ilvl w:val="0"/>
                <w:numId w:val="0"/>
              </w:numPr>
              <w:jc w:val="center"/>
              <w:rPr>
                <w:rFonts w:hint="eastAsia" w:eastAsiaTheme="minorEastAsia"/>
                <w:vertAlign w:val="baseline"/>
                <w:lang w:val="en-US" w:eastAsia="zh-CN"/>
              </w:rPr>
            </w:pPr>
            <w:r>
              <w:rPr>
                <w:rFonts w:hint="eastAsia"/>
                <w:vertAlign w:val="baseline"/>
                <w:lang w:val="en-US" w:eastAsia="zh-CN"/>
              </w:rPr>
              <w:t>2</w:t>
            </w:r>
          </w:p>
        </w:tc>
        <w:tc>
          <w:tcPr>
            <w:tcW w:w="2023" w:type="dxa"/>
            <w:vAlign w:val="center"/>
          </w:tcPr>
          <w:p>
            <w:pPr>
              <w:numPr>
                <w:ilvl w:val="0"/>
                <w:numId w:val="0"/>
              </w:numPr>
              <w:jc w:val="center"/>
              <w:rPr>
                <w:rFonts w:hint="eastAsia" w:eastAsiaTheme="minorEastAsia"/>
                <w:vertAlign w:val="baseline"/>
                <w:lang w:eastAsia="zh-CN"/>
              </w:rPr>
            </w:pPr>
            <w:r>
              <w:rPr>
                <w:rFonts w:hint="eastAsia"/>
                <w:vertAlign w:val="baseline"/>
                <w:lang w:eastAsia="zh-CN"/>
              </w:rPr>
              <w:t>其他</w:t>
            </w:r>
          </w:p>
        </w:tc>
        <w:tc>
          <w:tcPr>
            <w:tcW w:w="966" w:type="dxa"/>
            <w:vAlign w:val="center"/>
          </w:tcPr>
          <w:p>
            <w:pPr>
              <w:numPr>
                <w:ilvl w:val="0"/>
                <w:numId w:val="0"/>
              </w:numPr>
              <w:jc w:val="center"/>
              <w:rPr>
                <w:rFonts w:hint="eastAsia"/>
                <w:vertAlign w:val="baseline"/>
              </w:rPr>
            </w:pPr>
          </w:p>
        </w:tc>
        <w:tc>
          <w:tcPr>
            <w:tcW w:w="1191" w:type="dxa"/>
            <w:vAlign w:val="center"/>
          </w:tcPr>
          <w:p>
            <w:pPr>
              <w:numPr>
                <w:ilvl w:val="0"/>
                <w:numId w:val="0"/>
              </w:numPr>
              <w:jc w:val="center"/>
              <w:rPr>
                <w:rFonts w:hint="eastAsia"/>
                <w:vertAlign w:val="baseline"/>
              </w:rPr>
            </w:pPr>
          </w:p>
        </w:tc>
        <w:tc>
          <w:tcPr>
            <w:tcW w:w="1360" w:type="dxa"/>
            <w:vAlign w:val="center"/>
          </w:tcPr>
          <w:p>
            <w:pPr>
              <w:numPr>
                <w:ilvl w:val="0"/>
                <w:numId w:val="0"/>
              </w:numPr>
              <w:jc w:val="center"/>
              <w:rPr>
                <w:rFonts w:hint="eastAsia"/>
                <w:vertAlign w:val="baseline"/>
              </w:rPr>
            </w:pPr>
          </w:p>
        </w:tc>
        <w:tc>
          <w:tcPr>
            <w:tcW w:w="1609" w:type="dxa"/>
            <w:vAlign w:val="center"/>
          </w:tcPr>
          <w:p>
            <w:pPr>
              <w:numPr>
                <w:ilvl w:val="0"/>
                <w:numId w:val="0"/>
              </w:numPr>
              <w:jc w:val="center"/>
              <w:rPr>
                <w:rFonts w:hint="eastAsia"/>
                <w:vertAlign w:val="baseline"/>
              </w:rPr>
            </w:pPr>
          </w:p>
        </w:tc>
        <w:tc>
          <w:tcPr>
            <w:tcW w:w="962" w:type="dxa"/>
            <w:vAlign w:val="center"/>
          </w:tcPr>
          <w:p>
            <w:pPr>
              <w:numPr>
                <w:ilvl w:val="0"/>
                <w:numId w:val="0"/>
              </w:num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04" w:type="dxa"/>
            <w:vAlign w:val="center"/>
          </w:tcPr>
          <w:p>
            <w:pPr>
              <w:numPr>
                <w:ilvl w:val="0"/>
                <w:numId w:val="0"/>
              </w:numPr>
              <w:jc w:val="center"/>
              <w:rPr>
                <w:rFonts w:hint="default" w:eastAsiaTheme="minorEastAsia"/>
                <w:vertAlign w:val="baseline"/>
                <w:lang w:val="en-US" w:eastAsia="zh-CN"/>
              </w:rPr>
            </w:pPr>
            <w:r>
              <w:rPr>
                <w:rFonts w:hint="eastAsia"/>
                <w:vertAlign w:val="baseline"/>
                <w:lang w:val="en-US" w:eastAsia="zh-CN"/>
              </w:rPr>
              <w:t>...</w:t>
            </w:r>
          </w:p>
        </w:tc>
        <w:tc>
          <w:tcPr>
            <w:tcW w:w="2023" w:type="dxa"/>
            <w:vAlign w:val="center"/>
          </w:tcPr>
          <w:p>
            <w:pPr>
              <w:numPr>
                <w:ilvl w:val="0"/>
                <w:numId w:val="0"/>
              </w:numPr>
              <w:jc w:val="center"/>
              <w:rPr>
                <w:rFonts w:hint="default" w:eastAsiaTheme="minorEastAsia"/>
                <w:vertAlign w:val="baseline"/>
                <w:lang w:val="en-US" w:eastAsia="zh-CN"/>
              </w:rPr>
            </w:pPr>
            <w:r>
              <w:rPr>
                <w:rFonts w:hint="eastAsia"/>
                <w:vertAlign w:val="baseline"/>
                <w:lang w:val="en-US" w:eastAsia="zh-CN"/>
              </w:rPr>
              <w:t>....</w:t>
            </w:r>
          </w:p>
        </w:tc>
        <w:tc>
          <w:tcPr>
            <w:tcW w:w="966" w:type="dxa"/>
            <w:vAlign w:val="center"/>
          </w:tcPr>
          <w:p>
            <w:pPr>
              <w:numPr>
                <w:ilvl w:val="0"/>
                <w:numId w:val="0"/>
              </w:numPr>
              <w:jc w:val="center"/>
              <w:rPr>
                <w:rFonts w:hint="eastAsia"/>
                <w:vertAlign w:val="baseline"/>
              </w:rPr>
            </w:pPr>
          </w:p>
        </w:tc>
        <w:tc>
          <w:tcPr>
            <w:tcW w:w="1191" w:type="dxa"/>
            <w:vAlign w:val="center"/>
          </w:tcPr>
          <w:p>
            <w:pPr>
              <w:numPr>
                <w:ilvl w:val="0"/>
                <w:numId w:val="0"/>
              </w:numPr>
              <w:jc w:val="center"/>
              <w:rPr>
                <w:rFonts w:hint="eastAsia"/>
                <w:vertAlign w:val="baseline"/>
              </w:rPr>
            </w:pPr>
          </w:p>
        </w:tc>
        <w:tc>
          <w:tcPr>
            <w:tcW w:w="1360" w:type="dxa"/>
            <w:vAlign w:val="center"/>
          </w:tcPr>
          <w:p>
            <w:pPr>
              <w:numPr>
                <w:ilvl w:val="0"/>
                <w:numId w:val="0"/>
              </w:numPr>
              <w:jc w:val="center"/>
              <w:rPr>
                <w:rFonts w:hint="eastAsia"/>
                <w:vertAlign w:val="baseline"/>
              </w:rPr>
            </w:pPr>
          </w:p>
        </w:tc>
        <w:tc>
          <w:tcPr>
            <w:tcW w:w="1609" w:type="dxa"/>
            <w:vAlign w:val="center"/>
          </w:tcPr>
          <w:p>
            <w:pPr>
              <w:numPr>
                <w:ilvl w:val="0"/>
                <w:numId w:val="0"/>
              </w:numPr>
              <w:jc w:val="center"/>
              <w:rPr>
                <w:rFonts w:hint="eastAsia"/>
                <w:vertAlign w:val="baseline"/>
              </w:rPr>
            </w:pPr>
          </w:p>
        </w:tc>
        <w:tc>
          <w:tcPr>
            <w:tcW w:w="962" w:type="dxa"/>
            <w:vAlign w:val="center"/>
          </w:tcPr>
          <w:p>
            <w:pPr>
              <w:numPr>
                <w:ilvl w:val="0"/>
                <w:numId w:val="0"/>
              </w:num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04" w:type="dxa"/>
            <w:vAlign w:val="center"/>
          </w:tcPr>
          <w:p>
            <w:pPr>
              <w:numPr>
                <w:ilvl w:val="0"/>
                <w:numId w:val="0"/>
              </w:numPr>
              <w:jc w:val="center"/>
              <w:rPr>
                <w:rFonts w:hint="eastAsia"/>
                <w:vertAlign w:val="baseline"/>
              </w:rPr>
            </w:pPr>
          </w:p>
        </w:tc>
        <w:tc>
          <w:tcPr>
            <w:tcW w:w="2023" w:type="dxa"/>
            <w:vAlign w:val="center"/>
          </w:tcPr>
          <w:p>
            <w:pPr>
              <w:numPr>
                <w:ilvl w:val="0"/>
                <w:numId w:val="0"/>
              </w:numPr>
              <w:jc w:val="center"/>
              <w:rPr>
                <w:rFonts w:hint="eastAsia"/>
                <w:vertAlign w:val="baseline"/>
              </w:rPr>
            </w:pPr>
          </w:p>
        </w:tc>
        <w:tc>
          <w:tcPr>
            <w:tcW w:w="966" w:type="dxa"/>
            <w:vAlign w:val="center"/>
          </w:tcPr>
          <w:p>
            <w:pPr>
              <w:numPr>
                <w:ilvl w:val="0"/>
                <w:numId w:val="0"/>
              </w:numPr>
              <w:jc w:val="center"/>
              <w:rPr>
                <w:rFonts w:hint="eastAsia"/>
                <w:vertAlign w:val="baseline"/>
              </w:rPr>
            </w:pPr>
          </w:p>
        </w:tc>
        <w:tc>
          <w:tcPr>
            <w:tcW w:w="1191" w:type="dxa"/>
            <w:vAlign w:val="center"/>
          </w:tcPr>
          <w:p>
            <w:pPr>
              <w:numPr>
                <w:ilvl w:val="0"/>
                <w:numId w:val="0"/>
              </w:numPr>
              <w:jc w:val="center"/>
              <w:rPr>
                <w:rFonts w:hint="eastAsia"/>
                <w:vertAlign w:val="baseline"/>
              </w:rPr>
            </w:pPr>
          </w:p>
        </w:tc>
        <w:tc>
          <w:tcPr>
            <w:tcW w:w="1360" w:type="dxa"/>
            <w:vAlign w:val="center"/>
          </w:tcPr>
          <w:p>
            <w:pPr>
              <w:numPr>
                <w:ilvl w:val="0"/>
                <w:numId w:val="0"/>
              </w:numPr>
              <w:jc w:val="center"/>
              <w:rPr>
                <w:rFonts w:hint="eastAsia"/>
                <w:vertAlign w:val="baseline"/>
              </w:rPr>
            </w:pPr>
          </w:p>
        </w:tc>
        <w:tc>
          <w:tcPr>
            <w:tcW w:w="1609" w:type="dxa"/>
            <w:vAlign w:val="center"/>
          </w:tcPr>
          <w:p>
            <w:pPr>
              <w:numPr>
                <w:ilvl w:val="0"/>
                <w:numId w:val="0"/>
              </w:numPr>
              <w:jc w:val="center"/>
              <w:rPr>
                <w:rFonts w:hint="eastAsia"/>
                <w:vertAlign w:val="baseline"/>
              </w:rPr>
            </w:pPr>
          </w:p>
        </w:tc>
        <w:tc>
          <w:tcPr>
            <w:tcW w:w="962" w:type="dxa"/>
            <w:vAlign w:val="center"/>
          </w:tcPr>
          <w:p>
            <w:pPr>
              <w:numPr>
                <w:ilvl w:val="0"/>
                <w:numId w:val="0"/>
              </w:num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04" w:type="dxa"/>
            <w:vAlign w:val="center"/>
          </w:tcPr>
          <w:p>
            <w:pPr>
              <w:numPr>
                <w:ilvl w:val="0"/>
                <w:numId w:val="0"/>
              </w:numPr>
              <w:jc w:val="center"/>
              <w:rPr>
                <w:rFonts w:hint="eastAsia"/>
                <w:vertAlign w:val="baseline"/>
              </w:rPr>
            </w:pPr>
          </w:p>
        </w:tc>
        <w:tc>
          <w:tcPr>
            <w:tcW w:w="2023" w:type="dxa"/>
            <w:vAlign w:val="center"/>
          </w:tcPr>
          <w:p>
            <w:pPr>
              <w:numPr>
                <w:ilvl w:val="0"/>
                <w:numId w:val="0"/>
              </w:numPr>
              <w:jc w:val="center"/>
              <w:rPr>
                <w:rFonts w:hint="eastAsia"/>
                <w:vertAlign w:val="baseline"/>
              </w:rPr>
            </w:pPr>
          </w:p>
        </w:tc>
        <w:tc>
          <w:tcPr>
            <w:tcW w:w="966" w:type="dxa"/>
            <w:vAlign w:val="center"/>
          </w:tcPr>
          <w:p>
            <w:pPr>
              <w:numPr>
                <w:ilvl w:val="0"/>
                <w:numId w:val="0"/>
              </w:numPr>
              <w:jc w:val="center"/>
              <w:rPr>
                <w:rFonts w:hint="eastAsia"/>
                <w:vertAlign w:val="baseline"/>
              </w:rPr>
            </w:pPr>
          </w:p>
        </w:tc>
        <w:tc>
          <w:tcPr>
            <w:tcW w:w="1191" w:type="dxa"/>
            <w:vAlign w:val="center"/>
          </w:tcPr>
          <w:p>
            <w:pPr>
              <w:numPr>
                <w:ilvl w:val="0"/>
                <w:numId w:val="0"/>
              </w:numPr>
              <w:jc w:val="center"/>
              <w:rPr>
                <w:rFonts w:hint="eastAsia"/>
                <w:vertAlign w:val="baseline"/>
              </w:rPr>
            </w:pPr>
          </w:p>
        </w:tc>
        <w:tc>
          <w:tcPr>
            <w:tcW w:w="1360" w:type="dxa"/>
            <w:vAlign w:val="center"/>
          </w:tcPr>
          <w:p>
            <w:pPr>
              <w:numPr>
                <w:ilvl w:val="0"/>
                <w:numId w:val="0"/>
              </w:numPr>
              <w:jc w:val="center"/>
              <w:rPr>
                <w:rFonts w:hint="eastAsia"/>
                <w:vertAlign w:val="baseline"/>
              </w:rPr>
            </w:pPr>
          </w:p>
        </w:tc>
        <w:tc>
          <w:tcPr>
            <w:tcW w:w="1609" w:type="dxa"/>
            <w:vAlign w:val="center"/>
          </w:tcPr>
          <w:p>
            <w:pPr>
              <w:numPr>
                <w:ilvl w:val="0"/>
                <w:numId w:val="0"/>
              </w:numPr>
              <w:jc w:val="center"/>
              <w:rPr>
                <w:rFonts w:hint="eastAsia"/>
                <w:vertAlign w:val="baseline"/>
              </w:rPr>
            </w:pPr>
          </w:p>
        </w:tc>
        <w:tc>
          <w:tcPr>
            <w:tcW w:w="962" w:type="dxa"/>
            <w:vAlign w:val="center"/>
          </w:tcPr>
          <w:p>
            <w:pPr>
              <w:numPr>
                <w:ilvl w:val="0"/>
                <w:numId w:val="0"/>
              </w:num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04" w:type="dxa"/>
            <w:vAlign w:val="center"/>
          </w:tcPr>
          <w:p>
            <w:pPr>
              <w:numPr>
                <w:ilvl w:val="0"/>
                <w:numId w:val="0"/>
              </w:numPr>
              <w:jc w:val="center"/>
              <w:rPr>
                <w:rFonts w:hint="eastAsia"/>
                <w:vertAlign w:val="baseline"/>
              </w:rPr>
            </w:pPr>
          </w:p>
        </w:tc>
        <w:tc>
          <w:tcPr>
            <w:tcW w:w="2023" w:type="dxa"/>
            <w:vAlign w:val="center"/>
          </w:tcPr>
          <w:p>
            <w:pPr>
              <w:numPr>
                <w:ilvl w:val="0"/>
                <w:numId w:val="0"/>
              </w:numPr>
              <w:jc w:val="center"/>
              <w:rPr>
                <w:rFonts w:hint="eastAsia"/>
                <w:vertAlign w:val="baseline"/>
              </w:rPr>
            </w:pPr>
          </w:p>
        </w:tc>
        <w:tc>
          <w:tcPr>
            <w:tcW w:w="966" w:type="dxa"/>
            <w:vAlign w:val="center"/>
          </w:tcPr>
          <w:p>
            <w:pPr>
              <w:numPr>
                <w:ilvl w:val="0"/>
                <w:numId w:val="0"/>
              </w:numPr>
              <w:jc w:val="center"/>
              <w:rPr>
                <w:rFonts w:hint="eastAsia"/>
                <w:vertAlign w:val="baseline"/>
              </w:rPr>
            </w:pPr>
          </w:p>
        </w:tc>
        <w:tc>
          <w:tcPr>
            <w:tcW w:w="1191" w:type="dxa"/>
            <w:vAlign w:val="center"/>
          </w:tcPr>
          <w:p>
            <w:pPr>
              <w:numPr>
                <w:ilvl w:val="0"/>
                <w:numId w:val="0"/>
              </w:numPr>
              <w:jc w:val="center"/>
              <w:rPr>
                <w:rFonts w:hint="eastAsia"/>
                <w:vertAlign w:val="baseline"/>
              </w:rPr>
            </w:pPr>
          </w:p>
        </w:tc>
        <w:tc>
          <w:tcPr>
            <w:tcW w:w="1360" w:type="dxa"/>
            <w:vAlign w:val="center"/>
          </w:tcPr>
          <w:p>
            <w:pPr>
              <w:numPr>
                <w:ilvl w:val="0"/>
                <w:numId w:val="0"/>
              </w:numPr>
              <w:jc w:val="center"/>
              <w:rPr>
                <w:rFonts w:hint="eastAsia"/>
                <w:vertAlign w:val="baseline"/>
              </w:rPr>
            </w:pPr>
          </w:p>
        </w:tc>
        <w:tc>
          <w:tcPr>
            <w:tcW w:w="1609" w:type="dxa"/>
            <w:vAlign w:val="center"/>
          </w:tcPr>
          <w:p>
            <w:pPr>
              <w:numPr>
                <w:ilvl w:val="0"/>
                <w:numId w:val="0"/>
              </w:numPr>
              <w:jc w:val="center"/>
              <w:rPr>
                <w:rFonts w:hint="eastAsia"/>
                <w:vertAlign w:val="baseline"/>
              </w:rPr>
            </w:pPr>
          </w:p>
        </w:tc>
        <w:tc>
          <w:tcPr>
            <w:tcW w:w="962" w:type="dxa"/>
            <w:vAlign w:val="center"/>
          </w:tcPr>
          <w:p>
            <w:pPr>
              <w:numPr>
                <w:ilvl w:val="0"/>
                <w:numId w:val="0"/>
              </w:num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04" w:type="dxa"/>
            <w:vAlign w:val="center"/>
          </w:tcPr>
          <w:p>
            <w:pPr>
              <w:numPr>
                <w:ilvl w:val="0"/>
                <w:numId w:val="0"/>
              </w:numPr>
              <w:jc w:val="center"/>
              <w:rPr>
                <w:rFonts w:hint="eastAsia"/>
                <w:vertAlign w:val="baseline"/>
              </w:rPr>
            </w:pPr>
          </w:p>
        </w:tc>
        <w:tc>
          <w:tcPr>
            <w:tcW w:w="2023" w:type="dxa"/>
            <w:vAlign w:val="center"/>
          </w:tcPr>
          <w:p>
            <w:pPr>
              <w:numPr>
                <w:ilvl w:val="0"/>
                <w:numId w:val="0"/>
              </w:numPr>
              <w:jc w:val="center"/>
              <w:rPr>
                <w:rFonts w:hint="eastAsia"/>
                <w:vertAlign w:val="baseline"/>
              </w:rPr>
            </w:pPr>
          </w:p>
        </w:tc>
        <w:tc>
          <w:tcPr>
            <w:tcW w:w="966" w:type="dxa"/>
            <w:vAlign w:val="center"/>
          </w:tcPr>
          <w:p>
            <w:pPr>
              <w:numPr>
                <w:ilvl w:val="0"/>
                <w:numId w:val="0"/>
              </w:numPr>
              <w:jc w:val="center"/>
              <w:rPr>
                <w:rFonts w:hint="eastAsia"/>
                <w:vertAlign w:val="baseline"/>
              </w:rPr>
            </w:pPr>
          </w:p>
        </w:tc>
        <w:tc>
          <w:tcPr>
            <w:tcW w:w="1191" w:type="dxa"/>
            <w:vAlign w:val="center"/>
          </w:tcPr>
          <w:p>
            <w:pPr>
              <w:numPr>
                <w:ilvl w:val="0"/>
                <w:numId w:val="0"/>
              </w:numPr>
              <w:jc w:val="center"/>
              <w:rPr>
                <w:rFonts w:hint="eastAsia"/>
                <w:vertAlign w:val="baseline"/>
              </w:rPr>
            </w:pPr>
          </w:p>
        </w:tc>
        <w:tc>
          <w:tcPr>
            <w:tcW w:w="1360" w:type="dxa"/>
            <w:vAlign w:val="center"/>
          </w:tcPr>
          <w:p>
            <w:pPr>
              <w:numPr>
                <w:ilvl w:val="0"/>
                <w:numId w:val="0"/>
              </w:numPr>
              <w:jc w:val="center"/>
              <w:rPr>
                <w:rFonts w:hint="eastAsia"/>
                <w:vertAlign w:val="baseline"/>
              </w:rPr>
            </w:pPr>
          </w:p>
        </w:tc>
        <w:tc>
          <w:tcPr>
            <w:tcW w:w="1609" w:type="dxa"/>
            <w:vAlign w:val="center"/>
          </w:tcPr>
          <w:p>
            <w:pPr>
              <w:numPr>
                <w:ilvl w:val="0"/>
                <w:numId w:val="0"/>
              </w:numPr>
              <w:jc w:val="center"/>
              <w:rPr>
                <w:rFonts w:hint="eastAsia"/>
                <w:vertAlign w:val="baseline"/>
              </w:rPr>
            </w:pPr>
          </w:p>
        </w:tc>
        <w:tc>
          <w:tcPr>
            <w:tcW w:w="962" w:type="dxa"/>
            <w:vAlign w:val="center"/>
          </w:tcPr>
          <w:p>
            <w:pPr>
              <w:numPr>
                <w:ilvl w:val="0"/>
                <w:numId w:val="0"/>
              </w:num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04" w:type="dxa"/>
            <w:vAlign w:val="center"/>
          </w:tcPr>
          <w:p>
            <w:pPr>
              <w:numPr>
                <w:ilvl w:val="0"/>
                <w:numId w:val="0"/>
              </w:numPr>
              <w:jc w:val="center"/>
              <w:rPr>
                <w:rFonts w:hint="eastAsia"/>
                <w:vertAlign w:val="baseline"/>
              </w:rPr>
            </w:pPr>
          </w:p>
        </w:tc>
        <w:tc>
          <w:tcPr>
            <w:tcW w:w="2023" w:type="dxa"/>
            <w:vAlign w:val="center"/>
          </w:tcPr>
          <w:p>
            <w:pPr>
              <w:numPr>
                <w:ilvl w:val="0"/>
                <w:numId w:val="0"/>
              </w:numPr>
              <w:jc w:val="center"/>
              <w:rPr>
                <w:rFonts w:hint="eastAsia"/>
                <w:vertAlign w:val="baseline"/>
              </w:rPr>
            </w:pPr>
          </w:p>
        </w:tc>
        <w:tc>
          <w:tcPr>
            <w:tcW w:w="966" w:type="dxa"/>
            <w:vAlign w:val="center"/>
          </w:tcPr>
          <w:p>
            <w:pPr>
              <w:numPr>
                <w:ilvl w:val="0"/>
                <w:numId w:val="0"/>
              </w:numPr>
              <w:jc w:val="center"/>
              <w:rPr>
                <w:rFonts w:hint="eastAsia"/>
                <w:vertAlign w:val="baseline"/>
              </w:rPr>
            </w:pPr>
          </w:p>
        </w:tc>
        <w:tc>
          <w:tcPr>
            <w:tcW w:w="1191" w:type="dxa"/>
            <w:vAlign w:val="center"/>
          </w:tcPr>
          <w:p>
            <w:pPr>
              <w:numPr>
                <w:ilvl w:val="0"/>
                <w:numId w:val="0"/>
              </w:numPr>
              <w:jc w:val="center"/>
              <w:rPr>
                <w:rFonts w:hint="eastAsia"/>
                <w:vertAlign w:val="baseline"/>
              </w:rPr>
            </w:pPr>
          </w:p>
        </w:tc>
        <w:tc>
          <w:tcPr>
            <w:tcW w:w="1360" w:type="dxa"/>
            <w:vAlign w:val="center"/>
          </w:tcPr>
          <w:p>
            <w:pPr>
              <w:numPr>
                <w:ilvl w:val="0"/>
                <w:numId w:val="0"/>
              </w:numPr>
              <w:jc w:val="center"/>
              <w:rPr>
                <w:rFonts w:hint="eastAsia"/>
                <w:vertAlign w:val="baseline"/>
              </w:rPr>
            </w:pPr>
          </w:p>
        </w:tc>
        <w:tc>
          <w:tcPr>
            <w:tcW w:w="1609" w:type="dxa"/>
            <w:vAlign w:val="center"/>
          </w:tcPr>
          <w:p>
            <w:pPr>
              <w:numPr>
                <w:ilvl w:val="0"/>
                <w:numId w:val="0"/>
              </w:numPr>
              <w:jc w:val="center"/>
              <w:rPr>
                <w:rFonts w:hint="eastAsia"/>
                <w:vertAlign w:val="baseline"/>
              </w:rPr>
            </w:pPr>
          </w:p>
        </w:tc>
        <w:tc>
          <w:tcPr>
            <w:tcW w:w="962" w:type="dxa"/>
            <w:vAlign w:val="center"/>
          </w:tcPr>
          <w:p>
            <w:pPr>
              <w:numPr>
                <w:ilvl w:val="0"/>
                <w:numId w:val="0"/>
              </w:numPr>
              <w:jc w:val="center"/>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915" w:type="dxa"/>
            <w:gridSpan w:val="7"/>
            <w:vAlign w:val="center"/>
          </w:tcPr>
          <w:p>
            <w:pPr>
              <w:numPr>
                <w:ilvl w:val="0"/>
                <w:numId w:val="0"/>
              </w:numPr>
              <w:tabs>
                <w:tab w:val="left" w:pos="2116"/>
                <w:tab w:val="center" w:pos="4213"/>
              </w:tabs>
              <w:jc w:val="both"/>
              <w:rPr>
                <w:rFonts w:hint="default" w:eastAsiaTheme="minorEastAsia"/>
                <w:vertAlign w:val="baseline"/>
                <w:lang w:val="en-US" w:eastAsia="zh-CN"/>
              </w:rPr>
            </w:pPr>
            <w:r>
              <w:rPr>
                <w:rFonts w:hint="eastAsia"/>
                <w:vertAlign w:val="baseline"/>
                <w:lang w:val="en-US" w:eastAsia="zh-CN"/>
              </w:rPr>
              <w:t>合计（元）：大写：</w:t>
            </w:r>
            <w:r>
              <w:rPr>
                <w:rFonts w:hint="eastAsia"/>
                <w:u w:val="single"/>
                <w:vertAlign w:val="baseline"/>
                <w:lang w:val="en-US" w:eastAsia="zh-CN"/>
              </w:rPr>
              <w:t xml:space="preserve">                       </w:t>
            </w:r>
            <w:r>
              <w:rPr>
                <w:rFonts w:hint="eastAsia"/>
                <w:u w:val="none"/>
                <w:vertAlign w:val="baseline"/>
                <w:lang w:val="en-US" w:eastAsia="zh-CN"/>
              </w:rPr>
              <w:t>小写 ：</w:t>
            </w:r>
            <w:r>
              <w:rPr>
                <w:rFonts w:hint="eastAsia"/>
                <w:u w:val="single"/>
                <w:vertAlign w:val="baseline"/>
                <w:lang w:val="en-US" w:eastAsia="zh-CN"/>
              </w:rPr>
              <w:t xml:space="preserve">                         </w:t>
            </w:r>
            <w:r>
              <w:rPr>
                <w:rFonts w:hint="eastAsia"/>
                <w:u w:val="none"/>
                <w:vertAlign w:val="baseline"/>
                <w:lang w:val="en-US" w:eastAsia="zh-CN"/>
              </w:rPr>
              <w:t xml:space="preserve"> </w:t>
            </w:r>
            <w:r>
              <w:rPr>
                <w:rFonts w:hint="eastAsia"/>
                <w:u w:val="single"/>
                <w:vertAlign w:val="baseline"/>
                <w:lang w:val="en-US" w:eastAsia="zh-CN"/>
              </w:rPr>
              <w:t xml:space="preserve">          </w:t>
            </w:r>
          </w:p>
        </w:tc>
      </w:tr>
    </w:tbl>
    <w:p>
      <w:pPr>
        <w:numPr>
          <w:ilvl w:val="0"/>
          <w:numId w:val="0"/>
        </w:numPr>
        <w:rPr>
          <w:rFonts w:hint="eastAsia"/>
        </w:rPr>
      </w:pPr>
    </w:p>
    <w:p>
      <w:pPr>
        <w:pStyle w:val="25"/>
        <w:rPr>
          <w:rFonts w:hint="eastAsia"/>
          <w:b/>
          <w:bCs/>
        </w:rPr>
      </w:pPr>
      <w:r>
        <w:rPr>
          <w:rFonts w:hint="eastAsia"/>
          <w:b/>
          <w:bCs/>
        </w:rPr>
        <w:t>(注:各投标供应商根据招标文件中采购要求的内容进行报价，格式可自拟)</w:t>
      </w:r>
    </w:p>
    <w:p>
      <w:pPr>
        <w:rPr>
          <w:rFonts w:hint="eastAsia"/>
          <w:b/>
          <w:bCs/>
        </w:rPr>
      </w:pPr>
    </w:p>
    <w:p>
      <w:pPr>
        <w:pStyle w:val="25"/>
        <w:rPr>
          <w:rFonts w:hint="eastAsia"/>
          <w:b/>
          <w:bCs/>
        </w:rPr>
      </w:pPr>
    </w:p>
    <w:p>
      <w:pPr>
        <w:pStyle w:val="25"/>
        <w:ind w:left="0" w:leftChars="0" w:firstLine="0" w:firstLineChars="0"/>
        <w:rPr>
          <w:rFonts w:hint="eastAsia"/>
          <w:b/>
          <w:bCs/>
        </w:rPr>
      </w:pPr>
    </w:p>
    <w:p>
      <w:pPr>
        <w:pStyle w:val="11"/>
        <w:pageBreakBefore w:val="0"/>
        <w:kinsoku/>
        <w:wordWrap/>
        <w:overflowPunct/>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rPr>
        <w:t>供应商名称(公章)：______________</w:t>
      </w:r>
    </w:p>
    <w:p>
      <w:pPr>
        <w:pStyle w:val="11"/>
        <w:pageBreakBefore w:val="0"/>
        <w:kinsoku/>
        <w:wordWrap/>
        <w:overflowPunct/>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rPr>
        <w:t>法定代表人（非法人组织的负责人）或其授权代表(签章)：_______</w:t>
      </w:r>
    </w:p>
    <w:p>
      <w:pPr>
        <w:pStyle w:val="11"/>
        <w:pageBreakBefore w:val="0"/>
        <w:kinsoku/>
        <w:wordWrap/>
        <w:overflowPunct/>
        <w:topLinePunct w:val="0"/>
        <w:autoSpaceDE w:val="0"/>
        <w:bidi w:val="0"/>
        <w:spacing w:line="560" w:lineRule="exact"/>
        <w:textAlignment w:val="auto"/>
        <w:rPr>
          <w:rFonts w:hint="eastAsia" w:hAnsi="宋体"/>
          <w:color w:val="auto"/>
          <w:sz w:val="24"/>
          <w:szCs w:val="24"/>
          <w:highlight w:val="none"/>
        </w:rPr>
      </w:pPr>
      <w:r>
        <w:rPr>
          <w:rFonts w:hint="eastAsia" w:hAnsi="宋体"/>
          <w:color w:val="auto"/>
          <w:sz w:val="24"/>
          <w:szCs w:val="24"/>
          <w:highlight w:val="none"/>
        </w:rPr>
        <w:t xml:space="preserve">日期：______年____月____日 </w:t>
      </w:r>
    </w:p>
    <w:p>
      <w:pPr>
        <w:pStyle w:val="11"/>
        <w:pageBreakBefore w:val="0"/>
        <w:kinsoku/>
        <w:wordWrap/>
        <w:overflowPunct/>
        <w:topLinePunct w:val="0"/>
        <w:autoSpaceDE w:val="0"/>
        <w:bidi w:val="0"/>
        <w:spacing w:line="560" w:lineRule="exact"/>
        <w:textAlignment w:val="auto"/>
        <w:rPr>
          <w:rFonts w:hint="eastAsia" w:hAnsi="宋体"/>
          <w:color w:val="auto"/>
          <w:sz w:val="24"/>
          <w:szCs w:val="24"/>
          <w:highlight w:val="none"/>
        </w:rPr>
      </w:pPr>
    </w:p>
    <w:p>
      <w:pPr>
        <w:pStyle w:val="11"/>
        <w:pageBreakBefore w:val="0"/>
        <w:kinsoku/>
        <w:wordWrap/>
        <w:overflowPunct/>
        <w:topLinePunct w:val="0"/>
        <w:autoSpaceDE w:val="0"/>
        <w:bidi w:val="0"/>
        <w:spacing w:line="560" w:lineRule="exact"/>
        <w:textAlignment w:val="auto"/>
        <w:rPr>
          <w:rFonts w:hint="eastAsia" w:hAnsi="宋体"/>
          <w:color w:val="auto"/>
          <w:sz w:val="24"/>
          <w:szCs w:val="24"/>
          <w:highlight w:val="none"/>
        </w:rPr>
      </w:pPr>
    </w:p>
    <w:p>
      <w:pPr>
        <w:pStyle w:val="5"/>
        <w:pageBreakBefore w:val="0"/>
        <w:kinsoku/>
        <w:wordWrap/>
        <w:overflowPunct/>
        <w:topLinePunct w:val="0"/>
        <w:bidi w:val="0"/>
        <w:spacing w:line="560" w:lineRule="exact"/>
        <w:jc w:val="center"/>
        <w:textAlignment w:val="auto"/>
        <w:outlineLvl w:val="1"/>
        <w:rPr>
          <w:rFonts w:ascii="宋体" w:hAnsi="宋体"/>
          <w:color w:val="auto"/>
          <w:highlight w:val="none"/>
        </w:rPr>
      </w:pPr>
      <w:bookmarkStart w:id="188" w:name="_Toc22455"/>
      <w:r>
        <w:rPr>
          <w:rFonts w:hint="eastAsia" w:ascii="宋体" w:hAnsi="宋体"/>
          <w:color w:val="auto"/>
          <w:highlight w:val="none"/>
          <w:lang w:eastAsia="zh-CN"/>
        </w:rPr>
        <w:t>三</w:t>
      </w:r>
      <w:r>
        <w:rPr>
          <w:rFonts w:hint="eastAsia" w:ascii="宋体" w:hAnsi="宋体"/>
          <w:color w:val="auto"/>
          <w:highlight w:val="none"/>
        </w:rPr>
        <w:t>、资格证明文件</w:t>
      </w:r>
      <w:bookmarkEnd w:id="184"/>
      <w:bookmarkEnd w:id="185"/>
      <w:bookmarkEnd w:id="188"/>
    </w:p>
    <w:p>
      <w:pPr>
        <w:pageBreakBefore w:val="0"/>
        <w:widowControl w:val="0"/>
        <w:kinsoku/>
        <w:wordWrap/>
        <w:overflowPunct/>
        <w:topLinePunct w:val="0"/>
        <w:bidi w:val="0"/>
        <w:spacing w:line="5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a、</w:t>
      </w:r>
      <w:r>
        <w:rPr>
          <w:rFonts w:hint="eastAsia" w:ascii="宋体"/>
          <w:color w:val="auto"/>
          <w:sz w:val="24"/>
          <w:szCs w:val="24"/>
          <w:highlight w:val="none"/>
          <w:lang w:val="zh-CN"/>
        </w:rPr>
        <w:t>具有统一社会信用代码的《营业执照》或其他组织有效证件</w:t>
      </w:r>
      <w:r>
        <w:rPr>
          <w:rFonts w:hint="eastAsia" w:ascii="宋体" w:hAnsi="宋体" w:cs="宋体"/>
          <w:sz w:val="24"/>
          <w:highlight w:val="none"/>
        </w:rPr>
        <w:t>原件</w:t>
      </w:r>
      <w:r>
        <w:rPr>
          <w:rFonts w:hint="eastAsia" w:ascii="宋体" w:hAnsi="宋体" w:cs="宋体"/>
          <w:sz w:val="24"/>
          <w:highlight w:val="none"/>
          <w:lang w:eastAsia="zh-CN"/>
        </w:rPr>
        <w:t>扫描件；</w:t>
      </w:r>
    </w:p>
    <w:p>
      <w:pPr>
        <w:pageBreakBefore w:val="0"/>
        <w:widowControl w:val="0"/>
        <w:kinsoku/>
        <w:wordWrap/>
        <w:overflowPunct/>
        <w:topLinePunct w:val="0"/>
        <w:bidi w:val="0"/>
        <w:spacing w:line="5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lang w:eastAsia="zh-CN"/>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p>
    <w:p>
      <w:pPr>
        <w:pageBreakBefore w:val="0"/>
        <w:tabs>
          <w:tab w:val="left" w:pos="5580"/>
        </w:tabs>
        <w:kinsoku/>
        <w:wordWrap/>
        <w:overflowPunct/>
        <w:topLinePunct w:val="0"/>
        <w:bidi w:val="0"/>
        <w:spacing w:line="560" w:lineRule="exact"/>
        <w:ind w:left="1080" w:leftChars="257" w:hanging="540"/>
        <w:jc w:val="center"/>
        <w:textAlignment w:val="auto"/>
        <w:rPr>
          <w:rFonts w:hint="eastAsia" w:ascii="宋体" w:hAnsi="宋体"/>
          <w:color w:val="auto"/>
          <w:sz w:val="24"/>
          <w:szCs w:val="20"/>
          <w:highlight w:val="none"/>
        </w:rPr>
      </w:pPr>
    </w:p>
    <w:p>
      <w:pPr>
        <w:pStyle w:val="25"/>
        <w:rPr>
          <w:rFonts w:hint="eastAsia"/>
        </w:rPr>
      </w:pPr>
    </w:p>
    <w:p>
      <w:pPr>
        <w:pageBreakBefore w:val="0"/>
        <w:tabs>
          <w:tab w:val="left" w:pos="5580"/>
        </w:tabs>
        <w:kinsoku/>
        <w:wordWrap/>
        <w:overflowPunct/>
        <w:topLinePunct w:val="0"/>
        <w:bidi w:val="0"/>
        <w:spacing w:line="560" w:lineRule="exact"/>
        <w:ind w:left="1080" w:leftChars="257" w:hanging="540"/>
        <w:jc w:val="center"/>
        <w:textAlignment w:val="auto"/>
        <w:rPr>
          <w:rFonts w:hint="eastAsia" w:ascii="宋体" w:hAnsi="宋体"/>
          <w:color w:val="auto"/>
          <w:sz w:val="24"/>
          <w:szCs w:val="20"/>
          <w:highlight w:val="none"/>
        </w:rPr>
      </w:pPr>
    </w:p>
    <w:p>
      <w:pPr>
        <w:pStyle w:val="25"/>
        <w:rPr>
          <w:rFonts w:hint="eastAsia" w:ascii="宋体" w:hAnsi="宋体"/>
          <w:color w:val="auto"/>
          <w:sz w:val="24"/>
          <w:szCs w:val="20"/>
          <w:highlight w:val="none"/>
        </w:rPr>
      </w:pPr>
    </w:p>
    <w:p>
      <w:pPr>
        <w:rPr>
          <w:rFonts w:hint="eastAsia"/>
        </w:rPr>
      </w:pPr>
    </w:p>
    <w:p>
      <w:pPr>
        <w:pStyle w:val="25"/>
        <w:rPr>
          <w:rFonts w:hint="eastAsia"/>
        </w:rPr>
      </w:pPr>
    </w:p>
    <w:p>
      <w:pPr>
        <w:rPr>
          <w:rFonts w:hint="eastAsia"/>
        </w:rPr>
      </w:pPr>
    </w:p>
    <w:p>
      <w:pPr>
        <w:pStyle w:val="25"/>
        <w:rPr>
          <w:rFonts w:hint="eastAsia"/>
        </w:rPr>
      </w:pPr>
    </w:p>
    <w:p>
      <w:pPr>
        <w:rPr>
          <w:rFonts w:hint="eastAsia"/>
        </w:rPr>
      </w:pPr>
    </w:p>
    <w:p>
      <w:pPr>
        <w:pStyle w:val="6"/>
        <w:rPr>
          <w:rFonts w:hint="eastAsia"/>
        </w:rPr>
      </w:pPr>
    </w:p>
    <w:p>
      <w:pPr>
        <w:rPr>
          <w:rFonts w:hint="eastAsia"/>
        </w:rPr>
      </w:pPr>
    </w:p>
    <w:p>
      <w:pPr>
        <w:pStyle w:val="6"/>
        <w:rPr>
          <w:rFonts w:hint="eastAsia"/>
        </w:rPr>
      </w:pPr>
    </w:p>
    <w:p>
      <w:pPr>
        <w:pStyle w:val="25"/>
        <w:rPr>
          <w:rFonts w:hint="eastAsia"/>
        </w:rPr>
      </w:pPr>
    </w:p>
    <w:p>
      <w:pPr>
        <w:rPr>
          <w:rFonts w:hint="eastAsia"/>
        </w:rPr>
      </w:pPr>
    </w:p>
    <w:p>
      <w:pPr>
        <w:pStyle w:val="25"/>
        <w:rPr>
          <w:rFonts w:hint="eastAsia"/>
        </w:rPr>
      </w:pPr>
    </w:p>
    <w:p>
      <w:pPr>
        <w:rPr>
          <w:rFonts w:hint="eastAsia"/>
        </w:rPr>
      </w:pPr>
    </w:p>
    <w:p>
      <w:pPr>
        <w:pStyle w:val="25"/>
        <w:rPr>
          <w:rFonts w:hint="eastAsia"/>
        </w:rPr>
      </w:pPr>
    </w:p>
    <w:p>
      <w:pPr>
        <w:pStyle w:val="6"/>
        <w:pageBreakBefore w:val="0"/>
        <w:numPr>
          <w:ilvl w:val="0"/>
          <w:numId w:val="0"/>
        </w:numPr>
        <w:kinsoku/>
        <w:wordWrap/>
        <w:overflowPunct/>
        <w:topLinePunct w:val="0"/>
        <w:bidi w:val="0"/>
        <w:spacing w:line="560" w:lineRule="exact"/>
        <w:textAlignment w:val="auto"/>
        <w:outlineLvl w:val="2"/>
        <w:rPr>
          <w:rFonts w:hint="eastAsia" w:hAnsi="宋体"/>
          <w:color w:val="auto"/>
          <w:highlight w:val="none"/>
          <w:u w:val="none"/>
          <w:lang w:val="en-US" w:eastAsia="zh-CN"/>
        </w:rPr>
      </w:pPr>
      <w:bookmarkStart w:id="189" w:name="_Toc6700"/>
      <w:bookmarkStart w:id="190" w:name="_Toc46235132"/>
      <w:bookmarkStart w:id="191" w:name="_Toc2583670"/>
      <w:bookmarkStart w:id="192" w:name="_Toc518923110"/>
    </w:p>
    <w:p>
      <w:pPr>
        <w:pStyle w:val="6"/>
        <w:pageBreakBefore w:val="0"/>
        <w:numPr>
          <w:ilvl w:val="0"/>
          <w:numId w:val="0"/>
        </w:numPr>
        <w:kinsoku/>
        <w:wordWrap/>
        <w:overflowPunct/>
        <w:topLinePunct w:val="0"/>
        <w:bidi w:val="0"/>
        <w:spacing w:line="560" w:lineRule="exact"/>
        <w:textAlignment w:val="auto"/>
        <w:outlineLvl w:val="2"/>
        <w:rPr>
          <w:rFonts w:hint="eastAsia" w:hAnsi="宋体"/>
          <w:color w:val="auto"/>
          <w:highlight w:val="none"/>
          <w:u w:val="none"/>
          <w:lang w:val="en-US" w:eastAsia="zh-CN"/>
        </w:rPr>
      </w:pPr>
    </w:p>
    <w:p>
      <w:pPr>
        <w:rPr>
          <w:rFonts w:hint="eastAsia" w:hAnsi="宋体"/>
          <w:color w:val="auto"/>
          <w:highlight w:val="none"/>
          <w:u w:val="none"/>
          <w:lang w:val="en-US" w:eastAsia="zh-CN"/>
        </w:rPr>
      </w:pPr>
    </w:p>
    <w:p>
      <w:pPr>
        <w:pStyle w:val="2"/>
        <w:rPr>
          <w:rFonts w:hint="eastAsia" w:hAnsi="宋体"/>
          <w:color w:val="auto"/>
          <w:highlight w:val="none"/>
          <w:u w:val="none"/>
          <w:lang w:val="en-US" w:eastAsia="zh-CN"/>
        </w:rPr>
      </w:pPr>
    </w:p>
    <w:p>
      <w:pPr>
        <w:rPr>
          <w:rFonts w:hint="eastAsia" w:hAnsi="宋体"/>
          <w:color w:val="auto"/>
          <w:highlight w:val="none"/>
          <w:u w:val="none"/>
          <w:lang w:val="en-US" w:eastAsia="zh-CN"/>
        </w:rPr>
      </w:pPr>
    </w:p>
    <w:p>
      <w:pPr>
        <w:pStyle w:val="2"/>
        <w:rPr>
          <w:rFonts w:hint="eastAsia" w:hAnsi="宋体"/>
          <w:color w:val="auto"/>
          <w:highlight w:val="none"/>
          <w:u w:val="none"/>
          <w:lang w:val="en-US" w:eastAsia="zh-CN"/>
        </w:rPr>
      </w:pPr>
    </w:p>
    <w:p>
      <w:pPr>
        <w:rPr>
          <w:rFonts w:hint="eastAsia" w:hAnsi="宋体"/>
          <w:color w:val="auto"/>
          <w:highlight w:val="none"/>
          <w:u w:val="none"/>
          <w:lang w:val="en-US" w:eastAsia="zh-CN"/>
        </w:rPr>
      </w:pPr>
    </w:p>
    <w:p>
      <w:pPr>
        <w:pStyle w:val="2"/>
        <w:rPr>
          <w:rFonts w:hint="eastAsia"/>
          <w:lang w:val="en-US" w:eastAsia="zh-CN"/>
        </w:rPr>
      </w:pPr>
    </w:p>
    <w:p>
      <w:pPr>
        <w:rPr>
          <w:rFonts w:hint="eastAsia" w:hAnsi="宋体"/>
          <w:color w:val="auto"/>
          <w:highlight w:val="none"/>
          <w:u w:val="none"/>
          <w:lang w:val="en-US" w:eastAsia="zh-CN"/>
        </w:rPr>
      </w:pPr>
    </w:p>
    <w:p>
      <w:pPr>
        <w:pStyle w:val="2"/>
        <w:rPr>
          <w:rFonts w:hint="eastAsia"/>
          <w:lang w:val="en-US" w:eastAsia="zh-CN"/>
        </w:rPr>
      </w:pPr>
    </w:p>
    <w:p>
      <w:pPr>
        <w:rPr>
          <w:rFonts w:hint="eastAsia" w:hAnsi="宋体"/>
          <w:color w:val="auto"/>
          <w:highlight w:val="none"/>
          <w:u w:val="none"/>
          <w:lang w:val="en-US" w:eastAsia="zh-CN"/>
        </w:rPr>
      </w:pPr>
    </w:p>
    <w:p>
      <w:pPr>
        <w:pageBreakBefore w:val="0"/>
        <w:numPr>
          <w:ilvl w:val="0"/>
          <w:numId w:val="0"/>
        </w:numPr>
        <w:kinsoku/>
        <w:wordWrap/>
        <w:overflowPunct/>
        <w:topLinePunct w:val="0"/>
        <w:bidi w:val="0"/>
        <w:spacing w:line="560" w:lineRule="exact"/>
        <w:textAlignment w:val="auto"/>
        <w:outlineLvl w:val="9"/>
        <w:rPr>
          <w:rFonts w:hint="eastAsia" w:ascii="宋体" w:hAnsi="宋体" w:eastAsia="宋体" w:cs="Times New Roman"/>
          <w:b/>
          <w:color w:val="auto"/>
          <w:kern w:val="0"/>
          <w:sz w:val="24"/>
          <w:szCs w:val="20"/>
          <w:highlight w:val="none"/>
          <w:u w:val="none"/>
          <w:lang w:val="en-US" w:eastAsia="zh-CN" w:bidi="ar-SA"/>
        </w:rPr>
      </w:pPr>
      <w:bookmarkStart w:id="193" w:name="_Toc1088"/>
      <w:r>
        <w:rPr>
          <w:rFonts w:hint="eastAsia" w:ascii="宋体" w:hAnsi="宋体" w:eastAsia="宋体" w:cs="Times New Roman"/>
          <w:b/>
          <w:color w:val="auto"/>
          <w:kern w:val="0"/>
          <w:sz w:val="24"/>
          <w:szCs w:val="20"/>
          <w:highlight w:val="none"/>
          <w:u w:val="none"/>
          <w:lang w:val="en-US" w:eastAsia="zh-CN" w:bidi="ar-SA"/>
        </w:rPr>
        <w:t>1.法定代表人身份证明书</w:t>
      </w:r>
      <w:bookmarkEnd w:id="189"/>
      <w:bookmarkEnd w:id="190"/>
      <w:bookmarkEnd w:id="191"/>
      <w:bookmarkEnd w:id="193"/>
    </w:p>
    <w:p>
      <w:pPr>
        <w:pStyle w:val="7"/>
        <w:pageBreakBefore w:val="0"/>
        <w:kinsoku/>
        <w:wordWrap/>
        <w:overflowPunct/>
        <w:topLinePunct w:val="0"/>
        <w:bidi w:val="0"/>
        <w:spacing w:line="560" w:lineRule="exact"/>
        <w:ind w:left="5250"/>
        <w:textAlignment w:val="auto"/>
        <w:rPr>
          <w:rFonts w:hint="eastAsia" w:hAnsi="宋体"/>
          <w:color w:val="auto"/>
          <w:highlight w:val="none"/>
        </w:rPr>
      </w:pPr>
    </w:p>
    <w:p>
      <w:pPr>
        <w:pStyle w:val="7"/>
        <w:pageBreakBefore w:val="0"/>
        <w:kinsoku/>
        <w:wordWrap/>
        <w:overflowPunct/>
        <w:topLinePunct w:val="0"/>
        <w:bidi w:val="0"/>
        <w:spacing w:line="560" w:lineRule="exact"/>
        <w:ind w:firstLine="0"/>
        <w:jc w:val="center"/>
        <w:textAlignment w:val="auto"/>
        <w:rPr>
          <w:rFonts w:hint="eastAsia"/>
          <w:b/>
          <w:color w:val="auto"/>
          <w:sz w:val="30"/>
          <w:szCs w:val="30"/>
          <w:highlight w:val="none"/>
        </w:rPr>
      </w:pPr>
      <w:r>
        <w:rPr>
          <w:rFonts w:hint="eastAsia"/>
          <w:b/>
          <w:color w:val="auto"/>
          <w:sz w:val="30"/>
          <w:szCs w:val="30"/>
          <w:highlight w:val="none"/>
        </w:rPr>
        <w:t>法定代表人身份证明书</w:t>
      </w:r>
    </w:p>
    <w:p>
      <w:pPr>
        <w:pageBreakBefore w:val="0"/>
        <w:tabs>
          <w:tab w:val="left" w:pos="5580"/>
        </w:tabs>
        <w:kinsoku/>
        <w:wordWrap/>
        <w:overflowPunct/>
        <w:topLinePunct w:val="0"/>
        <w:bidi w:val="0"/>
        <w:spacing w:line="560" w:lineRule="exact"/>
        <w:ind w:left="1100" w:leftChars="-29" w:hanging="1161"/>
        <w:textAlignment w:val="auto"/>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（采购人单位名称） </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（董事长、总经理等）</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（供应商名称）的法定代表人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s="宋体"/>
          <w:color w:val="auto"/>
          <w:sz w:val="24"/>
          <w:highlight w:val="none"/>
        </w:rPr>
        <w:t>。</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特此证明。</w:t>
      </w:r>
    </w:p>
    <w:p>
      <w:pPr>
        <w:pageBreakBefore w:val="0"/>
        <w:kinsoku/>
        <w:wordWrap/>
        <w:overflowPunct/>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附：法定代表人身份证扫描件</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noWrap w:val="0"/>
            <w:vAlign w:val="center"/>
          </w:tcPr>
          <w:p>
            <w:pPr>
              <w:pStyle w:val="17"/>
              <w:spacing w:line="560" w:lineRule="exact"/>
              <w:jc w:val="center"/>
              <w:rPr>
                <w:rFonts w:hint="eastAsia" w:ascii="宋体" w:hAnsi="宋体" w:eastAsia="宋体" w:cs="宋体"/>
                <w:b/>
                <w:sz w:val="24"/>
              </w:rPr>
            </w:pPr>
            <w:r>
              <w:rPr>
                <w:rFonts w:hint="eastAsia" w:cs="宋体"/>
                <w:b/>
                <w:sz w:val="24"/>
              </w:rPr>
              <w:t>法定代表人身份证</w:t>
            </w:r>
            <w:r>
              <w:rPr>
                <w:rFonts w:hint="eastAsia" w:ascii="宋体" w:hAnsi="宋体" w:eastAsia="宋体" w:cs="宋体"/>
                <w:b/>
                <w:sz w:val="24"/>
              </w:rPr>
              <w:t>原件</w:t>
            </w:r>
            <w:r>
              <w:rPr>
                <w:rFonts w:hint="eastAsia" w:ascii="宋体" w:hAnsi="宋体" w:eastAsia="宋体" w:cs="宋体"/>
                <w:b/>
                <w:sz w:val="24"/>
                <w:lang w:eastAsia="zh-CN"/>
              </w:rPr>
              <w:t>扫描件</w:t>
            </w:r>
          </w:p>
          <w:p>
            <w:pPr>
              <w:pStyle w:val="17"/>
              <w:pageBreakBefore w:val="0"/>
              <w:kinsoku/>
              <w:wordWrap/>
              <w:overflowPunct/>
              <w:topLinePunct w:val="0"/>
              <w:bidi w:val="0"/>
              <w:spacing w:line="560" w:lineRule="exact"/>
              <w:jc w:val="center"/>
              <w:textAlignment w:val="auto"/>
              <w:rPr>
                <w:rFonts w:hint="eastAsia" w:cs="宋体"/>
                <w:b/>
                <w:color w:val="auto"/>
                <w:sz w:val="24"/>
                <w:highlight w:val="none"/>
              </w:rPr>
            </w:pPr>
            <w:r>
              <w:rPr>
                <w:rFonts w:hint="eastAsia" w:cs="宋体"/>
                <w:b/>
                <w:color w:val="auto"/>
                <w:sz w:val="24"/>
                <w:highlight w:val="none"/>
              </w:rPr>
              <w:t>（正面、背面）</w:t>
            </w:r>
          </w:p>
        </w:tc>
      </w:tr>
    </w:tbl>
    <w:p>
      <w:pPr>
        <w:pageBreakBefore w:val="0"/>
        <w:kinsoku/>
        <w:wordWrap/>
        <w:overflowPunct/>
        <w:topLinePunct w:val="0"/>
        <w:bidi w:val="0"/>
        <w:spacing w:line="560" w:lineRule="exact"/>
        <w:ind w:firstLine="2880" w:firstLineChars="1200"/>
        <w:textAlignment w:val="auto"/>
        <w:rPr>
          <w:rFonts w:hint="eastAsia" w:ascii="宋体" w:hAnsi="宋体" w:cs="宋体"/>
          <w:color w:val="auto"/>
          <w:sz w:val="24"/>
          <w:highlight w:val="none"/>
        </w:rPr>
      </w:pPr>
      <w:r>
        <w:rPr>
          <w:rFonts w:hint="eastAsia" w:ascii="宋体" w:hAnsi="宋体" w:cs="宋体"/>
          <w:color w:val="auto"/>
          <w:sz w:val="24"/>
          <w:highlight w:val="none"/>
        </w:rPr>
        <w:t>供应商：</w:t>
      </w:r>
      <w:r>
        <w:rPr>
          <w:rFonts w:hint="eastAsia" w:ascii="宋体" w:hAnsi="宋体" w:cs="宋体"/>
          <w:color w:val="auto"/>
          <w:sz w:val="24"/>
          <w:highlight w:val="none"/>
          <w:u w:val="single"/>
        </w:rPr>
        <w:t xml:space="preserve">                  （公章） </w:t>
      </w:r>
    </w:p>
    <w:p>
      <w:pPr>
        <w:pageBreakBefore w:val="0"/>
        <w:kinsoku/>
        <w:wordWrap/>
        <w:overflowPunct/>
        <w:topLinePunct w:val="0"/>
        <w:bidi w:val="0"/>
        <w:spacing w:line="560" w:lineRule="exact"/>
        <w:ind w:firstLine="2880" w:firstLineChars="1200"/>
        <w:textAlignment w:val="auto"/>
        <w:rPr>
          <w:rFonts w:hint="eastAsia"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pageBreakBefore w:val="0"/>
        <w:kinsoku/>
        <w:wordWrap/>
        <w:overflowPunct/>
        <w:topLinePunct w:val="0"/>
        <w:bidi w:val="0"/>
        <w:spacing w:before="0" w:afterLines="50" w:line="560" w:lineRule="exact"/>
        <w:textAlignment w:val="auto"/>
        <w:outlineLvl w:val="9"/>
        <w:rPr>
          <w:rFonts w:hAnsi="宋体"/>
          <w:color w:val="auto"/>
          <w:highlight w:val="none"/>
          <w:u w:val="none"/>
        </w:rPr>
      </w:pPr>
      <w:bookmarkStart w:id="194" w:name="_Toc46235133"/>
      <w:r>
        <w:rPr>
          <w:rFonts w:hint="eastAsia" w:hAnsi="宋体"/>
          <w:color w:val="auto"/>
          <w:highlight w:val="none"/>
        </w:rPr>
        <w:br w:type="page"/>
      </w:r>
      <w:bookmarkStart w:id="195" w:name="_Toc25548"/>
      <w:bookmarkStart w:id="196" w:name="_Toc21132"/>
      <w:r>
        <w:rPr>
          <w:rFonts w:hint="eastAsia" w:hAnsi="宋体"/>
          <w:b/>
          <w:bCs/>
          <w:color w:val="auto"/>
          <w:sz w:val="24"/>
          <w:szCs w:val="24"/>
          <w:highlight w:val="none"/>
          <w:u w:val="none"/>
          <w:lang w:val="en-US" w:eastAsia="zh-CN"/>
        </w:rPr>
        <w:t>2.</w:t>
      </w:r>
      <w:r>
        <w:rPr>
          <w:rFonts w:hint="eastAsia" w:hAnsi="宋体"/>
          <w:b/>
          <w:bCs/>
          <w:color w:val="auto"/>
          <w:sz w:val="24"/>
          <w:szCs w:val="24"/>
          <w:highlight w:val="none"/>
          <w:u w:val="none"/>
        </w:rPr>
        <w:t>法定代表人授权书</w:t>
      </w:r>
      <w:bookmarkEnd w:id="192"/>
      <w:bookmarkEnd w:id="194"/>
      <w:bookmarkEnd w:id="195"/>
      <w:bookmarkEnd w:id="196"/>
    </w:p>
    <w:p>
      <w:pPr>
        <w:pStyle w:val="7"/>
        <w:pageBreakBefore w:val="0"/>
        <w:kinsoku/>
        <w:wordWrap/>
        <w:overflowPunct/>
        <w:topLinePunct w:val="0"/>
        <w:bidi w:val="0"/>
        <w:spacing w:line="560" w:lineRule="exact"/>
        <w:ind w:firstLine="0"/>
        <w:jc w:val="center"/>
        <w:textAlignment w:val="auto"/>
        <w:rPr>
          <w:rFonts w:hint="eastAsia" w:hAnsi="宋体" w:cs="宋体"/>
          <w:b/>
          <w:color w:val="auto"/>
          <w:sz w:val="30"/>
          <w:szCs w:val="30"/>
          <w:highlight w:val="none"/>
        </w:rPr>
      </w:pPr>
      <w:r>
        <w:rPr>
          <w:rFonts w:hint="eastAsia" w:hAnsi="宋体" w:cs="宋体"/>
          <w:b/>
          <w:color w:val="auto"/>
          <w:sz w:val="30"/>
          <w:szCs w:val="30"/>
          <w:highlight w:val="none"/>
        </w:rPr>
        <w:t>法定代表人授权书</w:t>
      </w:r>
    </w:p>
    <w:p>
      <w:pPr>
        <w:pStyle w:val="17"/>
        <w:pageBreakBefore w:val="0"/>
        <w:kinsoku/>
        <w:wordWrap/>
        <w:overflowPunct/>
        <w:topLinePunct w:val="0"/>
        <w:bidi w:val="0"/>
        <w:spacing w:line="560" w:lineRule="exact"/>
        <w:textAlignment w:val="auto"/>
        <w:rPr>
          <w:rFonts w:hint="eastAsia" w:cs="宋体"/>
          <w:i w:val="0"/>
          <w:iCs w:val="0"/>
          <w:color w:val="auto"/>
          <w:sz w:val="24"/>
          <w:highlight w:val="none"/>
        </w:rPr>
      </w:pPr>
      <w:r>
        <w:rPr>
          <w:rFonts w:hint="eastAsia" w:cs="宋体"/>
          <w:i w:val="0"/>
          <w:iCs w:val="0"/>
          <w:color w:val="auto"/>
          <w:sz w:val="24"/>
          <w:highlight w:val="none"/>
          <w:u w:val="single"/>
          <w:lang w:bidi="ar"/>
        </w:rPr>
        <w:t> （采购人单位名称） </w:t>
      </w:r>
      <w:r>
        <w:rPr>
          <w:rFonts w:hint="eastAsia" w:cs="宋体"/>
          <w:i w:val="0"/>
          <w:iCs w:val="0"/>
          <w:color w:val="auto"/>
          <w:sz w:val="24"/>
          <w:highlight w:val="none"/>
        </w:rPr>
        <w:t>：</w:t>
      </w:r>
    </w:p>
    <w:p>
      <w:pPr>
        <w:pageBreakBefore w:val="0"/>
        <w:tabs>
          <w:tab w:val="left" w:pos="5580"/>
        </w:tabs>
        <w:kinsoku/>
        <w:wordWrap/>
        <w:overflowPunct/>
        <w:topLinePunct w:val="0"/>
        <w:bidi w:val="0"/>
        <w:spacing w:line="560" w:lineRule="exact"/>
        <w:ind w:firstLine="480"/>
        <w:textAlignment w:val="auto"/>
        <w:rPr>
          <w:rFonts w:hint="eastAsia" w:ascii="宋体" w:hAnsi="宋体" w:cs="宋体"/>
          <w:color w:val="auto"/>
          <w:sz w:val="24"/>
          <w:highlight w:val="none"/>
        </w:rPr>
      </w:pPr>
      <w:r>
        <w:rPr>
          <w:rFonts w:hint="eastAsia" w:ascii="宋体" w:hAnsi="宋体" w:cs="宋体"/>
          <w:i w:val="0"/>
          <w:iCs w:val="0"/>
          <w:color w:val="auto"/>
          <w:sz w:val="24"/>
          <w:szCs w:val="20"/>
          <w:highlight w:val="none"/>
        </w:rPr>
        <w:t>本授权书声明：注册于</w:t>
      </w:r>
      <w:r>
        <w:rPr>
          <w:rFonts w:hint="eastAsia" w:ascii="宋体" w:hAnsi="宋体" w:cs="宋体"/>
          <w:i w:val="0"/>
          <w:iCs w:val="0"/>
          <w:color w:val="auto"/>
          <w:sz w:val="24"/>
          <w:szCs w:val="20"/>
          <w:highlight w:val="none"/>
          <w:u w:val="single"/>
        </w:rPr>
        <w:t>（国家或地区的名称）</w:t>
      </w:r>
      <w:r>
        <w:rPr>
          <w:rFonts w:hint="eastAsia" w:ascii="宋体" w:hAnsi="宋体" w:cs="宋体"/>
          <w:i w:val="0"/>
          <w:iCs w:val="0"/>
          <w:color w:val="auto"/>
          <w:sz w:val="24"/>
          <w:szCs w:val="20"/>
          <w:highlight w:val="none"/>
        </w:rPr>
        <w:t>的（</w:t>
      </w:r>
      <w:r>
        <w:rPr>
          <w:rFonts w:hint="eastAsia" w:ascii="宋体" w:hAnsi="宋体" w:cs="宋体"/>
          <w:i w:val="0"/>
          <w:iCs w:val="0"/>
          <w:color w:val="auto"/>
          <w:sz w:val="24"/>
          <w:szCs w:val="20"/>
          <w:highlight w:val="none"/>
          <w:u w:val="single"/>
        </w:rPr>
        <w:t>供应商名称</w:t>
      </w:r>
      <w:r>
        <w:rPr>
          <w:rFonts w:hint="eastAsia" w:ascii="宋体" w:hAnsi="宋体" w:cs="宋体"/>
          <w:i w:val="0"/>
          <w:iCs w:val="0"/>
          <w:color w:val="auto"/>
          <w:sz w:val="24"/>
          <w:szCs w:val="20"/>
          <w:highlight w:val="none"/>
        </w:rPr>
        <w:t>）的在下面签字的（</w:t>
      </w:r>
      <w:r>
        <w:rPr>
          <w:rFonts w:hint="eastAsia" w:ascii="宋体" w:hAnsi="宋体" w:cs="宋体"/>
          <w:i w:val="0"/>
          <w:iCs w:val="0"/>
          <w:color w:val="auto"/>
          <w:sz w:val="24"/>
          <w:szCs w:val="20"/>
          <w:highlight w:val="none"/>
          <w:u w:val="single"/>
        </w:rPr>
        <w:t>法定代表人（非法人组织的负责人）姓名、职务</w:t>
      </w:r>
      <w:r>
        <w:rPr>
          <w:rFonts w:hint="eastAsia" w:ascii="宋体" w:hAnsi="宋体" w:cs="宋体"/>
          <w:i w:val="0"/>
          <w:iCs w:val="0"/>
          <w:color w:val="auto"/>
          <w:sz w:val="24"/>
          <w:szCs w:val="20"/>
          <w:highlight w:val="none"/>
        </w:rPr>
        <w:t>）代表我单位授权（</w:t>
      </w:r>
      <w:r>
        <w:rPr>
          <w:rFonts w:hint="eastAsia" w:ascii="宋体" w:hAnsi="宋体" w:cs="宋体"/>
          <w:i w:val="0"/>
          <w:iCs w:val="0"/>
          <w:color w:val="auto"/>
          <w:sz w:val="24"/>
          <w:szCs w:val="20"/>
          <w:highlight w:val="none"/>
          <w:u w:val="single"/>
        </w:rPr>
        <w:t>供应商名称</w:t>
      </w:r>
      <w:r>
        <w:rPr>
          <w:rFonts w:hint="eastAsia" w:ascii="宋体" w:hAnsi="宋体" w:cs="宋体"/>
          <w:i w:val="0"/>
          <w:iCs w:val="0"/>
          <w:color w:val="auto"/>
          <w:sz w:val="24"/>
          <w:szCs w:val="20"/>
          <w:highlight w:val="none"/>
        </w:rPr>
        <w:t>）的在下面签字的（</w:t>
      </w:r>
      <w:r>
        <w:rPr>
          <w:rFonts w:hint="eastAsia" w:ascii="宋体" w:hAnsi="宋体" w:cs="宋体"/>
          <w:i w:val="0"/>
          <w:iCs w:val="0"/>
          <w:color w:val="auto"/>
          <w:sz w:val="24"/>
          <w:szCs w:val="20"/>
          <w:highlight w:val="none"/>
          <w:u w:val="single"/>
        </w:rPr>
        <w:t>被授权人的姓名、职务</w:t>
      </w:r>
      <w:r>
        <w:rPr>
          <w:rFonts w:hint="eastAsia" w:ascii="宋体" w:hAnsi="宋体" w:cs="宋体"/>
          <w:i w:val="0"/>
          <w:iCs w:val="0"/>
          <w:color w:val="auto"/>
          <w:sz w:val="24"/>
          <w:szCs w:val="20"/>
          <w:highlight w:val="none"/>
        </w:rPr>
        <w:t>）为我单位的合法代理人，就（</w:t>
      </w:r>
      <w:r>
        <w:rPr>
          <w:rFonts w:hint="eastAsia" w:ascii="宋体" w:hAnsi="宋体" w:cs="宋体"/>
          <w:i w:val="0"/>
          <w:iCs w:val="0"/>
          <w:color w:val="auto"/>
          <w:sz w:val="24"/>
          <w:szCs w:val="20"/>
          <w:highlight w:val="none"/>
          <w:u w:val="single"/>
        </w:rPr>
        <w:t>项目名称、项目编号</w:t>
      </w:r>
      <w:r>
        <w:rPr>
          <w:rFonts w:hint="eastAsia" w:ascii="宋体" w:hAnsi="宋体" w:cs="宋体"/>
          <w:i w:val="0"/>
          <w:iCs w:val="0"/>
          <w:color w:val="auto"/>
          <w:sz w:val="24"/>
          <w:szCs w:val="20"/>
          <w:highlight w:val="none"/>
        </w:rPr>
        <w:t>）的（</w:t>
      </w:r>
      <w:r>
        <w:rPr>
          <w:rFonts w:hint="eastAsia" w:ascii="宋体" w:hAnsi="宋体" w:cs="宋体"/>
          <w:i w:val="0"/>
          <w:iCs w:val="0"/>
          <w:color w:val="auto"/>
          <w:sz w:val="24"/>
          <w:szCs w:val="20"/>
          <w:highlight w:val="none"/>
          <w:u w:val="single"/>
        </w:rPr>
        <w:t>合同名称/(项目名称、标段**)</w:t>
      </w:r>
      <w:r>
        <w:rPr>
          <w:rFonts w:hint="eastAsia" w:ascii="宋体" w:hAnsi="宋体" w:cs="宋体"/>
          <w:i w:val="0"/>
          <w:iCs w:val="0"/>
          <w:color w:val="auto"/>
          <w:sz w:val="24"/>
          <w:szCs w:val="20"/>
          <w:highlight w:val="none"/>
        </w:rPr>
        <w:t>）</w:t>
      </w:r>
      <w:r>
        <w:rPr>
          <w:rFonts w:hint="eastAsia" w:ascii="宋体" w:hAnsi="宋体" w:cs="宋体"/>
          <w:i w:val="0"/>
          <w:iCs w:val="0"/>
          <w:color w:val="auto"/>
          <w:sz w:val="24"/>
          <w:szCs w:val="20"/>
          <w:highlight w:val="none"/>
          <w:lang w:eastAsia="zh-CN"/>
        </w:rPr>
        <w:t>响应</w:t>
      </w:r>
      <w:r>
        <w:rPr>
          <w:rFonts w:hint="eastAsia" w:ascii="宋体" w:hAnsi="宋体" w:cs="宋体"/>
          <w:i w:val="0"/>
          <w:iCs w:val="0"/>
          <w:color w:val="auto"/>
          <w:sz w:val="24"/>
          <w:szCs w:val="20"/>
          <w:highlight w:val="none"/>
        </w:rPr>
        <w:t>，以我单位名义处理一切与之有关的事务。</w:t>
      </w:r>
      <w:r>
        <w:rPr>
          <w:rFonts w:hint="eastAsia" w:ascii="宋体" w:hAnsi="宋体" w:cs="宋体"/>
          <w:i w:val="0"/>
          <w:iCs w:val="0"/>
          <w:color w:val="auto"/>
          <w:sz w:val="24"/>
          <w:szCs w:val="20"/>
          <w:highlight w:val="none"/>
        </w:rPr>
        <w:cr/>
      </w:r>
      <w:r>
        <w:rPr>
          <w:rFonts w:hint="eastAsia" w:ascii="宋体" w:hAnsi="宋体" w:cs="宋体"/>
          <w:color w:val="auto"/>
          <w:sz w:val="24"/>
          <w:szCs w:val="20"/>
          <w:highlight w:val="none"/>
        </w:rPr>
        <w:t>　　</w:t>
      </w:r>
      <w:r>
        <w:rPr>
          <w:rFonts w:hint="eastAsia" w:ascii="宋体" w:hAnsi="宋体"/>
          <w:color w:val="auto"/>
          <w:sz w:val="24"/>
          <w:szCs w:val="20"/>
          <w:highlight w:val="none"/>
        </w:rPr>
        <w:t>本授权书于</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年</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月</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日签字生效,特此声明。</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jc w:val="center"/>
        </w:trPr>
        <w:tc>
          <w:tcPr>
            <w:tcW w:w="8787" w:type="dxa"/>
            <w:noWrap w:val="0"/>
            <w:vAlign w:val="center"/>
          </w:tcPr>
          <w:p>
            <w:pPr>
              <w:pStyle w:val="17"/>
              <w:spacing w:line="560" w:lineRule="exact"/>
              <w:jc w:val="center"/>
              <w:rPr>
                <w:rFonts w:cs="宋体"/>
                <w:b/>
                <w:sz w:val="24"/>
              </w:rPr>
            </w:pPr>
            <w:r>
              <w:rPr>
                <w:rFonts w:hint="eastAsia" w:ascii="宋体" w:hAnsi="宋体" w:eastAsia="宋体" w:cs="宋体"/>
                <w:b/>
                <w:sz w:val="24"/>
              </w:rPr>
              <w:t>被授权代表人身份证原件</w:t>
            </w:r>
            <w:r>
              <w:rPr>
                <w:rFonts w:hint="eastAsia" w:ascii="宋体" w:hAnsi="宋体" w:eastAsia="宋体" w:cs="宋体"/>
                <w:b/>
                <w:sz w:val="24"/>
                <w:lang w:eastAsia="zh-CN"/>
              </w:rPr>
              <w:t>扫描件</w:t>
            </w:r>
            <w:r>
              <w:rPr>
                <w:rFonts w:hint="eastAsia" w:cs="宋体"/>
                <w:b/>
                <w:sz w:val="24"/>
              </w:rPr>
              <w:t>，可另外单页提供</w:t>
            </w:r>
          </w:p>
          <w:p>
            <w:pPr>
              <w:pStyle w:val="17"/>
              <w:pageBreakBefore w:val="0"/>
              <w:kinsoku/>
              <w:wordWrap/>
              <w:overflowPunct/>
              <w:topLinePunct w:val="0"/>
              <w:bidi w:val="0"/>
              <w:spacing w:line="560" w:lineRule="exact"/>
              <w:jc w:val="center"/>
              <w:textAlignment w:val="auto"/>
              <w:rPr>
                <w:rFonts w:hint="eastAsia" w:cs="宋体"/>
                <w:b/>
                <w:color w:val="auto"/>
                <w:sz w:val="24"/>
                <w:highlight w:val="none"/>
              </w:rPr>
            </w:pPr>
            <w:r>
              <w:rPr>
                <w:rFonts w:hint="eastAsia" w:cs="宋体"/>
                <w:b/>
                <w:color w:val="auto"/>
                <w:sz w:val="24"/>
                <w:highlight w:val="none"/>
              </w:rPr>
              <w:t>（正面、背面）</w:t>
            </w:r>
          </w:p>
        </w:tc>
      </w:tr>
    </w:tbl>
    <w:p>
      <w:pPr>
        <w:pStyle w:val="17"/>
        <w:pageBreakBefore w:val="0"/>
        <w:kinsoku/>
        <w:wordWrap/>
        <w:overflowPunct/>
        <w:topLinePunct w:val="0"/>
        <w:bidi w:val="0"/>
        <w:spacing w:line="560" w:lineRule="exact"/>
        <w:textAlignment w:val="auto"/>
        <w:rPr>
          <w:rFonts w:hint="eastAsia" w:cs="宋体"/>
          <w:color w:val="auto"/>
          <w:sz w:val="24"/>
          <w:highlight w:val="none"/>
        </w:rPr>
      </w:pPr>
      <w:r>
        <w:rPr>
          <w:rFonts w:hint="eastAsia" w:cs="宋体"/>
          <w:color w:val="auto"/>
          <w:sz w:val="24"/>
          <w:highlight w:val="none"/>
        </w:rPr>
        <w:t>附：</w:t>
      </w:r>
    </w:p>
    <w:p>
      <w:pPr>
        <w:tabs>
          <w:tab w:val="left" w:pos="5580"/>
        </w:tabs>
        <w:spacing w:line="560" w:lineRule="exact"/>
        <w:ind w:left="-540" w:leftChars="-257" w:firstLine="900" w:firstLineChars="375"/>
        <w:rPr>
          <w:rFonts w:ascii="宋体" w:hAnsi="宋体"/>
          <w:sz w:val="24"/>
          <w:szCs w:val="20"/>
          <w:u w:val="single"/>
        </w:rPr>
      </w:pPr>
      <w:r>
        <w:rPr>
          <w:rFonts w:hint="eastAsia" w:ascii="宋体" w:hAnsi="宋体"/>
          <w:sz w:val="24"/>
          <w:szCs w:val="20"/>
        </w:rPr>
        <w:t>供应商（公章</w:t>
      </w:r>
      <w:r>
        <w:rPr>
          <w:rFonts w:ascii="宋体" w:hAnsi="宋体"/>
          <w:sz w:val="24"/>
          <w:szCs w:val="20"/>
        </w:rPr>
        <w:t>）：</w:t>
      </w:r>
      <w:r>
        <w:rPr>
          <w:rFonts w:ascii="宋体" w:hAnsi="宋体"/>
          <w:sz w:val="24"/>
          <w:szCs w:val="20"/>
          <w:u w:val="single"/>
        </w:rPr>
        <w:t xml:space="preserve">                                        </w:t>
      </w:r>
    </w:p>
    <w:p>
      <w:pPr>
        <w:tabs>
          <w:tab w:val="left" w:pos="5580"/>
        </w:tabs>
        <w:spacing w:line="560" w:lineRule="exact"/>
        <w:ind w:left="-540" w:leftChars="-257" w:firstLine="900" w:firstLineChars="375"/>
        <w:rPr>
          <w:rFonts w:ascii="宋体" w:hAnsi="宋体"/>
          <w:sz w:val="24"/>
          <w:szCs w:val="20"/>
          <w:u w:val="single"/>
        </w:rPr>
      </w:pPr>
      <w:r>
        <w:rPr>
          <w:rFonts w:hint="eastAsia" w:ascii="宋体" w:hAnsi="宋体"/>
          <w:sz w:val="24"/>
          <w:szCs w:val="20"/>
        </w:rPr>
        <w:t>法定代表人(签章)</w:t>
      </w:r>
      <w:r>
        <w:rPr>
          <w:rFonts w:ascii="宋体" w:hAnsi="宋体"/>
          <w:sz w:val="24"/>
          <w:szCs w:val="20"/>
        </w:rPr>
        <w:t>：</w:t>
      </w:r>
      <w:r>
        <w:rPr>
          <w:rFonts w:hint="eastAsia" w:ascii="宋体" w:hAnsi="宋体"/>
          <w:sz w:val="24"/>
          <w:szCs w:val="20"/>
          <w:u w:val="single"/>
        </w:rPr>
        <w:t xml:space="preserve">                      </w:t>
      </w:r>
      <w:r>
        <w:rPr>
          <w:rFonts w:ascii="宋体" w:hAnsi="宋体"/>
          <w:sz w:val="24"/>
          <w:szCs w:val="20"/>
          <w:u w:val="single"/>
        </w:rPr>
        <w:t xml:space="preserve"> </w:t>
      </w:r>
    </w:p>
    <w:p>
      <w:pPr>
        <w:tabs>
          <w:tab w:val="left" w:pos="5580"/>
        </w:tabs>
        <w:spacing w:line="560" w:lineRule="exact"/>
        <w:ind w:left="-540" w:leftChars="-257" w:firstLine="900" w:firstLineChars="375"/>
        <w:rPr>
          <w:rFonts w:ascii="宋体" w:hAnsi="宋体"/>
          <w:sz w:val="24"/>
          <w:szCs w:val="20"/>
          <w:u w:val="single"/>
        </w:rPr>
      </w:pPr>
      <w:r>
        <w:rPr>
          <w:rFonts w:ascii="宋体" w:hAnsi="宋体"/>
          <w:sz w:val="24"/>
          <w:szCs w:val="20"/>
        </w:rPr>
        <w:t>法定代表人</w:t>
      </w:r>
      <w:r>
        <w:rPr>
          <w:rFonts w:hint="eastAsia" w:ascii="宋体" w:hAnsi="宋体"/>
          <w:sz w:val="24"/>
          <w:szCs w:val="20"/>
        </w:rPr>
        <w:t>身份证</w:t>
      </w:r>
      <w:r>
        <w:rPr>
          <w:rFonts w:ascii="宋体" w:hAnsi="宋体"/>
          <w:sz w:val="24"/>
          <w:szCs w:val="20"/>
        </w:rPr>
        <w:t>号码</w:t>
      </w:r>
      <w:r>
        <w:rPr>
          <w:rFonts w:hint="eastAsia" w:ascii="宋体" w:hAnsi="宋体"/>
          <w:sz w:val="24"/>
          <w:szCs w:val="20"/>
        </w:rPr>
        <w:t>：</w:t>
      </w:r>
      <w:r>
        <w:rPr>
          <w:rFonts w:hint="eastAsia" w:ascii="宋体" w:hAnsi="宋体"/>
          <w:sz w:val="24"/>
          <w:szCs w:val="20"/>
          <w:u w:val="single"/>
        </w:rPr>
        <w:t xml:space="preserve">  </w:t>
      </w:r>
      <w:r>
        <w:rPr>
          <w:rFonts w:ascii="宋体" w:hAnsi="宋体"/>
          <w:sz w:val="24"/>
          <w:szCs w:val="20"/>
          <w:u w:val="single"/>
        </w:rPr>
        <w:t xml:space="preserve">                 </w:t>
      </w:r>
    </w:p>
    <w:p>
      <w:pPr>
        <w:pStyle w:val="11"/>
        <w:tabs>
          <w:tab w:val="left" w:pos="5580"/>
        </w:tabs>
        <w:spacing w:line="560" w:lineRule="exact"/>
        <w:ind w:firstLine="360" w:firstLineChars="150"/>
        <w:rPr>
          <w:rFonts w:hAnsi="宋体"/>
          <w:sz w:val="24"/>
        </w:rPr>
      </w:pPr>
      <w:r>
        <w:rPr>
          <w:rFonts w:hint="eastAsia" w:hAnsi="宋体"/>
          <w:sz w:val="24"/>
        </w:rPr>
        <w:t>授权代表：</w:t>
      </w:r>
      <w:r>
        <w:rPr>
          <w:rFonts w:hint="eastAsia" w:hAnsi="宋体"/>
          <w:sz w:val="24"/>
          <w:u w:val="single"/>
        </w:rPr>
        <w:t xml:space="preserve"> （姓名）                     </w:t>
      </w:r>
      <w:r>
        <w:rPr>
          <w:rFonts w:hAnsi="宋体"/>
          <w:sz w:val="24"/>
          <w:u w:val="single"/>
        </w:rPr>
        <w:t xml:space="preserve">     </w:t>
      </w:r>
      <w:r>
        <w:rPr>
          <w:rFonts w:hint="eastAsia" w:hAnsi="宋体"/>
          <w:sz w:val="24"/>
          <w:u w:val="single"/>
        </w:rPr>
        <w:t xml:space="preserve"> </w:t>
      </w:r>
      <w:r>
        <w:rPr>
          <w:rFonts w:hint="eastAsia" w:hAnsi="宋体"/>
          <w:sz w:val="24"/>
        </w:rPr>
        <w:t xml:space="preserve"> </w:t>
      </w:r>
    </w:p>
    <w:p>
      <w:pPr>
        <w:pStyle w:val="11"/>
        <w:tabs>
          <w:tab w:val="left" w:pos="5580"/>
        </w:tabs>
        <w:spacing w:line="560" w:lineRule="exact"/>
        <w:ind w:firstLine="360" w:firstLineChars="150"/>
        <w:rPr>
          <w:rFonts w:hAnsi="宋体"/>
          <w:sz w:val="24"/>
          <w:u w:val="single"/>
        </w:rPr>
      </w:pPr>
      <w:r>
        <w:rPr>
          <w:rFonts w:hint="eastAsia" w:hAnsi="宋体"/>
          <w:sz w:val="24"/>
        </w:rPr>
        <w:t>授权代表身份证</w:t>
      </w:r>
      <w:r>
        <w:rPr>
          <w:rFonts w:hAnsi="宋体"/>
          <w:sz w:val="24"/>
        </w:rPr>
        <w:t>号码</w:t>
      </w:r>
      <w:r>
        <w:rPr>
          <w:rFonts w:hint="eastAsia" w:hAnsi="宋体"/>
          <w:sz w:val="24"/>
        </w:rPr>
        <w:t>：</w:t>
      </w:r>
      <w:r>
        <w:rPr>
          <w:rFonts w:hint="eastAsia" w:hAnsi="宋体"/>
          <w:sz w:val="24"/>
          <w:u w:val="single"/>
        </w:rPr>
        <w:t xml:space="preserve">                          </w:t>
      </w:r>
      <w:r>
        <w:rPr>
          <w:rFonts w:hint="eastAsia" w:hAnsi="宋体"/>
          <w:sz w:val="24"/>
        </w:rPr>
        <w:t xml:space="preserve">              </w:t>
      </w:r>
    </w:p>
    <w:p>
      <w:pPr>
        <w:pStyle w:val="11"/>
        <w:tabs>
          <w:tab w:val="left" w:pos="5580"/>
        </w:tabs>
        <w:spacing w:line="560" w:lineRule="exact"/>
        <w:ind w:firstLine="360" w:firstLineChars="150"/>
        <w:rPr>
          <w:rFonts w:hAnsi="宋体"/>
          <w:sz w:val="24"/>
        </w:rPr>
      </w:pPr>
      <w:r>
        <w:rPr>
          <w:rFonts w:hint="eastAsia" w:hAnsi="宋体"/>
          <w:sz w:val="24"/>
        </w:rPr>
        <w:t>详细通讯地址：</w:t>
      </w:r>
      <w:r>
        <w:rPr>
          <w:rFonts w:hint="eastAsia" w:hAnsi="宋体"/>
          <w:sz w:val="24"/>
          <w:u w:val="single"/>
        </w:rPr>
        <w:t xml:space="preserve">                                </w:t>
      </w:r>
    </w:p>
    <w:p>
      <w:pPr>
        <w:pStyle w:val="11"/>
        <w:tabs>
          <w:tab w:val="left" w:pos="5580"/>
        </w:tabs>
        <w:spacing w:line="560" w:lineRule="exact"/>
        <w:ind w:firstLine="360" w:firstLineChars="150"/>
        <w:rPr>
          <w:rFonts w:hAnsi="宋体"/>
          <w:sz w:val="24"/>
        </w:rPr>
      </w:pPr>
      <w:r>
        <w:rPr>
          <w:rFonts w:hint="eastAsia" w:hAnsi="宋体"/>
          <w:sz w:val="24"/>
        </w:rPr>
        <w:t>邮 政 编 码 ：</w:t>
      </w:r>
      <w:r>
        <w:rPr>
          <w:rFonts w:hint="eastAsia" w:hAnsi="宋体"/>
          <w:sz w:val="24"/>
          <w:u w:val="single"/>
        </w:rPr>
        <w:t xml:space="preserve">                                </w:t>
      </w:r>
    </w:p>
    <w:p>
      <w:pPr>
        <w:pStyle w:val="11"/>
        <w:tabs>
          <w:tab w:val="left" w:pos="5580"/>
        </w:tabs>
        <w:spacing w:line="560" w:lineRule="exact"/>
        <w:ind w:firstLine="360" w:firstLineChars="150"/>
        <w:rPr>
          <w:rFonts w:hAnsi="宋体"/>
          <w:sz w:val="24"/>
          <w:u w:val="single"/>
        </w:rPr>
      </w:pPr>
      <w:r>
        <w:rPr>
          <w:rFonts w:hint="eastAsia" w:hAnsi="宋体"/>
          <w:sz w:val="24"/>
        </w:rPr>
        <w:t>传　　　　真：</w:t>
      </w:r>
      <w:r>
        <w:rPr>
          <w:rFonts w:hint="eastAsia" w:hAnsi="宋体"/>
          <w:sz w:val="24"/>
          <w:u w:val="single"/>
        </w:rPr>
        <w:t xml:space="preserve">                                </w:t>
      </w:r>
    </w:p>
    <w:p>
      <w:pPr>
        <w:tabs>
          <w:tab w:val="left" w:pos="5580"/>
        </w:tabs>
        <w:spacing w:line="560" w:lineRule="exact"/>
        <w:ind w:firstLine="360" w:firstLineChars="150"/>
        <w:rPr>
          <w:rFonts w:ascii="宋体" w:hAnsi="宋体"/>
          <w:sz w:val="24"/>
        </w:rPr>
      </w:pPr>
      <w:r>
        <w:rPr>
          <w:rFonts w:hint="eastAsia" w:ascii="宋体" w:hAnsi="宋体"/>
          <w:sz w:val="24"/>
        </w:rPr>
        <w:t>电　　　　话：</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szCs w:val="20"/>
        </w:rPr>
        <w:t xml:space="preserve"> </w:t>
      </w:r>
    </w:p>
    <w:p>
      <w:pPr>
        <w:pageBreakBefore w:val="0"/>
        <w:tabs>
          <w:tab w:val="left" w:pos="5580"/>
        </w:tabs>
        <w:kinsoku/>
        <w:wordWrap/>
        <w:overflowPunct/>
        <w:topLinePunct w:val="0"/>
        <w:bidi w:val="0"/>
        <w:spacing w:line="560" w:lineRule="exact"/>
        <w:textAlignment w:val="auto"/>
        <w:rPr>
          <w:rFonts w:hint="eastAsia" w:ascii="宋体" w:hAnsi="宋体"/>
          <w:color w:val="auto"/>
          <w:sz w:val="24"/>
          <w:szCs w:val="20"/>
          <w:highlight w:val="none"/>
        </w:rPr>
      </w:pPr>
      <w:r>
        <w:rPr>
          <w:rFonts w:hint="eastAsia" w:hAnsi="宋体"/>
          <w:color w:val="auto"/>
          <w:sz w:val="24"/>
          <w:highlight w:val="none"/>
          <w:u w:val="single"/>
        </w:rPr>
        <w:t xml:space="preserve">                       </w:t>
      </w:r>
      <w:r>
        <w:rPr>
          <w:rFonts w:hint="eastAsia" w:hAnsi="宋体"/>
          <w:color w:val="auto"/>
          <w:sz w:val="24"/>
          <w:highlight w:val="none"/>
        </w:rPr>
        <w:t xml:space="preserve">                  </w:t>
      </w:r>
      <w:r>
        <w:rPr>
          <w:rFonts w:hint="eastAsia" w:ascii="宋体" w:hAnsi="宋体"/>
          <w:color w:val="auto"/>
          <w:sz w:val="24"/>
          <w:szCs w:val="20"/>
          <w:highlight w:val="none"/>
        </w:rPr>
        <w:t xml:space="preserve"> </w:t>
      </w:r>
      <w:bookmarkStart w:id="197" w:name="_Toc518923111"/>
    </w:p>
    <w:p>
      <w:pPr>
        <w:rPr>
          <w:rFonts w:hint="eastAsia" w:ascii="宋体" w:hAnsi="宋体"/>
          <w:color w:val="auto"/>
          <w:sz w:val="24"/>
          <w:szCs w:val="20"/>
          <w:highlight w:val="none"/>
        </w:rPr>
      </w:pPr>
      <w:r>
        <w:rPr>
          <w:rFonts w:hint="eastAsia" w:ascii="宋体" w:hAnsi="宋体"/>
          <w:color w:val="auto"/>
          <w:sz w:val="24"/>
          <w:szCs w:val="20"/>
          <w:highlight w:val="none"/>
        </w:rPr>
        <w:br w:type="page"/>
      </w:r>
    </w:p>
    <w:p>
      <w:pPr>
        <w:pStyle w:val="6"/>
        <w:rPr>
          <w:rFonts w:hint="eastAsia"/>
        </w:rPr>
      </w:pPr>
    </w:p>
    <w:p>
      <w:pPr>
        <w:pageBreakBefore w:val="0"/>
        <w:tabs>
          <w:tab w:val="left" w:pos="5580"/>
        </w:tabs>
        <w:kinsoku/>
        <w:wordWrap/>
        <w:overflowPunct/>
        <w:topLinePunct w:val="0"/>
        <w:bidi w:val="0"/>
        <w:spacing w:line="560" w:lineRule="exact"/>
        <w:textAlignment w:val="auto"/>
        <w:outlineLvl w:val="9"/>
        <w:rPr>
          <w:rFonts w:hint="eastAsia" w:ascii="宋体" w:hAnsi="宋体"/>
          <w:b/>
          <w:bCs/>
          <w:color w:val="auto"/>
          <w:sz w:val="24"/>
          <w:szCs w:val="20"/>
          <w:highlight w:val="none"/>
        </w:rPr>
      </w:pPr>
      <w:bookmarkStart w:id="198" w:name="_Toc6578"/>
      <w:r>
        <w:rPr>
          <w:rFonts w:hint="eastAsia" w:ascii="宋体" w:hAnsi="宋体"/>
          <w:b/>
          <w:bCs/>
          <w:color w:val="auto"/>
          <w:sz w:val="24"/>
          <w:szCs w:val="20"/>
          <w:highlight w:val="none"/>
          <w:lang w:val="en-US" w:eastAsia="zh-CN"/>
        </w:rPr>
        <w:t>3.</w:t>
      </w:r>
      <w:r>
        <w:rPr>
          <w:rFonts w:hint="eastAsia" w:hAnsi="宋体"/>
          <w:b/>
          <w:bCs/>
          <w:sz w:val="24"/>
          <w:szCs w:val="24"/>
          <w:u w:val="none"/>
        </w:rPr>
        <w:t>政府采购供应商信用承诺书</w:t>
      </w:r>
      <w:bookmarkEnd w:id="198"/>
    </w:p>
    <w:p>
      <w:pPr>
        <w:pStyle w:val="25"/>
        <w:rPr>
          <w:rFonts w:hint="eastAsia"/>
        </w:rPr>
      </w:pPr>
    </w:p>
    <w:p>
      <w:pPr>
        <w:pageBreakBefore w:val="0"/>
        <w:tabs>
          <w:tab w:val="left" w:pos="5580"/>
        </w:tabs>
        <w:kinsoku/>
        <w:wordWrap/>
        <w:overflowPunct/>
        <w:topLinePunct w:val="0"/>
        <w:bidi w:val="0"/>
        <w:spacing w:line="560" w:lineRule="exact"/>
        <w:jc w:val="center"/>
        <w:textAlignment w:val="auto"/>
        <w:rPr>
          <w:rFonts w:hint="eastAsia" w:ascii="宋体" w:hAnsi="宋体"/>
          <w:b/>
          <w:bCs/>
          <w:color w:val="auto"/>
          <w:sz w:val="24"/>
          <w:szCs w:val="20"/>
          <w:highlight w:val="none"/>
        </w:rPr>
      </w:pPr>
      <w:r>
        <w:rPr>
          <w:rFonts w:hint="eastAsia" w:ascii="宋体" w:hAnsi="宋体"/>
          <w:b w:val="0"/>
          <w:bCs w:val="0"/>
          <w:color w:val="auto"/>
          <w:sz w:val="36"/>
          <w:szCs w:val="36"/>
          <w:highlight w:val="none"/>
        </w:rPr>
        <w:t>政府采购供应商信用承诺书</w:t>
      </w:r>
    </w:p>
    <w:p>
      <w:pPr>
        <w:pageBreakBefore w:val="0"/>
        <w:tabs>
          <w:tab w:val="left" w:pos="5580"/>
        </w:tabs>
        <w:kinsoku/>
        <w:wordWrap/>
        <w:overflowPunct/>
        <w:topLinePunct w:val="0"/>
        <w:bidi w:val="0"/>
        <w:spacing w:line="560" w:lineRule="exact"/>
        <w:textAlignment w:val="auto"/>
        <w:rPr>
          <w:rFonts w:hint="eastAsia" w:ascii="宋体" w:hAnsi="宋体"/>
          <w:color w:val="auto"/>
          <w:sz w:val="24"/>
          <w:szCs w:val="20"/>
          <w:highlight w:val="none"/>
        </w:rPr>
      </w:pPr>
      <w:r>
        <w:rPr>
          <w:rFonts w:hint="eastAsia" w:ascii="宋体" w:hAnsi="宋体"/>
          <w:color w:val="auto"/>
          <w:sz w:val="24"/>
          <w:szCs w:val="20"/>
          <w:highlight w:val="none"/>
        </w:rPr>
        <w:t>本公司郑重声明:</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1、承诺具有良好的商业信誉和健全的财务会计制度;</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2、承诺依法缴纳税收和社会保障资金;</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3、承诺参加政府采购活动前3年内在经营活动中没有重大违法记录;</w:t>
      </w:r>
    </w:p>
    <w:p>
      <w:pPr>
        <w:pageBreakBefore w:val="0"/>
        <w:tabs>
          <w:tab w:val="left" w:pos="5580"/>
        </w:tabs>
        <w:kinsoku/>
        <w:wordWrap/>
        <w:overflowPunct/>
        <w:topLinePunct w:val="0"/>
        <w:bidi w:val="0"/>
        <w:spacing w:line="560" w:lineRule="exact"/>
        <w:ind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供应商应当遵循诚实守信用原则，不得作出虚假承诺，若承诺不实的，属于提供虚假材料谋取中标、成交，应依法承担相应的法律责任。</w:t>
      </w:r>
    </w:p>
    <w:p>
      <w:pPr>
        <w:pStyle w:val="25"/>
        <w:ind w:left="0" w:leftChars="0" w:firstLine="0" w:firstLineChars="0"/>
        <w:rPr>
          <w:rFonts w:hint="eastAsia"/>
        </w:rPr>
      </w:pP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特此声明!</w:t>
      </w:r>
    </w:p>
    <w:p>
      <w:pPr>
        <w:pStyle w:val="25"/>
        <w:rPr>
          <w:rFonts w:hint="eastAsia" w:ascii="宋体" w:hAnsi="宋体"/>
          <w:color w:val="auto"/>
          <w:sz w:val="24"/>
          <w:szCs w:val="20"/>
          <w:highlight w:val="none"/>
        </w:rPr>
      </w:pPr>
    </w:p>
    <w:p>
      <w:pPr>
        <w:rPr>
          <w:rFonts w:hint="eastAsia" w:ascii="宋体" w:hAnsi="宋体"/>
          <w:color w:val="auto"/>
          <w:sz w:val="24"/>
          <w:szCs w:val="20"/>
          <w:highlight w:val="none"/>
        </w:rPr>
      </w:pPr>
    </w:p>
    <w:p>
      <w:pPr>
        <w:pStyle w:val="25"/>
        <w:rPr>
          <w:rFonts w:hint="eastAsia"/>
        </w:rPr>
      </w:pPr>
    </w:p>
    <w:p>
      <w:pPr>
        <w:rPr>
          <w:rFonts w:hint="eastAsia"/>
        </w:rPr>
      </w:pP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投标人名称(公章):</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法定代表人或其授权代表(签章):</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日期:____ _年__月__日</w:t>
      </w:r>
    </w:p>
    <w:p>
      <w:pPr>
        <w:pageBreakBefore w:val="0"/>
        <w:tabs>
          <w:tab w:val="left" w:pos="5580"/>
        </w:tabs>
        <w:kinsoku/>
        <w:wordWrap/>
        <w:overflowPunct/>
        <w:topLinePunct w:val="0"/>
        <w:bidi w:val="0"/>
        <w:spacing w:line="560" w:lineRule="exact"/>
        <w:ind w:left="1080" w:leftChars="257" w:hanging="540"/>
        <w:textAlignment w:val="auto"/>
        <w:rPr>
          <w:rFonts w:ascii="宋体" w:hAnsi="宋体"/>
          <w:color w:val="auto"/>
          <w:sz w:val="24"/>
          <w:szCs w:val="20"/>
          <w:highlight w:val="none"/>
        </w:rPr>
      </w:pPr>
      <w:r>
        <w:rPr>
          <w:rFonts w:ascii="宋体" w:hAnsi="宋体"/>
          <w:color w:val="auto"/>
          <w:sz w:val="24"/>
          <w:szCs w:val="20"/>
          <w:highlight w:val="none"/>
        </w:rPr>
        <w:t xml:space="preserve"> </w:t>
      </w:r>
      <w:bookmarkStart w:id="199" w:name="_Toc518923114"/>
    </w:p>
    <w:p>
      <w:pPr>
        <w:pStyle w:val="25"/>
        <w:rPr>
          <w:rFonts w:ascii="宋体" w:hAnsi="宋体"/>
          <w:color w:val="auto"/>
          <w:sz w:val="24"/>
          <w:szCs w:val="20"/>
          <w:highlight w:val="none"/>
        </w:rPr>
      </w:pPr>
    </w:p>
    <w:p>
      <w:pPr>
        <w:rPr>
          <w:rFonts w:ascii="宋体" w:hAnsi="宋体"/>
          <w:color w:val="auto"/>
          <w:sz w:val="24"/>
          <w:szCs w:val="20"/>
          <w:highlight w:val="none"/>
        </w:rPr>
      </w:pPr>
    </w:p>
    <w:p>
      <w:pPr>
        <w:pStyle w:val="25"/>
        <w:rPr>
          <w:rFonts w:ascii="宋体" w:hAnsi="宋体"/>
          <w:color w:val="auto"/>
          <w:sz w:val="24"/>
          <w:szCs w:val="20"/>
          <w:highlight w:val="none"/>
        </w:rPr>
      </w:pPr>
    </w:p>
    <w:p>
      <w:pPr>
        <w:rPr>
          <w:rFonts w:ascii="宋体" w:hAnsi="宋体"/>
          <w:color w:val="auto"/>
          <w:sz w:val="24"/>
          <w:szCs w:val="20"/>
          <w:highlight w:val="none"/>
        </w:rPr>
      </w:pPr>
    </w:p>
    <w:p>
      <w:pPr>
        <w:pStyle w:val="25"/>
        <w:rPr>
          <w:rFonts w:ascii="宋体" w:hAnsi="宋体"/>
          <w:color w:val="auto"/>
          <w:sz w:val="24"/>
          <w:szCs w:val="20"/>
          <w:highlight w:val="none"/>
        </w:rPr>
      </w:pPr>
    </w:p>
    <w:p>
      <w:pPr>
        <w:rPr>
          <w:rFonts w:ascii="宋体" w:hAnsi="宋体"/>
          <w:color w:val="auto"/>
          <w:sz w:val="24"/>
          <w:szCs w:val="20"/>
          <w:highlight w:val="none"/>
        </w:rPr>
      </w:pPr>
    </w:p>
    <w:p>
      <w:pPr>
        <w:rPr>
          <w:rFonts w:hint="eastAsia" w:hAnsi="宋体"/>
          <w:color w:val="auto"/>
          <w:highlight w:val="none"/>
          <w:u w:val="none"/>
          <w:lang w:val="en-US" w:eastAsia="zh-CN"/>
        </w:rPr>
      </w:pPr>
      <w:bookmarkStart w:id="200" w:name="_Toc14160"/>
      <w:bookmarkStart w:id="201" w:name="_Toc46235137"/>
      <w:r>
        <w:rPr>
          <w:rFonts w:hint="eastAsia" w:hAnsi="宋体"/>
          <w:color w:val="auto"/>
          <w:highlight w:val="none"/>
          <w:u w:val="none"/>
          <w:lang w:val="en-US" w:eastAsia="zh-CN"/>
        </w:rPr>
        <w:br w:type="page"/>
      </w:r>
    </w:p>
    <w:p>
      <w:pPr>
        <w:pageBreakBefore w:val="0"/>
        <w:kinsoku/>
        <w:wordWrap/>
        <w:overflowPunct/>
        <w:topLinePunct w:val="0"/>
        <w:bidi w:val="0"/>
        <w:spacing w:line="560" w:lineRule="exact"/>
        <w:textAlignment w:val="auto"/>
        <w:outlineLvl w:val="9"/>
        <w:rPr>
          <w:rFonts w:hint="eastAsia" w:hAnsi="宋体"/>
          <w:b/>
          <w:bCs/>
          <w:color w:val="auto"/>
          <w:sz w:val="24"/>
          <w:szCs w:val="24"/>
          <w:highlight w:val="none"/>
          <w:u w:val="none"/>
        </w:rPr>
      </w:pPr>
      <w:bookmarkStart w:id="202" w:name="_Toc6029"/>
      <w:r>
        <w:rPr>
          <w:rFonts w:hint="eastAsia" w:hAnsi="宋体"/>
          <w:b/>
          <w:bCs/>
          <w:color w:val="auto"/>
          <w:sz w:val="24"/>
          <w:szCs w:val="24"/>
          <w:highlight w:val="none"/>
          <w:u w:val="none"/>
          <w:lang w:val="en-US" w:eastAsia="zh-CN"/>
        </w:rPr>
        <w:t>4</w:t>
      </w:r>
      <w:r>
        <w:rPr>
          <w:rFonts w:hint="eastAsia" w:hAnsi="宋体"/>
          <w:b/>
          <w:bCs/>
          <w:color w:val="auto"/>
          <w:sz w:val="24"/>
          <w:szCs w:val="24"/>
          <w:highlight w:val="none"/>
          <w:u w:val="none"/>
        </w:rPr>
        <w:t>.</w:t>
      </w:r>
      <w:r>
        <w:rPr>
          <w:rFonts w:hint="eastAsia" w:hAnsi="宋体"/>
          <w:b/>
          <w:bCs/>
          <w:color w:val="auto"/>
          <w:sz w:val="24"/>
          <w:szCs w:val="24"/>
          <w:highlight w:val="none"/>
          <w:u w:val="none"/>
          <w:lang w:eastAsia="zh-CN"/>
        </w:rPr>
        <w:t>供应商</w:t>
      </w:r>
      <w:r>
        <w:rPr>
          <w:rFonts w:hint="eastAsia" w:hAnsi="宋体"/>
          <w:b/>
          <w:bCs/>
          <w:color w:val="auto"/>
          <w:sz w:val="24"/>
          <w:szCs w:val="24"/>
          <w:highlight w:val="none"/>
          <w:u w:val="none"/>
        </w:rPr>
        <w:t>须知资料表要求的其他资格证明文件</w:t>
      </w:r>
      <w:bookmarkEnd w:id="199"/>
      <w:bookmarkEnd w:id="200"/>
      <w:bookmarkEnd w:id="201"/>
      <w:bookmarkEnd w:id="202"/>
    </w:p>
    <w:p>
      <w:pPr>
        <w:pageBreakBefore w:val="0"/>
        <w:kinsoku/>
        <w:wordWrap/>
        <w:overflowPunct/>
        <w:topLinePunct w:val="0"/>
        <w:bidi w:val="0"/>
        <w:spacing w:line="560" w:lineRule="exact"/>
        <w:ind w:left="1080" w:leftChars="257" w:hanging="540"/>
        <w:jc w:val="center"/>
        <w:textAlignment w:val="auto"/>
        <w:rPr>
          <w:rFonts w:hint="eastAsia" w:ascii="宋体" w:hAnsi="宋体"/>
          <w:b/>
          <w:bCs/>
          <w:color w:val="auto"/>
          <w:sz w:val="24"/>
          <w:highlight w:val="none"/>
        </w:rPr>
      </w:pPr>
    </w:p>
    <w:p>
      <w:pPr>
        <w:pageBreakBefore w:val="0"/>
        <w:kinsoku/>
        <w:wordWrap/>
        <w:overflowPunct/>
        <w:topLinePunct w:val="0"/>
        <w:bidi w:val="0"/>
        <w:spacing w:line="560" w:lineRule="exact"/>
        <w:ind w:left="1080" w:leftChars="257" w:hanging="540"/>
        <w:jc w:val="center"/>
        <w:textAlignment w:val="auto"/>
        <w:rPr>
          <w:rFonts w:hint="eastAsia" w:ascii="宋体" w:hAnsi="宋体"/>
          <w:b/>
          <w:bCs/>
          <w:color w:val="auto"/>
          <w:sz w:val="24"/>
          <w:highlight w:val="none"/>
        </w:rPr>
      </w:pPr>
    </w:p>
    <w:p>
      <w:pPr>
        <w:pageBreakBefore w:val="0"/>
        <w:tabs>
          <w:tab w:val="left" w:pos="5580"/>
        </w:tabs>
        <w:kinsoku/>
        <w:wordWrap/>
        <w:overflowPunct/>
        <w:topLinePunct w:val="0"/>
        <w:bidi w:val="0"/>
        <w:spacing w:line="560" w:lineRule="exact"/>
        <w:textAlignment w:val="auto"/>
        <w:rPr>
          <w:rFonts w:hint="eastAsia" w:ascii="宋体" w:hAnsi="宋体"/>
          <w:color w:val="auto"/>
          <w:sz w:val="24"/>
          <w:szCs w:val="20"/>
          <w:highlight w:val="none"/>
        </w:rPr>
      </w:pPr>
      <w:r>
        <w:rPr>
          <w:rFonts w:hint="eastAsia" w:ascii="宋体" w:hAnsi="宋体"/>
          <w:color w:val="auto"/>
          <w:sz w:val="24"/>
          <w:szCs w:val="20"/>
          <w:highlight w:val="none"/>
        </w:rPr>
        <w:t>说明：</w:t>
      </w:r>
      <w:r>
        <w:rPr>
          <w:rFonts w:hint="eastAsia" w:ascii="宋体" w:hAnsi="宋体"/>
          <w:color w:val="auto"/>
          <w:sz w:val="24"/>
          <w:szCs w:val="20"/>
          <w:highlight w:val="none"/>
          <w:lang w:eastAsia="zh-CN"/>
        </w:rPr>
        <w:t>（</w:t>
      </w:r>
      <w:r>
        <w:rPr>
          <w:rFonts w:hint="eastAsia" w:ascii="宋体" w:hAnsi="宋体"/>
          <w:color w:val="auto"/>
          <w:sz w:val="24"/>
          <w:szCs w:val="20"/>
          <w:highlight w:val="none"/>
        </w:rPr>
        <w:t>1</w:t>
      </w:r>
      <w:r>
        <w:rPr>
          <w:rFonts w:hint="eastAsia" w:ascii="宋体" w:hAnsi="宋体"/>
          <w:color w:val="auto"/>
          <w:sz w:val="24"/>
          <w:szCs w:val="20"/>
          <w:highlight w:val="none"/>
          <w:lang w:eastAsia="zh-CN"/>
        </w:rPr>
        <w:t>）</w:t>
      </w:r>
      <w:r>
        <w:rPr>
          <w:rFonts w:hint="eastAsia" w:ascii="宋体" w:hAnsi="宋体"/>
          <w:color w:val="auto"/>
          <w:sz w:val="24"/>
          <w:szCs w:val="20"/>
          <w:highlight w:val="none"/>
        </w:rPr>
        <w:t>应提供</w:t>
      </w:r>
      <w:r>
        <w:rPr>
          <w:rFonts w:hint="eastAsia" w:ascii="宋体" w:hAnsi="宋体"/>
          <w:color w:val="auto"/>
          <w:sz w:val="24"/>
          <w:szCs w:val="20"/>
          <w:highlight w:val="none"/>
          <w:u w:val="single"/>
        </w:rPr>
        <w:t>供应商须知资料表</w:t>
      </w:r>
      <w:r>
        <w:rPr>
          <w:rFonts w:hint="eastAsia" w:ascii="宋体" w:hAnsi="宋体"/>
          <w:color w:val="auto"/>
          <w:sz w:val="24"/>
          <w:szCs w:val="20"/>
          <w:highlight w:val="none"/>
        </w:rPr>
        <w:t>要求的其他资格证明文件</w:t>
      </w:r>
      <w:r>
        <w:rPr>
          <w:rFonts w:hint="eastAsia" w:hAnsi="宋体"/>
          <w:color w:val="auto"/>
          <w:sz w:val="24"/>
          <w:highlight w:val="none"/>
          <w:lang w:eastAsia="zh-CN"/>
        </w:rPr>
        <w:t>扫描件</w:t>
      </w:r>
      <w:r>
        <w:rPr>
          <w:rFonts w:hint="eastAsia" w:ascii="宋体" w:hAnsi="宋体"/>
          <w:color w:val="auto"/>
          <w:sz w:val="24"/>
          <w:szCs w:val="20"/>
          <w:highlight w:val="none"/>
        </w:rPr>
        <w:t>。</w:t>
      </w:r>
    </w:p>
    <w:p>
      <w:pPr>
        <w:pageBreakBefore w:val="0"/>
        <w:numPr>
          <w:ilvl w:val="0"/>
          <w:numId w:val="9"/>
        </w:numPr>
        <w:tabs>
          <w:tab w:val="left" w:pos="5580"/>
        </w:tabs>
        <w:kinsoku/>
        <w:wordWrap/>
        <w:overflowPunct/>
        <w:topLinePunct w:val="0"/>
        <w:bidi w:val="0"/>
        <w:spacing w:line="560" w:lineRule="exact"/>
        <w:ind w:left="840" w:leftChars="0" w:firstLine="0" w:firstLineChars="0"/>
        <w:textAlignment w:val="auto"/>
        <w:rPr>
          <w:rFonts w:hint="eastAsia" w:ascii="宋体" w:hAnsi="宋体"/>
          <w:color w:val="auto"/>
          <w:sz w:val="24"/>
          <w:szCs w:val="20"/>
          <w:highlight w:val="none"/>
        </w:rPr>
      </w:pPr>
      <w:r>
        <w:rPr>
          <w:rFonts w:hint="eastAsia" w:ascii="宋体" w:hAnsi="宋体"/>
          <w:color w:val="auto"/>
          <w:sz w:val="24"/>
          <w:szCs w:val="20"/>
          <w:highlight w:val="none"/>
        </w:rPr>
        <w:t>如果是联合体</w:t>
      </w:r>
      <w:r>
        <w:rPr>
          <w:rFonts w:hint="eastAsia" w:ascii="宋体" w:hAnsi="宋体"/>
          <w:color w:val="auto"/>
          <w:sz w:val="24"/>
          <w:szCs w:val="20"/>
          <w:highlight w:val="none"/>
          <w:lang w:eastAsia="zh-CN"/>
        </w:rPr>
        <w:t>响应</w:t>
      </w:r>
      <w:r>
        <w:rPr>
          <w:rFonts w:hint="eastAsia" w:ascii="宋体" w:hAnsi="宋体"/>
          <w:color w:val="auto"/>
          <w:sz w:val="24"/>
          <w:szCs w:val="20"/>
          <w:highlight w:val="none"/>
        </w:rPr>
        <w:t>，联合体各方需提供的满足</w:t>
      </w:r>
      <w:r>
        <w:rPr>
          <w:rFonts w:hint="eastAsia" w:ascii="宋体" w:hAnsi="宋体"/>
          <w:color w:val="auto"/>
          <w:sz w:val="24"/>
          <w:szCs w:val="20"/>
          <w:highlight w:val="none"/>
          <w:lang w:eastAsia="zh-CN"/>
        </w:rPr>
        <w:t>采购文件</w:t>
      </w:r>
      <w:r>
        <w:rPr>
          <w:rFonts w:hint="eastAsia" w:ascii="宋体" w:hAnsi="宋体"/>
          <w:color w:val="auto"/>
          <w:sz w:val="24"/>
          <w:szCs w:val="20"/>
          <w:highlight w:val="none"/>
        </w:rPr>
        <w:t>要求的其他资格证明文件。</w:t>
      </w:r>
      <w:bookmarkEnd w:id="197"/>
      <w:bookmarkStart w:id="203" w:name="_Toc46235138"/>
      <w:bookmarkStart w:id="204" w:name="_Toc14944"/>
    </w:p>
    <w:p>
      <w:pPr>
        <w:pageBreakBefore w:val="0"/>
        <w:numPr>
          <w:ilvl w:val="0"/>
          <w:numId w:val="0"/>
        </w:numPr>
        <w:tabs>
          <w:tab w:val="left" w:pos="5580"/>
        </w:tabs>
        <w:kinsoku/>
        <w:wordWrap/>
        <w:overflowPunct/>
        <w:topLinePunct w:val="0"/>
        <w:bidi w:val="0"/>
        <w:spacing w:line="560" w:lineRule="exact"/>
        <w:textAlignment w:val="auto"/>
        <w:rPr>
          <w:rFonts w:hint="eastAsia" w:ascii="宋体" w:hAnsi="宋体" w:eastAsia="宋体" w:cs="Times New Roman"/>
          <w:b/>
          <w:color w:val="auto"/>
          <w:kern w:val="0"/>
          <w:sz w:val="24"/>
          <w:szCs w:val="20"/>
          <w:highlight w:val="none"/>
          <w:u w:val="none"/>
          <w:lang w:val="en-US" w:eastAsia="zh-CN" w:bidi="ar-SA"/>
        </w:rPr>
      </w:pPr>
    </w:p>
    <w:p>
      <w:pPr>
        <w:pageBreakBefore w:val="0"/>
        <w:numPr>
          <w:ilvl w:val="0"/>
          <w:numId w:val="0"/>
        </w:numPr>
        <w:tabs>
          <w:tab w:val="left" w:pos="5580"/>
        </w:tabs>
        <w:kinsoku/>
        <w:wordWrap/>
        <w:overflowPunct/>
        <w:topLinePunct w:val="0"/>
        <w:bidi w:val="0"/>
        <w:spacing w:line="560" w:lineRule="exact"/>
        <w:textAlignment w:val="auto"/>
        <w:rPr>
          <w:rFonts w:hint="eastAsia" w:ascii="宋体" w:hAnsi="宋体" w:eastAsia="宋体" w:cs="Times New Roman"/>
          <w:b/>
          <w:color w:val="auto"/>
          <w:kern w:val="0"/>
          <w:sz w:val="24"/>
          <w:szCs w:val="20"/>
          <w:highlight w:val="none"/>
          <w:u w:val="none"/>
          <w:lang w:val="en-US" w:eastAsia="zh-CN" w:bidi="ar-SA"/>
        </w:rPr>
      </w:pPr>
    </w:p>
    <w:bookmarkEnd w:id="203"/>
    <w:bookmarkEnd w:id="204"/>
    <w:p>
      <w:pPr>
        <w:pStyle w:val="5"/>
        <w:pageBreakBefore w:val="0"/>
        <w:kinsoku/>
        <w:wordWrap/>
        <w:overflowPunct/>
        <w:topLinePunct w:val="0"/>
        <w:bidi w:val="0"/>
        <w:spacing w:line="560" w:lineRule="exact"/>
        <w:jc w:val="left"/>
        <w:textAlignment w:val="auto"/>
        <w:outlineLvl w:val="9"/>
        <w:rPr>
          <w:rFonts w:hint="eastAsia" w:ascii="宋体" w:hAnsi="宋体"/>
          <w:color w:val="auto"/>
          <w:highlight w:val="none"/>
          <w:lang w:eastAsia="zh-CN"/>
        </w:rPr>
      </w:pPr>
      <w:bookmarkStart w:id="205" w:name="_Toc30499"/>
      <w:bookmarkStart w:id="206" w:name="_Toc46136862"/>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ageBreakBefore w:val="0"/>
        <w:kinsoku/>
        <w:wordWrap/>
        <w:overflowPunct/>
        <w:topLinePunct w:val="0"/>
        <w:bidi w:val="0"/>
        <w:spacing w:line="560" w:lineRule="exact"/>
        <w:textAlignment w:val="auto"/>
        <w:rPr>
          <w:rFonts w:hint="eastAsia" w:ascii="宋体" w:hAnsi="宋体"/>
          <w:color w:val="auto"/>
          <w:highlight w:val="none"/>
          <w:lang w:eastAsia="zh-CN"/>
        </w:rPr>
      </w:pPr>
    </w:p>
    <w:p>
      <w:pPr>
        <w:pStyle w:val="5"/>
        <w:pageBreakBefore w:val="0"/>
        <w:kinsoku/>
        <w:wordWrap/>
        <w:overflowPunct/>
        <w:topLinePunct w:val="0"/>
        <w:bidi w:val="0"/>
        <w:spacing w:line="560" w:lineRule="exact"/>
        <w:textAlignment w:val="auto"/>
        <w:outlineLvl w:val="1"/>
        <w:rPr>
          <w:rFonts w:hint="eastAsia" w:ascii="宋体" w:hAnsi="宋体"/>
          <w:color w:val="auto"/>
          <w:sz w:val="24"/>
          <w:highlight w:val="none"/>
        </w:rPr>
      </w:pPr>
      <w:bookmarkStart w:id="207" w:name="_Toc10182"/>
      <w:bookmarkStart w:id="208" w:name="_Toc29480"/>
      <w:r>
        <w:rPr>
          <w:rFonts w:hint="eastAsia" w:ascii="宋体" w:hAnsi="宋体"/>
          <w:color w:val="auto"/>
          <w:highlight w:val="none"/>
          <w:lang w:eastAsia="zh-CN"/>
        </w:rPr>
        <w:t>四</w:t>
      </w:r>
      <w:r>
        <w:rPr>
          <w:rFonts w:hint="eastAsia" w:ascii="宋体" w:hAnsi="宋体"/>
          <w:color w:val="auto"/>
          <w:highlight w:val="none"/>
        </w:rPr>
        <w:t>、商务及技术文件</w:t>
      </w:r>
      <w:bookmarkEnd w:id="205"/>
      <w:bookmarkEnd w:id="206"/>
      <w:bookmarkEnd w:id="207"/>
      <w:bookmarkEnd w:id="208"/>
    </w:p>
    <w:p>
      <w:pPr>
        <w:pStyle w:val="6"/>
        <w:pageBreakBefore w:val="0"/>
        <w:kinsoku/>
        <w:wordWrap/>
        <w:overflowPunct/>
        <w:topLinePunct w:val="0"/>
        <w:bidi w:val="0"/>
        <w:spacing w:line="560" w:lineRule="exact"/>
        <w:jc w:val="center"/>
        <w:textAlignment w:val="auto"/>
        <w:outlineLvl w:val="2"/>
        <w:rPr>
          <w:rFonts w:hint="eastAsia" w:hAnsi="宋体"/>
          <w:color w:val="auto"/>
          <w:highlight w:val="none"/>
          <w:lang w:eastAsia="zh-CN"/>
        </w:rPr>
      </w:pPr>
      <w:bookmarkStart w:id="209" w:name="_Hlt520355504"/>
      <w:bookmarkEnd w:id="209"/>
      <w:bookmarkStart w:id="210" w:name="_Toc46136863"/>
      <w:bookmarkStart w:id="211" w:name="_Toc518923116"/>
      <w:bookmarkStart w:id="212" w:name="_Toc30832"/>
      <w:bookmarkStart w:id="213" w:name="_Toc3761"/>
      <w:bookmarkStart w:id="214" w:name="_Toc5626"/>
      <w:r>
        <w:rPr>
          <w:rFonts w:hint="eastAsia" w:hAnsi="宋体"/>
          <w:color w:val="auto"/>
          <w:highlight w:val="none"/>
          <w:u w:val="none"/>
          <w:lang w:val="en-US" w:eastAsia="zh-CN"/>
        </w:rPr>
        <w:t>1</w:t>
      </w:r>
      <w:r>
        <w:rPr>
          <w:rFonts w:hint="eastAsia" w:hAnsi="宋体"/>
          <w:color w:val="auto"/>
          <w:highlight w:val="none"/>
          <w:u w:val="none"/>
        </w:rPr>
        <w:t>.</w:t>
      </w:r>
      <w:bookmarkEnd w:id="210"/>
      <w:bookmarkEnd w:id="211"/>
      <w:r>
        <w:rPr>
          <w:rFonts w:hint="eastAsia" w:hAnsi="宋体"/>
          <w:color w:val="auto"/>
          <w:highlight w:val="none"/>
          <w:u w:val="none"/>
          <w:lang w:val="en-US" w:eastAsia="zh-CN"/>
        </w:rPr>
        <w:t>响应</w:t>
      </w:r>
      <w:r>
        <w:rPr>
          <w:rFonts w:hint="eastAsia" w:hAnsi="宋体"/>
          <w:color w:val="auto"/>
          <w:highlight w:val="none"/>
          <w:u w:val="none"/>
          <w:lang w:eastAsia="zh-CN"/>
        </w:rPr>
        <w:t>函</w:t>
      </w:r>
      <w:bookmarkEnd w:id="212"/>
      <w:bookmarkEnd w:id="213"/>
      <w:bookmarkEnd w:id="214"/>
    </w:p>
    <w:p>
      <w:pPr>
        <w:pageBreakBefore w:val="0"/>
        <w:tabs>
          <w:tab w:val="left" w:pos="5580"/>
        </w:tabs>
        <w:kinsoku/>
        <w:wordWrap/>
        <w:overflowPunct/>
        <w:topLinePunct w:val="0"/>
        <w:bidi w:val="0"/>
        <w:spacing w:line="560" w:lineRule="exact"/>
        <w:ind w:left="1080" w:hanging="1080"/>
        <w:textAlignment w:val="auto"/>
        <w:rPr>
          <w:rFonts w:hint="default" w:ascii="宋体" w:hAnsi="宋体" w:eastAsia="宋体"/>
          <w:color w:val="auto"/>
          <w:sz w:val="24"/>
          <w:highlight w:val="none"/>
          <w:u w:val="single"/>
          <w:lang w:val="en-US" w:eastAsia="zh-CN"/>
        </w:rPr>
      </w:pPr>
      <w:r>
        <w:rPr>
          <w:rFonts w:hint="eastAsia" w:ascii="宋体" w:hAnsi="宋体"/>
          <w:color w:val="auto"/>
          <w:sz w:val="24"/>
          <w:highlight w:val="none"/>
        </w:rPr>
        <w:t>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（采购人）</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p>
    <w:p>
      <w:pPr>
        <w:pStyle w:val="11"/>
        <w:pageBreakBefore w:val="0"/>
        <w:tabs>
          <w:tab w:val="left" w:pos="5580"/>
        </w:tabs>
        <w:kinsoku/>
        <w:wordWrap/>
        <w:overflowPunct/>
        <w:topLinePunct w:val="0"/>
        <w:bidi w:val="0"/>
        <w:spacing w:line="560" w:lineRule="exact"/>
        <w:ind w:left="2" w:leftChars="1" w:firstLine="480" w:firstLineChars="200"/>
        <w:textAlignment w:val="auto"/>
        <w:rPr>
          <w:rFonts w:hint="eastAsia" w:hAnsi="宋体" w:eastAsia="宋体"/>
          <w:b/>
          <w:color w:val="auto"/>
          <w:sz w:val="24"/>
          <w:highlight w:val="none"/>
          <w:lang w:eastAsia="zh-CN"/>
        </w:rPr>
      </w:pPr>
      <w:r>
        <w:rPr>
          <w:rFonts w:hint="eastAsia" w:hAnsi="宋体"/>
          <w:color w:val="auto"/>
          <w:sz w:val="24"/>
          <w:highlight w:val="none"/>
          <w:u w:val="single"/>
        </w:rPr>
        <w:t> （</w:t>
      </w:r>
      <w:r>
        <w:rPr>
          <w:rFonts w:hint="eastAsia" w:hAnsi="宋体"/>
          <w:color w:val="auto"/>
          <w:sz w:val="24"/>
          <w:highlight w:val="none"/>
          <w:u w:val="single"/>
          <w:lang w:val="en-US" w:eastAsia="zh-CN"/>
        </w:rPr>
        <w:t>供应商</w:t>
      </w:r>
      <w:r>
        <w:rPr>
          <w:rFonts w:hint="eastAsia" w:hAnsi="宋体"/>
          <w:color w:val="auto"/>
          <w:sz w:val="24"/>
          <w:highlight w:val="none"/>
          <w:u w:val="single"/>
        </w:rPr>
        <w:t>全称）</w:t>
      </w:r>
      <w:r>
        <w:rPr>
          <w:rFonts w:hint="eastAsia" w:hAnsi="宋体"/>
          <w:color w:val="auto"/>
          <w:sz w:val="24"/>
          <w:highlight w:val="none"/>
        </w:rPr>
        <w:t>法定代表人</w:t>
      </w:r>
      <w:r>
        <w:rPr>
          <w:rFonts w:hint="eastAsia" w:hAnsi="宋体"/>
          <w:color w:val="auto"/>
          <w:sz w:val="24"/>
          <w:highlight w:val="none"/>
          <w:u w:val="single"/>
        </w:rPr>
        <w:t xml:space="preserve">       </w:t>
      </w:r>
      <w:r>
        <w:rPr>
          <w:rFonts w:hint="eastAsia" w:hAnsi="宋体"/>
          <w:color w:val="auto"/>
          <w:sz w:val="24"/>
          <w:highlight w:val="none"/>
        </w:rPr>
        <w:t>授权</w:t>
      </w:r>
      <w:r>
        <w:rPr>
          <w:rFonts w:hint="eastAsia" w:hAnsi="宋体"/>
          <w:color w:val="auto"/>
          <w:sz w:val="24"/>
          <w:highlight w:val="none"/>
          <w:u w:val="single"/>
        </w:rPr>
        <w:t xml:space="preserve">       </w:t>
      </w:r>
      <w:r>
        <w:rPr>
          <w:rFonts w:hint="eastAsia" w:hAnsi="宋体"/>
          <w:color w:val="auto"/>
          <w:sz w:val="24"/>
          <w:highlight w:val="none"/>
        </w:rPr>
        <w:t>（被授权代表人姓名）全权参加贵方组织的</w:t>
      </w:r>
      <w:r>
        <w:rPr>
          <w:rFonts w:hint="eastAsia" w:hAnsi="宋体"/>
          <w:color w:val="auto"/>
          <w:sz w:val="24"/>
          <w:highlight w:val="none"/>
          <w:u w:val="single"/>
        </w:rPr>
        <w:t xml:space="preserve">             </w:t>
      </w:r>
      <w:r>
        <w:rPr>
          <w:rFonts w:hint="eastAsia" w:hAnsi="宋体"/>
          <w:color w:val="auto"/>
          <w:sz w:val="24"/>
          <w:highlight w:val="none"/>
        </w:rPr>
        <w:t>（</w:t>
      </w:r>
      <w:r>
        <w:rPr>
          <w:rFonts w:hint="eastAsia" w:hAnsi="宋体"/>
          <w:color w:val="auto"/>
          <w:sz w:val="24"/>
          <w:highlight w:val="none"/>
          <w:lang w:eastAsia="zh-CN"/>
        </w:rPr>
        <w:t>采购</w:t>
      </w:r>
      <w:r>
        <w:rPr>
          <w:rFonts w:hint="eastAsia" w:hAnsi="宋体"/>
          <w:color w:val="auto"/>
          <w:sz w:val="24"/>
          <w:highlight w:val="none"/>
        </w:rPr>
        <w:t>项目编号、项目名称）</w:t>
      </w:r>
      <w:r>
        <w:rPr>
          <w:rFonts w:hint="eastAsia" w:hAnsi="宋体"/>
          <w:color w:val="auto"/>
          <w:sz w:val="24"/>
          <w:highlight w:val="none"/>
          <w:lang w:eastAsia="zh-CN"/>
        </w:rPr>
        <w:t>采购</w:t>
      </w:r>
      <w:r>
        <w:rPr>
          <w:rFonts w:hint="eastAsia" w:hAnsi="宋体"/>
          <w:color w:val="auto"/>
          <w:sz w:val="24"/>
          <w:highlight w:val="none"/>
        </w:rPr>
        <w:t>的有关活动，并对</w:t>
      </w:r>
      <w:r>
        <w:rPr>
          <w:rFonts w:hint="eastAsia" w:hAnsi="宋体"/>
          <w:color w:val="auto"/>
          <w:sz w:val="24"/>
          <w:highlight w:val="none"/>
          <w:u w:val="single"/>
        </w:rPr>
        <w:t>       </w:t>
      </w:r>
      <w:r>
        <w:rPr>
          <w:rFonts w:hint="eastAsia" w:hAnsi="宋体"/>
          <w:color w:val="auto"/>
          <w:sz w:val="24"/>
          <w:highlight w:val="none"/>
        </w:rPr>
        <w:t xml:space="preserve"> （</w:t>
      </w:r>
      <w:r>
        <w:rPr>
          <w:rFonts w:hint="eastAsia" w:hAnsi="宋体"/>
          <w:color w:val="auto"/>
          <w:sz w:val="24"/>
          <w:highlight w:val="none"/>
          <w:lang w:eastAsia="zh-CN"/>
        </w:rPr>
        <w:t>采购</w:t>
      </w:r>
      <w:r>
        <w:rPr>
          <w:rFonts w:hint="eastAsia" w:hAnsi="宋体"/>
          <w:color w:val="auto"/>
          <w:sz w:val="24"/>
          <w:highlight w:val="none"/>
        </w:rPr>
        <w:t>项目名称）进行</w:t>
      </w:r>
      <w:r>
        <w:rPr>
          <w:rFonts w:hint="eastAsia" w:hAnsi="宋体"/>
          <w:color w:val="auto"/>
          <w:sz w:val="24"/>
          <w:highlight w:val="none"/>
          <w:lang w:val="en-US" w:eastAsia="zh-CN"/>
        </w:rPr>
        <w:t>响应</w:t>
      </w:r>
      <w:r>
        <w:rPr>
          <w:rFonts w:hint="eastAsia" w:hAnsi="宋体"/>
          <w:b w:val="0"/>
          <w:bCs w:val="0"/>
          <w:color w:val="auto"/>
          <w:sz w:val="24"/>
          <w:highlight w:val="none"/>
          <w:lang w:eastAsia="zh-CN"/>
        </w:rPr>
        <w:t>，</w:t>
      </w:r>
      <w:r>
        <w:rPr>
          <w:rFonts w:hint="eastAsia" w:hAnsi="宋体"/>
          <w:b w:val="0"/>
          <w:bCs w:val="0"/>
          <w:color w:val="auto"/>
          <w:sz w:val="24"/>
          <w:highlight w:val="none"/>
        </w:rPr>
        <w:t>提交加密电子</w:t>
      </w:r>
      <w:r>
        <w:rPr>
          <w:rFonts w:hint="eastAsia" w:hAnsi="宋体"/>
          <w:b w:val="0"/>
          <w:bCs w:val="0"/>
          <w:color w:val="auto"/>
          <w:sz w:val="24"/>
          <w:highlight w:val="none"/>
          <w:lang w:val="en-US" w:eastAsia="zh-CN"/>
        </w:rPr>
        <w:t>响应</w:t>
      </w:r>
      <w:r>
        <w:rPr>
          <w:rFonts w:hint="eastAsia" w:hAnsi="宋体"/>
          <w:b w:val="0"/>
          <w:bCs w:val="0"/>
          <w:color w:val="auto"/>
          <w:sz w:val="24"/>
          <w:highlight w:val="none"/>
        </w:rPr>
        <w:t>文件</w:t>
      </w:r>
      <w:r>
        <w:rPr>
          <w:rFonts w:hAnsi="宋体"/>
          <w:b w:val="0"/>
          <w:bCs w:val="0"/>
          <w:color w:val="auto"/>
          <w:sz w:val="24"/>
          <w:highlight w:val="none"/>
          <w:u w:val="single"/>
        </w:rPr>
        <w:t xml:space="preserve"> </w:t>
      </w:r>
      <w:r>
        <w:rPr>
          <w:rFonts w:hint="eastAsia" w:hAnsi="宋体"/>
          <w:b w:val="0"/>
          <w:bCs w:val="0"/>
          <w:color w:val="auto"/>
          <w:sz w:val="24"/>
          <w:highlight w:val="none"/>
          <w:u w:val="single"/>
          <w:lang w:val="en-US" w:eastAsia="zh-CN"/>
        </w:rPr>
        <w:t xml:space="preserve"> </w:t>
      </w:r>
      <w:r>
        <w:rPr>
          <w:rFonts w:hAnsi="宋体"/>
          <w:b w:val="0"/>
          <w:bCs w:val="0"/>
          <w:color w:val="auto"/>
          <w:sz w:val="24"/>
          <w:highlight w:val="none"/>
          <w:u w:val="single"/>
        </w:rPr>
        <w:t xml:space="preserve"> </w:t>
      </w:r>
      <w:r>
        <w:rPr>
          <w:rFonts w:hint="eastAsia" w:hAnsi="宋体"/>
          <w:b w:val="0"/>
          <w:bCs w:val="0"/>
          <w:color w:val="auto"/>
          <w:sz w:val="24"/>
          <w:highlight w:val="none"/>
        </w:rPr>
        <w:t>份</w:t>
      </w:r>
      <w:r>
        <w:rPr>
          <w:rFonts w:hint="eastAsia" w:hAnsi="宋体"/>
          <w:b w:val="0"/>
          <w:bCs w:val="0"/>
          <w:color w:val="auto"/>
          <w:sz w:val="24"/>
          <w:highlight w:val="none"/>
          <w:lang w:eastAsia="zh-CN"/>
        </w:rPr>
        <w:t>。</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据此，签字代表宣布同意如下：</w:t>
      </w:r>
    </w:p>
    <w:p>
      <w:pPr>
        <w:pStyle w:val="11"/>
        <w:keepNext w:val="0"/>
        <w:keepLines w:val="0"/>
        <w:pageBreakBefore w:val="0"/>
        <w:tabs>
          <w:tab w:val="left" w:pos="720"/>
          <w:tab w:val="left" w:pos="900"/>
        </w:tabs>
        <w:kinsoku/>
        <w:wordWrap/>
        <w:overflowPunct/>
        <w:topLinePunct w:val="0"/>
        <w:autoSpaceDE/>
        <w:autoSpaceDN/>
        <w:bidi w:val="0"/>
        <w:adjustRightInd/>
        <w:snapToGrid/>
        <w:spacing w:line="560" w:lineRule="exact"/>
        <w:ind w:left="0" w:leftChars="0" w:firstLine="480" w:firstLineChars="200"/>
        <w:textAlignment w:val="auto"/>
        <w:rPr>
          <w:rFonts w:hint="eastAsia" w:hAnsi="宋体"/>
          <w:color w:val="auto"/>
          <w:sz w:val="24"/>
          <w:highlight w:val="none"/>
          <w:u w:val="single"/>
        </w:rPr>
      </w:pPr>
      <w:r>
        <w:rPr>
          <w:rFonts w:hint="eastAsia" w:hAnsi="宋体"/>
          <w:color w:val="auto"/>
          <w:sz w:val="24"/>
          <w:highlight w:val="none"/>
        </w:rPr>
        <w:t>（1）</w:t>
      </w:r>
      <w:r>
        <w:rPr>
          <w:rFonts w:hint="eastAsia" w:hAnsi="宋体"/>
          <w:color w:val="auto"/>
          <w:sz w:val="24"/>
          <w:highlight w:val="none"/>
          <w:lang w:val="en-US" w:eastAsia="zh-CN"/>
        </w:rPr>
        <w:t>报价</w:t>
      </w:r>
      <w:r>
        <w:rPr>
          <w:rFonts w:hint="eastAsia" w:hAnsi="宋体"/>
          <w:color w:val="auto"/>
          <w:sz w:val="24"/>
          <w:highlight w:val="none"/>
        </w:rPr>
        <w:t>详见</w:t>
      </w:r>
      <w:r>
        <w:rPr>
          <w:rFonts w:hint="eastAsia" w:hAnsi="宋体"/>
          <w:color w:val="auto"/>
          <w:sz w:val="24"/>
          <w:highlight w:val="none"/>
          <w:lang w:eastAsia="zh-CN"/>
        </w:rPr>
        <w:t>报价一览表</w:t>
      </w:r>
      <w:r>
        <w:rPr>
          <w:rFonts w:hAnsi="宋体"/>
          <w:color w:val="auto"/>
          <w:sz w:val="24"/>
          <w:highlight w:val="none"/>
        </w:rPr>
        <w:t>，</w:t>
      </w:r>
      <w:r>
        <w:rPr>
          <w:rFonts w:hint="eastAsia" w:hAnsi="宋体"/>
          <w:color w:val="auto"/>
          <w:sz w:val="24"/>
          <w:highlight w:val="none"/>
          <w:u w:val="single"/>
        </w:rPr>
        <w:t>其中由</w:t>
      </w:r>
      <w:r>
        <w:rPr>
          <w:rFonts w:hAnsi="宋体"/>
          <w:color w:val="auto"/>
          <w:sz w:val="24"/>
          <w:highlight w:val="none"/>
          <w:u w:val="single"/>
        </w:rPr>
        <w:t>小型和</w:t>
      </w:r>
      <w:r>
        <w:rPr>
          <w:rFonts w:hAnsi="宋体"/>
          <w:color w:val="auto"/>
          <w:sz w:val="24"/>
          <w:highlight w:val="none"/>
        </w:rPr>
        <w:t>微型企业</w:t>
      </w:r>
      <w:r>
        <w:rPr>
          <w:rFonts w:hint="eastAsia" w:hAnsi="宋体"/>
          <w:color w:val="auto"/>
          <w:sz w:val="24"/>
          <w:highlight w:val="none"/>
        </w:rPr>
        <w:t>制造</w:t>
      </w:r>
      <w:r>
        <w:rPr>
          <w:rFonts w:hAnsi="宋体"/>
          <w:color w:val="auto"/>
          <w:sz w:val="24"/>
          <w:highlight w:val="none"/>
        </w:rPr>
        <w:t>产品的价格</w:t>
      </w:r>
      <w:r>
        <w:rPr>
          <w:rFonts w:hint="eastAsia" w:hAnsi="宋体"/>
          <w:color w:val="auto"/>
          <w:sz w:val="24"/>
          <w:highlight w:val="none"/>
        </w:rPr>
        <w:t>为</w:t>
      </w:r>
      <w:r>
        <w:rPr>
          <w:rFonts w:hint="eastAsia" w:hAnsi="宋体"/>
          <w:color w:val="auto"/>
          <w:sz w:val="24"/>
          <w:highlight w:val="none"/>
          <w:u w:val="single"/>
        </w:rPr>
        <w:t>　　  （用文字和数字表示），占</w:t>
      </w:r>
      <w:r>
        <w:rPr>
          <w:rFonts w:hint="eastAsia" w:hAnsi="宋体"/>
          <w:color w:val="auto"/>
          <w:sz w:val="24"/>
          <w:highlight w:val="none"/>
          <w:u w:val="single"/>
          <w:lang w:val="en-US" w:eastAsia="zh-CN"/>
        </w:rPr>
        <w:t>报价</w:t>
      </w:r>
      <w:r>
        <w:rPr>
          <w:rFonts w:hint="eastAsia" w:hAnsi="宋体"/>
          <w:color w:val="auto"/>
          <w:sz w:val="24"/>
          <w:highlight w:val="none"/>
          <w:u w:val="single"/>
        </w:rPr>
        <w:t xml:space="preserve">   %</w:t>
      </w:r>
      <w:r>
        <w:rPr>
          <w:rFonts w:hint="eastAsia" w:hAnsi="宋体"/>
          <w:color w:val="auto"/>
          <w:sz w:val="24"/>
          <w:highlight w:val="none"/>
        </w:rPr>
        <w:t>。</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（2）本</w:t>
      </w:r>
      <w:r>
        <w:rPr>
          <w:rFonts w:hint="eastAsia" w:ascii="宋体" w:hAnsi="宋体"/>
          <w:color w:val="auto"/>
          <w:sz w:val="24"/>
          <w:szCs w:val="20"/>
          <w:highlight w:val="none"/>
          <w:lang w:val="en-US" w:eastAsia="zh-CN"/>
        </w:rPr>
        <w:t>响应</w:t>
      </w:r>
      <w:r>
        <w:rPr>
          <w:rFonts w:hint="eastAsia" w:ascii="宋体" w:hAnsi="宋体"/>
          <w:color w:val="auto"/>
          <w:sz w:val="24"/>
          <w:szCs w:val="20"/>
          <w:highlight w:val="none"/>
        </w:rPr>
        <w:t>有效期为自</w:t>
      </w:r>
      <w:r>
        <w:rPr>
          <w:rFonts w:hint="eastAsia" w:ascii="宋体" w:hAnsi="宋体"/>
          <w:color w:val="auto"/>
          <w:sz w:val="24"/>
          <w:szCs w:val="20"/>
          <w:highlight w:val="none"/>
          <w:lang w:val="en-US" w:eastAsia="zh-CN"/>
        </w:rPr>
        <w:t>响应</w:t>
      </w:r>
      <w:r>
        <w:rPr>
          <w:rFonts w:hint="eastAsia" w:ascii="宋体" w:hAnsi="宋体"/>
          <w:color w:val="auto"/>
          <w:sz w:val="24"/>
          <w:szCs w:val="20"/>
          <w:highlight w:val="none"/>
        </w:rPr>
        <w:t>截止之日起</w:t>
      </w:r>
      <w:r>
        <w:rPr>
          <w:rFonts w:hint="eastAsia" w:ascii="宋体" w:hAnsi="宋体"/>
          <w:color w:val="auto"/>
          <w:sz w:val="24"/>
          <w:szCs w:val="20"/>
          <w:highlight w:val="none"/>
          <w:u w:val="single"/>
          <w:lang w:val="en-US" w:eastAsia="zh-CN"/>
        </w:rPr>
        <w:t xml:space="preserve">    </w:t>
      </w:r>
      <w:r>
        <w:rPr>
          <w:rFonts w:hint="eastAsia" w:ascii="宋体" w:hAnsi="宋体"/>
          <w:color w:val="auto"/>
          <w:sz w:val="24"/>
          <w:szCs w:val="20"/>
          <w:highlight w:val="none"/>
        </w:rPr>
        <w:t>个日历日。</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rPr>
        <w:t>）已详细审查全部</w:t>
      </w:r>
      <w:r>
        <w:rPr>
          <w:rFonts w:hint="eastAsia" w:ascii="宋体" w:hAnsi="宋体"/>
          <w:color w:val="auto"/>
          <w:sz w:val="24"/>
          <w:szCs w:val="20"/>
          <w:highlight w:val="none"/>
          <w:lang w:val="en-US" w:eastAsia="zh-CN"/>
        </w:rPr>
        <w:t>采购</w:t>
      </w:r>
      <w:r>
        <w:rPr>
          <w:rFonts w:hint="eastAsia" w:ascii="宋体" w:hAnsi="宋体"/>
          <w:color w:val="auto"/>
          <w:sz w:val="24"/>
          <w:szCs w:val="20"/>
          <w:highlight w:val="none"/>
        </w:rPr>
        <w:t>文件，包括所有补充通知（如果有的话），完全理解并同意放弃对这方面有不明、误解和质疑的权力。</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u w:val="single"/>
        </w:rPr>
      </w:pP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4</w:t>
      </w:r>
      <w:r>
        <w:rPr>
          <w:rFonts w:hint="eastAsia" w:ascii="宋体" w:hAnsi="宋体"/>
          <w:color w:val="auto"/>
          <w:sz w:val="24"/>
          <w:szCs w:val="20"/>
          <w:highlight w:val="none"/>
        </w:rPr>
        <w:t>）</w:t>
      </w:r>
      <w:r>
        <w:rPr>
          <w:rFonts w:ascii="宋体" w:hAnsi="宋体"/>
          <w:color w:val="auto"/>
          <w:sz w:val="24"/>
          <w:szCs w:val="20"/>
          <w:highlight w:val="none"/>
        </w:rPr>
        <w:t>联合体</w:t>
      </w:r>
      <w:r>
        <w:rPr>
          <w:rFonts w:hint="eastAsia" w:ascii="宋体" w:hAnsi="宋体"/>
          <w:color w:val="auto"/>
          <w:sz w:val="24"/>
          <w:szCs w:val="20"/>
          <w:highlight w:val="none"/>
        </w:rPr>
        <w:t>中</w:t>
      </w:r>
      <w:r>
        <w:rPr>
          <w:rFonts w:ascii="宋体" w:hAnsi="宋体"/>
          <w:color w:val="auto"/>
          <w:sz w:val="24"/>
          <w:szCs w:val="20"/>
          <w:highlight w:val="none"/>
        </w:rPr>
        <w:t>的大中型企业和其他自然人、法人或者</w:t>
      </w:r>
      <w:r>
        <w:rPr>
          <w:rFonts w:hint="eastAsia" w:ascii="宋体" w:hAnsi="宋体"/>
          <w:color w:val="auto"/>
          <w:sz w:val="24"/>
          <w:szCs w:val="20"/>
          <w:highlight w:val="none"/>
        </w:rPr>
        <w:t>其他组织</w:t>
      </w:r>
      <w:r>
        <w:rPr>
          <w:rFonts w:ascii="宋体" w:hAnsi="宋体"/>
          <w:color w:val="auto"/>
          <w:sz w:val="24"/>
          <w:szCs w:val="20"/>
          <w:highlight w:val="none"/>
        </w:rPr>
        <w:t>，与</w:t>
      </w:r>
      <w:r>
        <w:rPr>
          <w:rFonts w:hint="eastAsia" w:ascii="宋体" w:hAnsi="宋体"/>
          <w:color w:val="auto"/>
          <w:sz w:val="24"/>
          <w:szCs w:val="20"/>
          <w:highlight w:val="none"/>
        </w:rPr>
        <w:t>联合体中的</w:t>
      </w:r>
      <w:r>
        <w:rPr>
          <w:rFonts w:ascii="宋体" w:hAnsi="宋体"/>
          <w:color w:val="auto"/>
          <w:sz w:val="24"/>
          <w:szCs w:val="20"/>
          <w:highlight w:val="none"/>
        </w:rPr>
        <w:t>小型、微型企业之间</w:t>
      </w:r>
      <w:r>
        <w:rPr>
          <w:rFonts w:hint="eastAsia" w:ascii="宋体" w:hAnsi="宋体"/>
          <w:color w:val="auto"/>
          <w:sz w:val="24"/>
          <w:szCs w:val="20"/>
          <w:highlight w:val="none"/>
          <w:u w:val="single"/>
        </w:rPr>
        <w:t xml:space="preserve">     （</w:t>
      </w:r>
      <w:r>
        <w:rPr>
          <w:rFonts w:ascii="宋体" w:hAnsi="宋体"/>
          <w:color w:val="auto"/>
          <w:sz w:val="24"/>
          <w:szCs w:val="20"/>
          <w:highlight w:val="none"/>
        </w:rPr>
        <w:t>存在</w:t>
      </w:r>
      <w:r>
        <w:rPr>
          <w:rFonts w:hint="eastAsia" w:ascii="宋体" w:hAnsi="宋体"/>
          <w:color w:val="auto"/>
          <w:sz w:val="24"/>
          <w:szCs w:val="20"/>
          <w:highlight w:val="none"/>
        </w:rPr>
        <w:t>、不存在）</w:t>
      </w:r>
      <w:r>
        <w:rPr>
          <w:rFonts w:ascii="宋体" w:hAnsi="宋体"/>
          <w:color w:val="auto"/>
          <w:sz w:val="24"/>
          <w:szCs w:val="20"/>
          <w:highlight w:val="none"/>
        </w:rPr>
        <w:t>投资关系</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如有</w:t>
      </w:r>
      <w:r>
        <w:rPr>
          <w:rFonts w:hint="eastAsia" w:ascii="宋体" w:hAnsi="宋体"/>
          <w:color w:val="auto"/>
          <w:sz w:val="24"/>
          <w:szCs w:val="20"/>
          <w:highlight w:val="none"/>
        </w:rPr>
        <w:t>）。</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（5）我方不是</w:t>
      </w:r>
      <w:r>
        <w:rPr>
          <w:rFonts w:ascii="宋体" w:hAnsi="宋体"/>
          <w:color w:val="auto"/>
          <w:sz w:val="24"/>
          <w:szCs w:val="20"/>
          <w:highlight w:val="none"/>
        </w:rPr>
        <w:t>为</w:t>
      </w:r>
      <w:r>
        <w:rPr>
          <w:rFonts w:hint="eastAsia" w:ascii="宋体" w:hAnsi="宋体"/>
          <w:color w:val="auto"/>
          <w:sz w:val="24"/>
          <w:szCs w:val="20"/>
          <w:highlight w:val="none"/>
        </w:rPr>
        <w:t>本</w:t>
      </w:r>
      <w:r>
        <w:rPr>
          <w:rFonts w:ascii="宋体" w:hAnsi="宋体"/>
          <w:color w:val="auto"/>
          <w:sz w:val="24"/>
          <w:szCs w:val="20"/>
          <w:highlight w:val="none"/>
        </w:rPr>
        <w:t>项目提供整体</w:t>
      </w:r>
      <w:r>
        <w:rPr>
          <w:rFonts w:hint="eastAsia" w:ascii="宋体" w:hAnsi="宋体"/>
          <w:color w:val="auto"/>
          <w:sz w:val="24"/>
          <w:szCs w:val="20"/>
          <w:highlight w:val="none"/>
        </w:rPr>
        <w:t>设计</w:t>
      </w:r>
      <w:r>
        <w:rPr>
          <w:rFonts w:ascii="宋体" w:hAnsi="宋体"/>
          <w:color w:val="auto"/>
          <w:sz w:val="24"/>
          <w:szCs w:val="20"/>
          <w:highlight w:val="none"/>
        </w:rPr>
        <w:t>、规范编制或者项目管理、监理、检测等服务的</w:t>
      </w:r>
      <w:r>
        <w:rPr>
          <w:rFonts w:hint="eastAsia" w:ascii="宋体" w:hAnsi="宋体"/>
          <w:color w:val="auto"/>
          <w:sz w:val="24"/>
          <w:szCs w:val="20"/>
          <w:highlight w:val="none"/>
        </w:rPr>
        <w:t>供应商，我方不是采购代理机构的附属机构。</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（6）按照贵方可能要求，提供与其</w:t>
      </w:r>
      <w:r>
        <w:rPr>
          <w:rFonts w:hint="eastAsia" w:ascii="宋体" w:hAnsi="宋体"/>
          <w:color w:val="auto"/>
          <w:sz w:val="24"/>
          <w:szCs w:val="20"/>
          <w:highlight w:val="none"/>
          <w:lang w:val="en-US" w:eastAsia="zh-CN"/>
        </w:rPr>
        <w:t>磋商</w:t>
      </w:r>
      <w:r>
        <w:rPr>
          <w:rFonts w:hint="eastAsia" w:ascii="宋体" w:hAnsi="宋体"/>
          <w:color w:val="auto"/>
          <w:sz w:val="24"/>
          <w:szCs w:val="20"/>
          <w:highlight w:val="none"/>
        </w:rPr>
        <w:t>有关的一切数据或资料，完全理解贵方不一定接受最低价的</w:t>
      </w:r>
      <w:r>
        <w:rPr>
          <w:rFonts w:hint="eastAsia" w:ascii="宋体" w:hAnsi="宋体"/>
          <w:color w:val="auto"/>
          <w:sz w:val="24"/>
          <w:szCs w:val="20"/>
          <w:highlight w:val="none"/>
          <w:lang w:val="en-US" w:eastAsia="zh-CN"/>
        </w:rPr>
        <w:t>响应</w:t>
      </w:r>
      <w:r>
        <w:rPr>
          <w:rFonts w:hint="eastAsia" w:ascii="宋体" w:hAnsi="宋体"/>
          <w:color w:val="auto"/>
          <w:sz w:val="24"/>
          <w:szCs w:val="20"/>
          <w:highlight w:val="none"/>
        </w:rPr>
        <w:t>或收到的任何</w:t>
      </w:r>
      <w:r>
        <w:rPr>
          <w:rFonts w:hint="eastAsia" w:ascii="宋体" w:hAnsi="宋体"/>
          <w:color w:val="auto"/>
          <w:sz w:val="24"/>
          <w:szCs w:val="20"/>
          <w:highlight w:val="none"/>
          <w:lang w:val="en-US" w:eastAsia="zh-CN"/>
        </w:rPr>
        <w:t>响应</w:t>
      </w:r>
      <w:r>
        <w:rPr>
          <w:rFonts w:hint="eastAsia" w:ascii="宋体" w:hAnsi="宋体"/>
          <w:color w:val="auto"/>
          <w:sz w:val="24"/>
          <w:szCs w:val="20"/>
          <w:highlight w:val="none"/>
        </w:rPr>
        <w:t>。</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（7）我方保证所报服务附属的货物(如有)，均为原厂正品，否则，由此产生的</w:t>
      </w:r>
      <w:r>
        <w:rPr>
          <w:rFonts w:hint="eastAsia" w:ascii="宋体" w:hAnsi="宋体"/>
          <w:color w:val="auto"/>
          <w:sz w:val="24"/>
          <w:szCs w:val="20"/>
          <w:highlight w:val="none"/>
          <w:lang w:eastAsia="zh-CN"/>
        </w:rPr>
        <w:t>一</w:t>
      </w:r>
      <w:r>
        <w:rPr>
          <w:rFonts w:hint="eastAsia" w:ascii="宋体" w:hAnsi="宋体"/>
          <w:color w:val="auto"/>
          <w:sz w:val="24"/>
          <w:szCs w:val="20"/>
          <w:highlight w:val="none"/>
        </w:rPr>
        <w:t>切法律责任由我方承担。</w:t>
      </w:r>
    </w:p>
    <w:p>
      <w:pPr>
        <w:pStyle w:val="33"/>
        <w:keepNext w:val="0"/>
        <w:keepLines w:val="0"/>
        <w:pageBreakBefore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kern w:val="2"/>
          <w:szCs w:val="20"/>
          <w:highlight w:val="none"/>
        </w:rPr>
      </w:pPr>
      <w:r>
        <w:rPr>
          <w:rFonts w:hint="eastAsia" w:ascii="宋体" w:hAnsi="宋体"/>
          <w:color w:val="auto"/>
          <w:highlight w:val="none"/>
        </w:rPr>
        <w:t>（8）</w:t>
      </w:r>
      <w:r>
        <w:rPr>
          <w:rFonts w:hint="eastAsia" w:ascii="宋体" w:hAnsi="宋体"/>
          <w:color w:val="auto"/>
          <w:kern w:val="2"/>
          <w:szCs w:val="20"/>
          <w:highlight w:val="none"/>
        </w:rPr>
        <w:t>在领取</w:t>
      </w:r>
      <w:r>
        <w:rPr>
          <w:rFonts w:hint="eastAsia" w:ascii="宋体" w:hAnsi="宋体"/>
          <w:color w:val="auto"/>
          <w:kern w:val="2"/>
          <w:szCs w:val="20"/>
          <w:highlight w:val="none"/>
          <w:lang w:val="en-US" w:eastAsia="zh-CN"/>
        </w:rPr>
        <w:t>成交</w:t>
      </w:r>
      <w:r>
        <w:rPr>
          <w:rFonts w:hint="eastAsia" w:ascii="宋体" w:hAnsi="宋体"/>
          <w:color w:val="auto"/>
          <w:kern w:val="2"/>
          <w:szCs w:val="20"/>
          <w:highlight w:val="none"/>
        </w:rPr>
        <w:t>通知书的</w:t>
      </w:r>
      <w:r>
        <w:rPr>
          <w:rFonts w:ascii="宋体" w:hAnsi="宋体"/>
          <w:color w:val="auto"/>
          <w:kern w:val="2"/>
          <w:szCs w:val="20"/>
          <w:highlight w:val="none"/>
        </w:rPr>
        <w:t>同</w:t>
      </w:r>
      <w:r>
        <w:rPr>
          <w:rFonts w:hint="eastAsia" w:ascii="宋体" w:hAnsi="宋体"/>
          <w:color w:val="auto"/>
          <w:kern w:val="2"/>
          <w:szCs w:val="20"/>
          <w:highlight w:val="none"/>
        </w:rPr>
        <w:t>时按</w:t>
      </w:r>
      <w:r>
        <w:rPr>
          <w:rFonts w:hint="eastAsia" w:ascii="宋体" w:hAnsi="宋体"/>
          <w:color w:val="auto"/>
          <w:kern w:val="2"/>
          <w:szCs w:val="20"/>
          <w:highlight w:val="none"/>
          <w:lang w:eastAsia="zh-CN"/>
        </w:rPr>
        <w:t>采购文件</w:t>
      </w:r>
      <w:r>
        <w:rPr>
          <w:rFonts w:hint="eastAsia" w:ascii="宋体" w:hAnsi="宋体"/>
          <w:color w:val="auto"/>
          <w:kern w:val="2"/>
          <w:szCs w:val="20"/>
          <w:highlight w:val="none"/>
        </w:rPr>
        <w:t>规定的</w:t>
      </w:r>
      <w:r>
        <w:rPr>
          <w:rFonts w:ascii="宋体" w:hAnsi="宋体"/>
          <w:color w:val="auto"/>
          <w:kern w:val="2"/>
          <w:szCs w:val="20"/>
          <w:highlight w:val="none"/>
        </w:rPr>
        <w:t>形式</w:t>
      </w:r>
      <w:r>
        <w:rPr>
          <w:rFonts w:hint="eastAsia" w:ascii="宋体" w:hAnsi="宋体"/>
          <w:color w:val="auto"/>
          <w:kern w:val="2"/>
          <w:szCs w:val="20"/>
          <w:highlight w:val="none"/>
        </w:rPr>
        <w:t>，向</w:t>
      </w:r>
      <w:r>
        <w:rPr>
          <w:rFonts w:hint="eastAsia" w:ascii="宋体" w:hAnsi="宋体"/>
          <w:color w:val="auto"/>
          <w:kern w:val="2"/>
          <w:szCs w:val="20"/>
          <w:highlight w:val="none"/>
          <w:lang w:val="en-US" w:eastAsia="zh-CN"/>
        </w:rPr>
        <w:t>采购代理机构</w:t>
      </w:r>
      <w:r>
        <w:rPr>
          <w:rFonts w:hint="eastAsia" w:ascii="宋体" w:hAnsi="宋体"/>
          <w:color w:val="auto"/>
          <w:kern w:val="2"/>
          <w:szCs w:val="20"/>
          <w:highlight w:val="none"/>
        </w:rPr>
        <w:t>一次性支付</w:t>
      </w:r>
      <w:r>
        <w:rPr>
          <w:rFonts w:hint="eastAsia" w:ascii="宋体" w:hAnsi="宋体"/>
          <w:color w:val="auto"/>
          <w:kern w:val="2"/>
          <w:szCs w:val="20"/>
          <w:highlight w:val="none"/>
          <w:lang w:val="en-US" w:eastAsia="zh-CN"/>
        </w:rPr>
        <w:t>成交</w:t>
      </w:r>
      <w:r>
        <w:rPr>
          <w:rFonts w:hint="eastAsia" w:ascii="宋体" w:hAnsi="宋体"/>
          <w:color w:val="auto"/>
          <w:kern w:val="2"/>
          <w:szCs w:val="20"/>
          <w:highlight w:val="none"/>
        </w:rPr>
        <w:t>服务费。</w:t>
      </w:r>
    </w:p>
    <w:p>
      <w:pPr>
        <w:keepNext w:val="0"/>
        <w:keepLines w:val="0"/>
        <w:pageBreakBefore w:val="0"/>
        <w:tabs>
          <w:tab w:val="left" w:pos="5580"/>
        </w:tabs>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（9）按照</w:t>
      </w:r>
      <w:r>
        <w:rPr>
          <w:rFonts w:hint="eastAsia" w:ascii="宋体" w:hAnsi="宋体"/>
          <w:color w:val="auto"/>
          <w:sz w:val="24"/>
          <w:szCs w:val="20"/>
          <w:highlight w:val="none"/>
          <w:lang w:eastAsia="zh-CN"/>
        </w:rPr>
        <w:t>采购文件</w:t>
      </w:r>
      <w:r>
        <w:rPr>
          <w:rFonts w:hint="eastAsia" w:ascii="宋体" w:hAnsi="宋体"/>
          <w:color w:val="auto"/>
          <w:sz w:val="24"/>
          <w:szCs w:val="20"/>
          <w:highlight w:val="none"/>
        </w:rPr>
        <w:t>的规定履行合同责任和义务。</w:t>
      </w:r>
    </w:p>
    <w:p>
      <w:pPr>
        <w:pageBreakBefore w:val="0"/>
        <w:tabs>
          <w:tab w:val="left" w:pos="5580"/>
        </w:tabs>
        <w:kinsoku/>
        <w:wordWrap/>
        <w:overflowPunct/>
        <w:topLinePunct w:val="0"/>
        <w:bidi w:val="0"/>
        <w:spacing w:line="560" w:lineRule="exact"/>
        <w:ind w:left="359" w:leftChars="68" w:hanging="216" w:hangingChars="90"/>
        <w:textAlignment w:val="auto"/>
        <w:rPr>
          <w:rFonts w:hint="eastAsia" w:ascii="宋体" w:hAnsi="宋体"/>
          <w:color w:val="auto"/>
          <w:sz w:val="24"/>
          <w:szCs w:val="20"/>
          <w:highlight w:val="none"/>
        </w:rPr>
      </w:pPr>
      <w:r>
        <w:rPr>
          <w:rFonts w:hint="eastAsia" w:ascii="宋体" w:hAnsi="宋体"/>
          <w:color w:val="auto"/>
          <w:sz w:val="24"/>
          <w:szCs w:val="20"/>
          <w:highlight w:val="none"/>
        </w:rPr>
        <w:t xml:space="preserve">  与本</w:t>
      </w:r>
      <w:r>
        <w:rPr>
          <w:rFonts w:hint="eastAsia" w:ascii="宋体" w:hAnsi="宋体"/>
          <w:color w:val="auto"/>
          <w:sz w:val="24"/>
          <w:szCs w:val="20"/>
          <w:highlight w:val="none"/>
          <w:lang w:eastAsia="zh-CN"/>
        </w:rPr>
        <w:t>响应</w:t>
      </w:r>
      <w:r>
        <w:rPr>
          <w:rFonts w:hint="eastAsia" w:ascii="宋体" w:hAnsi="宋体"/>
          <w:color w:val="auto"/>
          <w:sz w:val="24"/>
          <w:szCs w:val="20"/>
          <w:highlight w:val="none"/>
        </w:rPr>
        <w:t>有关的一切正式往来信函请寄：</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地址：</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     传真：</w:t>
      </w:r>
      <w:r>
        <w:rPr>
          <w:rFonts w:hint="eastAsia" w:ascii="宋体" w:hAnsi="宋体"/>
          <w:color w:val="auto"/>
          <w:sz w:val="24"/>
          <w:szCs w:val="20"/>
          <w:highlight w:val="none"/>
          <w:u w:val="single"/>
        </w:rPr>
        <w:t xml:space="preserve">                             </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b/>
          <w:color w:val="auto"/>
          <w:sz w:val="24"/>
          <w:szCs w:val="20"/>
          <w:highlight w:val="none"/>
        </w:rPr>
      </w:pPr>
      <w:r>
        <w:rPr>
          <w:rFonts w:hint="eastAsia" w:ascii="宋体" w:hAnsi="宋体"/>
          <w:color w:val="auto"/>
          <w:sz w:val="24"/>
          <w:szCs w:val="20"/>
          <w:highlight w:val="none"/>
        </w:rPr>
        <w:t>电话：</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     电子函件：</w:t>
      </w:r>
      <w:r>
        <w:rPr>
          <w:rFonts w:hint="eastAsia" w:ascii="宋体" w:hAnsi="宋体"/>
          <w:color w:val="auto"/>
          <w:sz w:val="24"/>
          <w:szCs w:val="20"/>
          <w:highlight w:val="none"/>
          <w:u w:val="single"/>
        </w:rPr>
        <w:t xml:space="preserve">                         </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p>
    <w:p>
      <w:pPr>
        <w:pStyle w:val="11"/>
        <w:pageBreakBefore w:val="0"/>
        <w:kinsoku/>
        <w:wordWrap/>
        <w:overflowPunct/>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rPr>
        <w:t>供应商名称(公章)：______________</w:t>
      </w:r>
    </w:p>
    <w:p>
      <w:pPr>
        <w:pStyle w:val="11"/>
        <w:pageBreakBefore w:val="0"/>
        <w:kinsoku/>
        <w:wordWrap/>
        <w:overflowPunct/>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rPr>
        <w:t>法定代表人（非法人组织的负责人）或其授权代表(签章)：_______</w:t>
      </w:r>
    </w:p>
    <w:p>
      <w:pPr>
        <w:pStyle w:val="11"/>
        <w:pageBreakBefore w:val="0"/>
        <w:kinsoku/>
        <w:wordWrap/>
        <w:overflowPunct/>
        <w:topLinePunct w:val="0"/>
        <w:autoSpaceDE w:val="0"/>
        <w:bidi w:val="0"/>
        <w:spacing w:line="560" w:lineRule="exact"/>
        <w:textAlignment w:val="auto"/>
        <w:rPr>
          <w:rFonts w:hAnsi="宋体" w:cs="宋体"/>
          <w:color w:val="auto"/>
          <w:sz w:val="24"/>
          <w:szCs w:val="24"/>
          <w:highlight w:val="none"/>
        </w:rPr>
      </w:pPr>
      <w:r>
        <w:rPr>
          <w:rFonts w:hint="eastAsia" w:hAnsi="宋体"/>
          <w:color w:val="auto"/>
          <w:sz w:val="24"/>
          <w:szCs w:val="24"/>
          <w:highlight w:val="none"/>
        </w:rPr>
        <w:t xml:space="preserve">日期：______年____月____日 </w:t>
      </w:r>
    </w:p>
    <w:p>
      <w:pPr>
        <w:pStyle w:val="6"/>
        <w:keepNext/>
        <w:keepLines/>
        <w:pageBreakBefore w:val="0"/>
        <w:widowControl w:val="0"/>
        <w:kinsoku/>
        <w:wordWrap/>
        <w:overflowPunct/>
        <w:topLinePunct w:val="0"/>
        <w:autoSpaceDE w:val="0"/>
        <w:autoSpaceDN w:val="0"/>
        <w:bidi w:val="0"/>
        <w:adjustRightInd w:val="0"/>
        <w:snapToGrid/>
        <w:spacing w:before="0" w:after="0" w:line="560" w:lineRule="exact"/>
        <w:textAlignment w:val="auto"/>
        <w:outlineLvl w:val="9"/>
        <w:rPr>
          <w:rFonts w:hint="eastAsia" w:hAnsi="宋体"/>
          <w:color w:val="auto"/>
          <w:sz w:val="24"/>
          <w:szCs w:val="24"/>
          <w:highlight w:val="none"/>
        </w:rPr>
      </w:pPr>
      <w:r>
        <w:rPr>
          <w:rFonts w:hint="eastAsia" w:hAnsi="宋体"/>
          <w:b w:val="0"/>
          <w:color w:val="auto"/>
          <w:sz w:val="30"/>
          <w:highlight w:val="none"/>
        </w:rPr>
        <w:br w:type="page"/>
      </w:r>
      <w:bookmarkStart w:id="215" w:name="_Hlt520356243"/>
      <w:bookmarkEnd w:id="215"/>
      <w:bookmarkStart w:id="216" w:name="_Hlt520355938"/>
      <w:bookmarkEnd w:id="216"/>
      <w:bookmarkStart w:id="217" w:name="_Toc46136864"/>
      <w:bookmarkStart w:id="218" w:name="_Toc29049"/>
      <w:bookmarkStart w:id="219" w:name="_Toc45562518"/>
      <w:bookmarkStart w:id="220" w:name="_Toc216582818"/>
      <w:bookmarkStart w:id="221" w:name="_Toc518923119"/>
      <w:bookmarkStart w:id="222" w:name="_Toc216582815"/>
    </w:p>
    <w:p>
      <w:pPr>
        <w:pStyle w:val="6"/>
        <w:keepNext/>
        <w:keepLines/>
        <w:pageBreakBefore w:val="0"/>
        <w:widowControl w:val="0"/>
        <w:kinsoku/>
        <w:wordWrap/>
        <w:overflowPunct/>
        <w:topLinePunct w:val="0"/>
        <w:autoSpaceDE w:val="0"/>
        <w:autoSpaceDN w:val="0"/>
        <w:bidi w:val="0"/>
        <w:adjustRightInd w:val="0"/>
        <w:snapToGrid/>
        <w:spacing w:before="0" w:after="0" w:line="560" w:lineRule="exact"/>
        <w:textAlignment w:val="auto"/>
        <w:outlineLvl w:val="2"/>
        <w:rPr>
          <w:rFonts w:hint="eastAsia" w:hAnsi="宋体"/>
          <w:color w:val="auto"/>
          <w:highlight w:val="none"/>
          <w:u w:val="none"/>
        </w:rPr>
      </w:pPr>
      <w:bookmarkStart w:id="223" w:name="_Toc4233"/>
      <w:bookmarkStart w:id="224" w:name="_Toc31490"/>
      <w:r>
        <w:rPr>
          <w:rFonts w:hint="eastAsia" w:hAnsi="宋体"/>
          <w:color w:val="auto"/>
          <w:highlight w:val="none"/>
          <w:u w:val="none"/>
          <w:lang w:val="en-US" w:eastAsia="zh-CN"/>
        </w:rPr>
        <w:t>2</w:t>
      </w:r>
      <w:r>
        <w:rPr>
          <w:rFonts w:hint="eastAsia" w:hAnsi="宋体"/>
          <w:color w:val="auto"/>
          <w:highlight w:val="none"/>
          <w:u w:val="none"/>
        </w:rPr>
        <w:t>.符合价格扣除条件的</w:t>
      </w:r>
      <w:r>
        <w:rPr>
          <w:rFonts w:hint="eastAsia" w:hAnsi="宋体"/>
          <w:color w:val="auto"/>
          <w:highlight w:val="none"/>
          <w:u w:val="none"/>
          <w:lang w:eastAsia="zh-CN"/>
        </w:rPr>
        <w:t>供应商</w:t>
      </w:r>
      <w:r>
        <w:rPr>
          <w:rFonts w:hint="eastAsia" w:hAnsi="宋体"/>
          <w:color w:val="auto"/>
          <w:highlight w:val="none"/>
          <w:u w:val="none"/>
        </w:rPr>
        <w:t>需提供的资料</w:t>
      </w:r>
      <w:bookmarkEnd w:id="217"/>
      <w:bookmarkEnd w:id="218"/>
      <w:bookmarkEnd w:id="219"/>
      <w:bookmarkEnd w:id="223"/>
      <w:bookmarkEnd w:id="224"/>
    </w:p>
    <w:bookmarkEnd w:id="220"/>
    <w:bookmarkEnd w:id="221"/>
    <w:p>
      <w:pPr>
        <w:pageBreakBefore w:val="0"/>
        <w:kinsoku/>
        <w:wordWrap/>
        <w:overflowPunct/>
        <w:topLinePunct w:val="0"/>
        <w:bidi w:val="0"/>
        <w:spacing w:line="560" w:lineRule="exact"/>
        <w:jc w:val="center"/>
        <w:textAlignment w:val="auto"/>
        <w:rPr>
          <w:rFonts w:ascii="宋体" w:hAnsi="宋体" w:cs="宋体"/>
          <w:b/>
          <w:color w:val="auto"/>
          <w:kern w:val="0"/>
          <w:sz w:val="24"/>
          <w:szCs w:val="20"/>
          <w:highlight w:val="none"/>
        </w:rPr>
      </w:pPr>
      <w:bookmarkStart w:id="225" w:name="_Toc518923120"/>
      <w:r>
        <w:rPr>
          <w:rFonts w:hint="eastAsia" w:ascii="宋体" w:hAnsi="宋体"/>
          <w:b/>
          <w:color w:val="auto"/>
          <w:kern w:val="0"/>
          <w:sz w:val="24"/>
          <w:szCs w:val="20"/>
          <w:highlight w:val="none"/>
          <w:lang w:val="en-US" w:eastAsia="zh-CN"/>
        </w:rPr>
        <w:t>2</w:t>
      </w:r>
      <w:r>
        <w:rPr>
          <w:rFonts w:hint="eastAsia" w:ascii="宋体" w:hAnsi="宋体"/>
          <w:b/>
          <w:color w:val="auto"/>
          <w:kern w:val="0"/>
          <w:sz w:val="24"/>
          <w:szCs w:val="20"/>
          <w:highlight w:val="none"/>
        </w:rPr>
        <w:t xml:space="preserve">.1  </w:t>
      </w:r>
      <w:bookmarkEnd w:id="225"/>
      <w:r>
        <w:rPr>
          <w:rFonts w:hint="eastAsia" w:ascii="宋体" w:hAnsi="宋体" w:cs="宋体"/>
          <w:b/>
          <w:color w:val="auto"/>
          <w:kern w:val="0"/>
          <w:sz w:val="24"/>
          <w:szCs w:val="20"/>
          <w:highlight w:val="none"/>
        </w:rPr>
        <w:t>中小企业声明函</w:t>
      </w:r>
      <w:r>
        <w:rPr>
          <w:rFonts w:hint="eastAsia" w:ascii="宋体" w:hAnsi="宋体" w:eastAsia="宋体" w:cs="宋体"/>
          <w:b/>
          <w:bCs/>
          <w:sz w:val="24"/>
        </w:rPr>
        <w:t>（如有）</w:t>
      </w:r>
    </w:p>
    <w:p>
      <w:pPr>
        <w:pStyle w:val="9"/>
        <w:keepNext w:val="0"/>
        <w:keepLines w:val="0"/>
        <w:pageBreakBefore w:val="0"/>
        <w:tabs>
          <w:tab w:val="left" w:pos="567"/>
        </w:tabs>
        <w:kinsoku/>
        <w:wordWrap/>
        <w:overflowPunct/>
        <w:topLinePunct w:val="0"/>
        <w:autoSpaceDE/>
        <w:autoSpaceDN/>
        <w:bidi w:val="0"/>
        <w:adjustRightInd/>
        <w:snapToGrid/>
        <w:spacing w:before="55" w:line="560" w:lineRule="exact"/>
        <w:ind w:right="415" w:firstLine="640"/>
        <w:textAlignment w:val="auto"/>
        <w:rPr>
          <w:rFonts w:hint="eastAsia" w:cs="宋体"/>
          <w:color w:val="auto"/>
          <w:spacing w:val="-2"/>
          <w:sz w:val="28"/>
          <w:szCs w:val="28"/>
          <w:highlight w:val="none"/>
        </w:rPr>
      </w:pPr>
      <w:r>
        <w:rPr>
          <w:rFonts w:hint="eastAsia" w:cs="宋体"/>
          <w:color w:val="auto"/>
          <w:spacing w:val="-2"/>
          <w:sz w:val="28"/>
          <w:szCs w:val="28"/>
          <w:highlight w:val="none"/>
        </w:rPr>
        <w:t>本公司</w:t>
      </w:r>
      <w:r>
        <w:rPr>
          <w:rFonts w:hint="eastAsia" w:cs="宋体"/>
          <w:color w:val="auto"/>
          <w:sz w:val="28"/>
          <w:szCs w:val="28"/>
          <w:highlight w:val="none"/>
        </w:rPr>
        <w:t>（联合体</w:t>
      </w:r>
      <w:r>
        <w:rPr>
          <w:rFonts w:hint="eastAsia" w:cs="宋体"/>
          <w:color w:val="auto"/>
          <w:spacing w:val="-5"/>
          <w:sz w:val="28"/>
          <w:szCs w:val="28"/>
          <w:highlight w:val="none"/>
        </w:rPr>
        <w:t>）</w:t>
      </w:r>
      <w:r>
        <w:rPr>
          <w:rFonts w:hint="eastAsia" w:cs="宋体"/>
          <w:color w:val="auto"/>
          <w:spacing w:val="-2"/>
          <w:sz w:val="28"/>
          <w:szCs w:val="28"/>
          <w:highlight w:val="none"/>
        </w:rPr>
        <w:t>郑重声明，根据《政府采购促进中小</w:t>
      </w:r>
      <w:r>
        <w:rPr>
          <w:rFonts w:hint="eastAsia" w:cs="宋体"/>
          <w:color w:val="auto"/>
          <w:spacing w:val="-18"/>
          <w:sz w:val="28"/>
          <w:szCs w:val="28"/>
          <w:highlight w:val="none"/>
        </w:rPr>
        <w:t>企业发展管理办法》</w:t>
      </w:r>
      <w:r>
        <w:rPr>
          <w:rFonts w:hint="eastAsia" w:cs="宋体"/>
          <w:color w:val="auto"/>
          <w:sz w:val="28"/>
          <w:szCs w:val="28"/>
          <w:highlight w:val="none"/>
        </w:rPr>
        <w:t>（</w:t>
      </w:r>
      <w:r>
        <w:rPr>
          <w:rFonts w:hint="eastAsia" w:cs="宋体"/>
          <w:color w:val="auto"/>
          <w:spacing w:val="5"/>
          <w:sz w:val="28"/>
          <w:szCs w:val="28"/>
          <w:highlight w:val="none"/>
        </w:rPr>
        <w:t>财库</w:t>
      </w:r>
      <w:r>
        <w:rPr>
          <w:rFonts w:hint="eastAsia" w:cs="宋体"/>
          <w:color w:val="auto"/>
          <w:sz w:val="28"/>
          <w:szCs w:val="28"/>
          <w:highlight w:val="none"/>
        </w:rPr>
        <w:t>﹝2020﹞46</w:t>
      </w:r>
      <w:r>
        <w:rPr>
          <w:rFonts w:hint="eastAsia" w:cs="宋体"/>
          <w:color w:val="auto"/>
          <w:spacing w:val="-38"/>
          <w:sz w:val="28"/>
          <w:szCs w:val="28"/>
          <w:highlight w:val="none"/>
        </w:rPr>
        <w:t xml:space="preserve"> 号</w:t>
      </w:r>
      <w:r>
        <w:rPr>
          <w:rFonts w:hint="eastAsia" w:cs="宋体"/>
          <w:color w:val="auto"/>
          <w:spacing w:val="5"/>
          <w:sz w:val="28"/>
          <w:szCs w:val="28"/>
          <w:highlight w:val="none"/>
        </w:rPr>
        <w:t>）</w:t>
      </w:r>
      <w:r>
        <w:rPr>
          <w:rFonts w:hint="eastAsia" w:cs="宋体"/>
          <w:color w:val="auto"/>
          <w:sz w:val="28"/>
          <w:szCs w:val="28"/>
          <w:highlight w:val="none"/>
        </w:rPr>
        <w:t>的规定，本公司（联合体）</w:t>
      </w:r>
      <w:r>
        <w:rPr>
          <w:rFonts w:hint="eastAsia" w:cs="宋体"/>
          <w:color w:val="auto"/>
          <w:spacing w:val="-8"/>
          <w:sz w:val="28"/>
          <w:szCs w:val="28"/>
          <w:highlight w:val="none"/>
        </w:rPr>
        <w:t>参加</w:t>
      </w:r>
      <w:r>
        <w:rPr>
          <w:rFonts w:hint="eastAsia" w:cs="宋体"/>
          <w:color w:val="auto"/>
          <w:spacing w:val="-8"/>
          <w:sz w:val="28"/>
          <w:szCs w:val="28"/>
          <w:highlight w:val="none"/>
          <w:u w:val="single"/>
          <w:lang w:eastAsia="zh-CN"/>
        </w:rPr>
        <w:t>（单位名称）</w:t>
      </w:r>
      <w:r>
        <w:rPr>
          <w:rFonts w:hint="eastAsia" w:cs="宋体"/>
          <w:color w:val="auto"/>
          <w:spacing w:val="-8"/>
          <w:sz w:val="28"/>
          <w:szCs w:val="28"/>
          <w:highlight w:val="none"/>
          <w:lang w:eastAsia="zh-CN"/>
        </w:rPr>
        <w:t>的</w:t>
      </w:r>
      <w:r>
        <w:rPr>
          <w:rFonts w:hint="eastAsia" w:cs="宋体"/>
          <w:color w:val="auto"/>
          <w:spacing w:val="-8"/>
          <w:sz w:val="28"/>
          <w:szCs w:val="28"/>
          <w:highlight w:val="none"/>
          <w:u w:val="single"/>
          <w:lang w:eastAsia="zh-CN"/>
        </w:rPr>
        <w:t>（项目名称）</w:t>
      </w:r>
      <w:r>
        <w:rPr>
          <w:rFonts w:hint="eastAsia" w:cs="宋体"/>
          <w:color w:val="auto"/>
          <w:spacing w:val="-8"/>
          <w:sz w:val="28"/>
          <w:szCs w:val="28"/>
          <w:highlight w:val="none"/>
          <w:lang w:eastAsia="zh-CN"/>
        </w:rPr>
        <w:t>采</w:t>
      </w:r>
      <w:r>
        <w:rPr>
          <w:rFonts w:hint="eastAsia" w:cs="宋体"/>
          <w:color w:val="auto"/>
          <w:spacing w:val="-1"/>
          <w:sz w:val="28"/>
          <w:szCs w:val="28"/>
          <w:highlight w:val="none"/>
        </w:rPr>
        <w:t>购</w:t>
      </w:r>
      <w:r>
        <w:rPr>
          <w:rFonts w:hint="eastAsia" w:cs="宋体"/>
          <w:color w:val="auto"/>
          <w:spacing w:val="-2"/>
          <w:sz w:val="28"/>
          <w:szCs w:val="28"/>
          <w:highlight w:val="none"/>
        </w:rPr>
        <w:t>活动，</w:t>
      </w:r>
      <w:r>
        <w:rPr>
          <w:rFonts w:hint="eastAsia" w:cs="宋体"/>
          <w:color w:val="auto"/>
          <w:spacing w:val="-2"/>
          <w:sz w:val="28"/>
          <w:szCs w:val="28"/>
          <w:highlight w:val="none"/>
          <w:lang w:val="en-US" w:eastAsia="zh-CN"/>
        </w:rPr>
        <w:t>服务</w:t>
      </w:r>
      <w:r>
        <w:rPr>
          <w:rFonts w:hint="eastAsia" w:cs="宋体"/>
          <w:color w:val="auto"/>
          <w:spacing w:val="-2"/>
          <w:sz w:val="28"/>
          <w:szCs w:val="28"/>
          <w:highlight w:val="none"/>
        </w:rPr>
        <w:t>全部由符合政策要求的中小企业</w:t>
      </w:r>
      <w:r>
        <w:rPr>
          <w:rFonts w:hint="eastAsia" w:cs="宋体"/>
          <w:color w:val="auto"/>
          <w:spacing w:val="-2"/>
          <w:sz w:val="28"/>
          <w:szCs w:val="28"/>
          <w:highlight w:val="none"/>
          <w:lang w:val="en-US" w:eastAsia="zh-CN"/>
        </w:rPr>
        <w:t>承接</w:t>
      </w:r>
      <w:r>
        <w:rPr>
          <w:rFonts w:hint="eastAsia" w:cs="宋体"/>
          <w:color w:val="auto"/>
          <w:spacing w:val="-2"/>
          <w:sz w:val="28"/>
          <w:szCs w:val="28"/>
          <w:highlight w:val="none"/>
        </w:rPr>
        <w:t>。相关企业（含联合体中的中小企业、签订分包意向协议的中小企业） 的具体情况如下：</w:t>
      </w:r>
    </w:p>
    <w:p>
      <w:pPr>
        <w:pStyle w:val="25"/>
        <w:keepNext w:val="0"/>
        <w:keepLines w:val="0"/>
        <w:pageBreakBefore w:val="0"/>
        <w:numPr>
          <w:ilvl w:val="0"/>
          <w:numId w:val="10"/>
        </w:numPr>
        <w:tabs>
          <w:tab w:val="left" w:pos="1183"/>
          <w:tab w:val="left" w:pos="1484"/>
          <w:tab w:val="left" w:pos="4662"/>
          <w:tab w:val="left" w:pos="6903"/>
        </w:tabs>
        <w:kinsoku/>
        <w:wordWrap/>
        <w:overflowPunct/>
        <w:topLinePunct w:val="0"/>
        <w:autoSpaceDE/>
        <w:autoSpaceDN/>
        <w:bidi w:val="0"/>
        <w:adjustRightInd/>
        <w:snapToGrid/>
        <w:spacing w:line="560" w:lineRule="exact"/>
        <w:ind w:left="420" w:leftChars="200" w:right="169"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val="zh-CN" w:bidi="zh-CN"/>
        </w:rPr>
        <w:t>（标的名称）</w:t>
      </w:r>
      <w:r>
        <w:rPr>
          <w:rFonts w:hint="eastAsia" w:ascii="宋体" w:hAnsi="宋体" w:cs="宋体"/>
          <w:color w:val="auto"/>
          <w:spacing w:val="-38"/>
          <w:w w:val="95"/>
          <w:sz w:val="24"/>
          <w:szCs w:val="24"/>
          <w:highlight w:val="none"/>
        </w:rPr>
        <w:t xml:space="preserve"> </w:t>
      </w:r>
      <w:r>
        <w:rPr>
          <w:rFonts w:hint="eastAsia" w:ascii="宋体" w:hAnsi="宋体" w:cs="宋体"/>
          <w:color w:val="auto"/>
          <w:spacing w:val="-43"/>
          <w:w w:val="95"/>
          <w:sz w:val="24"/>
          <w:szCs w:val="24"/>
          <w:highlight w:val="none"/>
        </w:rPr>
        <w:t>，</w:t>
      </w:r>
      <w:r>
        <w:rPr>
          <w:rFonts w:hint="eastAsia" w:ascii="宋体" w:hAnsi="宋体" w:cs="宋体"/>
          <w:color w:val="auto"/>
          <w:spacing w:val="-2"/>
          <w:kern w:val="2"/>
          <w:sz w:val="24"/>
          <w:szCs w:val="24"/>
          <w:highlight w:val="none"/>
        </w:rPr>
        <w:t>属于</w:t>
      </w:r>
      <w:r>
        <w:rPr>
          <w:rFonts w:hint="eastAsia" w:ascii="宋体" w:hAnsi="宋体" w:cs="宋体"/>
          <w:color w:val="auto"/>
          <w:sz w:val="24"/>
          <w:szCs w:val="24"/>
          <w:highlight w:val="none"/>
          <w:u w:val="single"/>
          <w:lang w:val="zh-CN" w:bidi="zh-CN"/>
        </w:rPr>
        <w:t>（采购文件中明确的所属行业）</w:t>
      </w:r>
      <w:r>
        <w:rPr>
          <w:rFonts w:hint="eastAsia" w:ascii="宋体" w:hAnsi="宋体" w:cs="宋体"/>
          <w:color w:val="auto"/>
          <w:spacing w:val="7"/>
          <w:w w:val="95"/>
          <w:sz w:val="24"/>
          <w:szCs w:val="24"/>
          <w:highlight w:val="none"/>
        </w:rPr>
        <w:t>；</w:t>
      </w:r>
      <w:r>
        <w:rPr>
          <w:rFonts w:hint="eastAsia" w:ascii="宋体" w:hAnsi="宋体" w:cs="宋体"/>
          <w:color w:val="auto"/>
          <w:spacing w:val="7"/>
          <w:w w:val="95"/>
          <w:sz w:val="24"/>
          <w:szCs w:val="24"/>
          <w:highlight w:val="none"/>
          <w:lang w:val="en-US" w:eastAsia="zh-CN"/>
        </w:rPr>
        <w:t>承</w:t>
      </w:r>
      <w:r>
        <w:rPr>
          <w:rFonts w:hint="eastAsia" w:ascii="宋体" w:hAnsi="宋体" w:cs="宋体"/>
          <w:color w:val="auto"/>
          <w:spacing w:val="-2"/>
          <w:kern w:val="2"/>
          <w:sz w:val="24"/>
          <w:szCs w:val="24"/>
          <w:highlight w:val="none"/>
          <w:lang w:val="en-US" w:eastAsia="zh-CN"/>
        </w:rPr>
        <w:t>接企业</w:t>
      </w:r>
      <w:r>
        <w:rPr>
          <w:rFonts w:hint="eastAsia" w:ascii="宋体" w:hAnsi="宋体" w:cs="宋体"/>
          <w:color w:val="auto"/>
          <w:spacing w:val="-2"/>
          <w:kern w:val="2"/>
          <w:sz w:val="24"/>
          <w:szCs w:val="24"/>
          <w:highlight w:val="none"/>
        </w:rPr>
        <w:t>为</w:t>
      </w:r>
      <w:r>
        <w:rPr>
          <w:rFonts w:hint="eastAsia" w:ascii="宋体" w:hAnsi="宋体" w:cs="宋体"/>
          <w:color w:val="auto"/>
          <w:sz w:val="24"/>
          <w:szCs w:val="24"/>
          <w:highlight w:val="none"/>
          <w:u w:val="single"/>
          <w:lang w:val="zh-CN" w:bidi="zh-CN"/>
        </w:rPr>
        <w:t>（企业名称）</w:t>
      </w:r>
      <w:r>
        <w:rPr>
          <w:rFonts w:hint="eastAsia" w:ascii="宋体" w:hAnsi="宋体" w:cs="宋体"/>
          <w:color w:val="auto"/>
          <w:spacing w:val="11"/>
          <w:w w:val="95"/>
          <w:sz w:val="24"/>
          <w:szCs w:val="24"/>
          <w:highlight w:val="none"/>
          <w:u w:val="single"/>
          <w:lang w:val="zh-CN" w:bidi="zh-CN"/>
        </w:rPr>
        <w:t>，</w:t>
      </w:r>
      <w:r>
        <w:rPr>
          <w:rFonts w:hint="eastAsia" w:ascii="宋体" w:hAnsi="宋体" w:cs="宋体"/>
          <w:color w:val="auto"/>
          <w:spacing w:val="-2"/>
          <w:kern w:val="2"/>
          <w:sz w:val="24"/>
          <w:szCs w:val="24"/>
          <w:highlight w:val="none"/>
        </w:rPr>
        <w:t>从业人员</w:t>
      </w:r>
      <w:r>
        <w:rPr>
          <w:rFonts w:hint="eastAsia" w:ascii="宋体" w:hAnsi="宋体" w:cs="宋体"/>
          <w:color w:val="auto"/>
          <w:w w:val="99"/>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pacing w:val="7"/>
          <w:w w:val="99"/>
          <w:sz w:val="24"/>
          <w:szCs w:val="24"/>
          <w:highlight w:val="none"/>
        </w:rPr>
        <w:t>人</w:t>
      </w:r>
      <w:r>
        <w:rPr>
          <w:rFonts w:hint="eastAsia" w:ascii="宋体" w:hAnsi="宋体" w:cs="宋体"/>
          <w:color w:val="auto"/>
          <w:spacing w:val="5"/>
          <w:w w:val="99"/>
          <w:sz w:val="24"/>
          <w:szCs w:val="24"/>
          <w:highlight w:val="none"/>
        </w:rPr>
        <w:t>，</w:t>
      </w:r>
      <w:r>
        <w:rPr>
          <w:rFonts w:hint="eastAsia" w:ascii="宋体" w:hAnsi="宋体" w:cs="宋体"/>
          <w:color w:val="auto"/>
          <w:spacing w:val="-2"/>
          <w:kern w:val="2"/>
          <w:sz w:val="24"/>
          <w:szCs w:val="24"/>
          <w:highlight w:val="none"/>
        </w:rPr>
        <w:t>营业收入为</w:t>
      </w:r>
      <w:r>
        <w:rPr>
          <w:rFonts w:hint="eastAsia" w:ascii="宋体" w:hAnsi="宋体" w:cs="宋体"/>
          <w:color w:val="auto"/>
          <w:w w:val="99"/>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pacing w:val="-2"/>
          <w:kern w:val="2"/>
          <w:sz w:val="24"/>
          <w:szCs w:val="24"/>
          <w:highlight w:val="none"/>
        </w:rPr>
        <w:t xml:space="preserve">万元，资产总额为 </w:t>
      </w:r>
      <w:r>
        <w:rPr>
          <w:rFonts w:hint="eastAsia" w:ascii="宋体" w:hAnsi="宋体" w:cs="宋体"/>
          <w:color w:val="auto"/>
          <w:sz w:val="24"/>
          <w:szCs w:val="24"/>
          <w:highlight w:val="none"/>
          <w:u w:val="single"/>
        </w:rPr>
        <w:tab/>
      </w:r>
      <w:r>
        <w:rPr>
          <w:rFonts w:hint="eastAsia" w:ascii="宋体" w:hAnsi="宋体" w:cs="宋体"/>
          <w:color w:val="auto"/>
          <w:spacing w:val="-2"/>
          <w:kern w:val="2"/>
          <w:sz w:val="24"/>
          <w:szCs w:val="24"/>
          <w:highlight w:val="none"/>
        </w:rPr>
        <w:t>万元，属于</w:t>
      </w:r>
      <w:r>
        <w:rPr>
          <w:rFonts w:hint="eastAsia" w:ascii="宋体" w:hAnsi="宋体" w:cs="宋体"/>
          <w:color w:val="auto"/>
          <w:sz w:val="24"/>
          <w:szCs w:val="24"/>
          <w:highlight w:val="none"/>
          <w:u w:val="single"/>
          <w:lang w:val="zh-CN" w:bidi="zh-CN"/>
        </w:rPr>
        <w:t>（中型企业、小型企业、微型企业</w:t>
      </w:r>
      <w:r>
        <w:rPr>
          <w:rFonts w:hint="eastAsia" w:ascii="宋体" w:hAnsi="宋体" w:cs="宋体"/>
          <w:color w:val="auto"/>
          <w:sz w:val="24"/>
          <w:szCs w:val="24"/>
          <w:highlight w:val="none"/>
          <w:u w:val="single"/>
          <w:lang w:bidi="zh-CN"/>
        </w:rPr>
        <w:t>）</w:t>
      </w:r>
      <w:r>
        <w:rPr>
          <w:rFonts w:hint="eastAsia" w:ascii="宋体" w:hAnsi="宋体" w:cs="宋体"/>
          <w:color w:val="auto"/>
          <w:w w:val="99"/>
          <w:sz w:val="24"/>
          <w:szCs w:val="24"/>
          <w:highlight w:val="none"/>
          <w:u w:val="single"/>
        </w:rPr>
        <w:t>；</w:t>
      </w:r>
    </w:p>
    <w:p>
      <w:pPr>
        <w:pStyle w:val="25"/>
        <w:keepNext w:val="0"/>
        <w:keepLines w:val="0"/>
        <w:pageBreakBefore w:val="0"/>
        <w:numPr>
          <w:ilvl w:val="0"/>
          <w:numId w:val="10"/>
        </w:numPr>
        <w:tabs>
          <w:tab w:val="left" w:pos="1165"/>
          <w:tab w:val="left" w:pos="1183"/>
          <w:tab w:val="left" w:pos="4362"/>
          <w:tab w:val="left" w:pos="6577"/>
        </w:tabs>
        <w:kinsoku/>
        <w:wordWrap/>
        <w:overflowPunct/>
        <w:topLinePunct w:val="0"/>
        <w:autoSpaceDE/>
        <w:autoSpaceDN/>
        <w:bidi w:val="0"/>
        <w:adjustRightInd/>
        <w:snapToGrid/>
        <w:spacing w:line="560" w:lineRule="exact"/>
        <w:ind w:left="420" w:leftChars="200" w:right="169"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val="zh-CN" w:bidi="zh-CN"/>
        </w:rPr>
        <w:t xml:space="preserve"> （标的名称）</w:t>
      </w:r>
      <w:r>
        <w:rPr>
          <w:rFonts w:hint="eastAsia" w:ascii="宋体" w:hAnsi="宋体" w:cs="宋体"/>
          <w:color w:val="auto"/>
          <w:spacing w:val="-43"/>
          <w:sz w:val="24"/>
          <w:szCs w:val="24"/>
          <w:highlight w:val="none"/>
        </w:rPr>
        <w:t>，</w:t>
      </w:r>
      <w:r>
        <w:rPr>
          <w:rFonts w:hint="eastAsia" w:ascii="宋体" w:hAnsi="宋体" w:cs="宋体"/>
          <w:color w:val="auto"/>
          <w:spacing w:val="-2"/>
          <w:kern w:val="2"/>
          <w:sz w:val="24"/>
          <w:szCs w:val="24"/>
          <w:highlight w:val="none"/>
        </w:rPr>
        <w:t>属于</w:t>
      </w:r>
      <w:r>
        <w:rPr>
          <w:rFonts w:hint="eastAsia" w:ascii="宋体" w:hAnsi="宋体" w:cs="宋体"/>
          <w:color w:val="auto"/>
          <w:sz w:val="24"/>
          <w:szCs w:val="24"/>
          <w:highlight w:val="none"/>
          <w:u w:val="single"/>
          <w:lang w:val="zh-CN" w:bidi="zh-CN"/>
        </w:rPr>
        <w:t>（采购文件中明确的所属行业）</w:t>
      </w:r>
      <w:r>
        <w:rPr>
          <w:rFonts w:hint="eastAsia" w:ascii="宋体" w:hAnsi="宋体" w:cs="宋体"/>
          <w:color w:val="auto"/>
          <w:spacing w:val="7"/>
          <w:w w:val="95"/>
          <w:sz w:val="24"/>
          <w:szCs w:val="24"/>
          <w:highlight w:val="none"/>
        </w:rPr>
        <w:t>；</w:t>
      </w:r>
      <w:r>
        <w:rPr>
          <w:rFonts w:hint="eastAsia" w:ascii="宋体" w:hAnsi="宋体" w:cs="宋体"/>
          <w:color w:val="auto"/>
          <w:spacing w:val="-2"/>
          <w:kern w:val="2"/>
          <w:sz w:val="24"/>
          <w:szCs w:val="24"/>
          <w:highlight w:val="none"/>
          <w:lang w:val="en-US" w:eastAsia="zh-CN"/>
        </w:rPr>
        <w:t>承接企业</w:t>
      </w:r>
      <w:r>
        <w:rPr>
          <w:rFonts w:hint="eastAsia" w:ascii="宋体" w:hAnsi="宋体" w:cs="宋体"/>
          <w:color w:val="auto"/>
          <w:spacing w:val="-2"/>
          <w:kern w:val="2"/>
          <w:sz w:val="24"/>
          <w:szCs w:val="24"/>
          <w:highlight w:val="none"/>
        </w:rPr>
        <w:t>为</w:t>
      </w:r>
      <w:r>
        <w:rPr>
          <w:rFonts w:hint="eastAsia" w:ascii="宋体" w:hAnsi="宋体" w:cs="宋体"/>
          <w:color w:val="auto"/>
          <w:sz w:val="24"/>
          <w:szCs w:val="24"/>
          <w:highlight w:val="none"/>
          <w:u w:val="single"/>
          <w:lang w:val="zh-CN" w:bidi="zh-CN"/>
        </w:rPr>
        <w:t>（企业名称），</w:t>
      </w:r>
      <w:r>
        <w:rPr>
          <w:rFonts w:hint="eastAsia" w:ascii="宋体" w:hAnsi="宋体" w:cs="宋体"/>
          <w:color w:val="auto"/>
          <w:spacing w:val="-2"/>
          <w:kern w:val="2"/>
          <w:sz w:val="24"/>
          <w:szCs w:val="24"/>
          <w:highlight w:val="none"/>
        </w:rPr>
        <w:t>从业人员</w:t>
      </w:r>
      <w:r>
        <w:rPr>
          <w:rFonts w:hint="eastAsia" w:ascii="宋体" w:hAnsi="宋体" w:cs="宋体"/>
          <w:color w:val="auto"/>
          <w:w w:val="99"/>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pacing w:val="-2"/>
          <w:kern w:val="2"/>
          <w:sz w:val="24"/>
          <w:szCs w:val="24"/>
          <w:highlight w:val="none"/>
        </w:rPr>
        <w:t>人，营业收入</w:t>
      </w:r>
      <w:r>
        <w:rPr>
          <w:rFonts w:hint="eastAsia" w:ascii="宋体" w:hAnsi="宋体" w:cs="宋体"/>
          <w:color w:val="auto"/>
          <w:sz w:val="24"/>
          <w:szCs w:val="24"/>
          <w:highlight w:val="none"/>
        </w:rPr>
        <w:t>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万元</w:t>
      </w:r>
      <w:r>
        <w:rPr>
          <w:rFonts w:hint="eastAsia" w:ascii="宋体" w:hAnsi="宋体" w:cs="宋体"/>
          <w:color w:val="auto"/>
          <w:spacing w:val="-3"/>
          <w:sz w:val="24"/>
          <w:szCs w:val="24"/>
          <w:highlight w:val="none"/>
        </w:rPr>
        <w:t>，</w:t>
      </w:r>
      <w:r>
        <w:rPr>
          <w:rFonts w:hint="eastAsia" w:ascii="宋体" w:hAnsi="宋体" w:cs="宋体"/>
          <w:color w:val="auto"/>
          <w:sz w:val="24"/>
          <w:szCs w:val="24"/>
          <w:highlight w:val="none"/>
        </w:rPr>
        <w:t>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万元</w:t>
      </w:r>
      <w:r>
        <w:rPr>
          <w:rFonts w:hint="eastAsia" w:ascii="宋体" w:hAnsi="宋体" w:cs="宋体"/>
          <w:color w:val="auto"/>
          <w:spacing w:val="-3"/>
          <w:sz w:val="24"/>
          <w:szCs w:val="24"/>
          <w:highlight w:val="none"/>
        </w:rPr>
        <w:t>，</w:t>
      </w:r>
      <w:r>
        <w:rPr>
          <w:rFonts w:hint="eastAsia" w:ascii="宋体" w:hAnsi="宋体" w:cs="宋体"/>
          <w:color w:val="auto"/>
          <w:sz w:val="24"/>
          <w:szCs w:val="24"/>
          <w:highlight w:val="none"/>
        </w:rPr>
        <w:t>属</w:t>
      </w:r>
      <w:r>
        <w:rPr>
          <w:rFonts w:hint="eastAsia" w:ascii="宋体" w:hAnsi="宋体" w:cs="宋体"/>
          <w:color w:val="auto"/>
          <w:spacing w:val="-17"/>
          <w:sz w:val="24"/>
          <w:szCs w:val="24"/>
          <w:highlight w:val="none"/>
        </w:rPr>
        <w:t>于</w:t>
      </w:r>
      <w:r>
        <w:rPr>
          <w:rFonts w:hint="eastAsia" w:ascii="宋体" w:hAnsi="宋体" w:cs="宋体"/>
          <w:color w:val="auto"/>
          <w:sz w:val="24"/>
          <w:szCs w:val="24"/>
          <w:highlight w:val="none"/>
          <w:u w:val="single"/>
          <w:lang w:val="zh-CN" w:bidi="zh-CN"/>
        </w:rPr>
        <w:t>（中型企业、小型企业、微型企业</w:t>
      </w:r>
      <w:r>
        <w:rPr>
          <w:rFonts w:hint="eastAsia" w:ascii="宋体" w:hAnsi="宋体" w:cs="宋体"/>
          <w:color w:val="auto"/>
          <w:sz w:val="24"/>
          <w:szCs w:val="24"/>
          <w:highlight w:val="none"/>
          <w:u w:val="single"/>
          <w:lang w:bidi="zh-CN"/>
        </w:rPr>
        <w:t>）</w:t>
      </w:r>
      <w:r>
        <w:rPr>
          <w:rFonts w:hint="eastAsia" w:ascii="宋体" w:hAnsi="宋体" w:cs="宋体"/>
          <w:color w:val="auto"/>
          <w:w w:val="99"/>
          <w:sz w:val="24"/>
          <w:szCs w:val="24"/>
          <w:highlight w:val="none"/>
          <w:u w:val="single"/>
        </w:rPr>
        <w:t>；</w:t>
      </w:r>
    </w:p>
    <w:p>
      <w:pPr>
        <w:pStyle w:val="9"/>
        <w:keepNext w:val="0"/>
        <w:keepLines w:val="0"/>
        <w:pageBreakBefore w:val="0"/>
        <w:widowControl w:val="0"/>
        <w:tabs>
          <w:tab w:val="left" w:pos="567"/>
        </w:tabs>
        <w:kinsoku/>
        <w:wordWrap/>
        <w:overflowPunct/>
        <w:topLinePunct w:val="0"/>
        <w:autoSpaceDE/>
        <w:autoSpaceDN/>
        <w:bidi w:val="0"/>
        <w:adjustRightInd/>
        <w:snapToGrid/>
        <w:spacing w:line="560" w:lineRule="exact"/>
        <w:ind w:left="860"/>
        <w:textAlignment w:val="auto"/>
        <w:rPr>
          <w:rFonts w:hint="eastAsia" w:cs="宋体"/>
          <w:color w:val="auto"/>
          <w:sz w:val="28"/>
          <w:szCs w:val="28"/>
          <w:highlight w:val="none"/>
        </w:rPr>
      </w:pPr>
      <w:r>
        <w:rPr>
          <w:rFonts w:hint="eastAsia" w:cs="宋体"/>
          <w:color w:val="auto"/>
          <w:sz w:val="28"/>
          <w:szCs w:val="28"/>
          <w:highlight w:val="none"/>
        </w:rPr>
        <w:t>……</w:t>
      </w:r>
    </w:p>
    <w:p>
      <w:pPr>
        <w:pStyle w:val="9"/>
        <w:keepNext w:val="0"/>
        <w:keepLines w:val="0"/>
        <w:pageBreakBefore w:val="0"/>
        <w:widowControl w:val="0"/>
        <w:tabs>
          <w:tab w:val="left" w:pos="567"/>
        </w:tabs>
        <w:kinsoku/>
        <w:wordWrap/>
        <w:overflowPunct/>
        <w:topLinePunct w:val="0"/>
        <w:autoSpaceDE/>
        <w:autoSpaceDN/>
        <w:bidi w:val="0"/>
        <w:adjustRightInd/>
        <w:snapToGrid/>
        <w:spacing w:before="105" w:line="560" w:lineRule="exact"/>
        <w:ind w:right="417" w:firstLine="645"/>
        <w:textAlignment w:val="auto"/>
        <w:rPr>
          <w:rFonts w:hint="eastAsia" w:cs="宋体"/>
          <w:color w:val="auto"/>
          <w:sz w:val="28"/>
          <w:szCs w:val="28"/>
          <w:highlight w:val="none"/>
        </w:rPr>
      </w:pPr>
      <w:r>
        <w:rPr>
          <w:rFonts w:hint="eastAsia" w:cs="宋体"/>
          <w:color w:val="auto"/>
          <w:spacing w:val="-3"/>
          <w:sz w:val="28"/>
          <w:szCs w:val="28"/>
          <w:highlight w:val="none"/>
        </w:rPr>
        <w:t>以上企业，不属于大企业的分支机构，不存在控股股东</w:t>
      </w:r>
      <w:r>
        <w:rPr>
          <w:rFonts w:hint="eastAsia" w:cs="宋体"/>
          <w:color w:val="auto"/>
          <w:spacing w:val="-5"/>
          <w:sz w:val="28"/>
          <w:szCs w:val="28"/>
          <w:highlight w:val="none"/>
        </w:rPr>
        <w:t>为大企业的情形，也不存在与大企业的负责人为同一人的情形。</w:t>
      </w:r>
    </w:p>
    <w:p>
      <w:pPr>
        <w:pStyle w:val="9"/>
        <w:keepNext w:val="0"/>
        <w:keepLines w:val="0"/>
        <w:pageBreakBefore w:val="0"/>
        <w:widowControl w:val="0"/>
        <w:tabs>
          <w:tab w:val="left" w:pos="567"/>
        </w:tabs>
        <w:kinsoku/>
        <w:wordWrap/>
        <w:overflowPunct/>
        <w:topLinePunct w:val="0"/>
        <w:autoSpaceDE/>
        <w:autoSpaceDN/>
        <w:bidi w:val="0"/>
        <w:adjustRightInd/>
        <w:snapToGrid/>
        <w:spacing w:line="560" w:lineRule="exact"/>
        <w:ind w:right="372" w:firstLine="645"/>
        <w:textAlignment w:val="auto"/>
        <w:rPr>
          <w:rFonts w:hint="eastAsia" w:cs="宋体"/>
          <w:color w:val="auto"/>
          <w:sz w:val="28"/>
          <w:szCs w:val="28"/>
          <w:highlight w:val="none"/>
        </w:rPr>
      </w:pPr>
      <w:r>
        <w:rPr>
          <w:rFonts w:hint="eastAsia" w:cs="宋体"/>
          <w:color w:val="auto"/>
          <w:sz w:val="28"/>
          <w:szCs w:val="28"/>
          <w:highlight w:val="none"/>
        </w:rPr>
        <w:t>本企业对上述声明内容的真实性负责。如有虚假，将依法承担相应责任。</w:t>
      </w:r>
    </w:p>
    <w:p>
      <w:pPr>
        <w:pStyle w:val="9"/>
        <w:keepNext w:val="0"/>
        <w:keepLines w:val="0"/>
        <w:pageBreakBefore w:val="0"/>
        <w:widowControl w:val="0"/>
        <w:tabs>
          <w:tab w:val="left" w:pos="567"/>
        </w:tabs>
        <w:kinsoku/>
        <w:wordWrap/>
        <w:overflowPunct/>
        <w:topLinePunct w:val="0"/>
        <w:autoSpaceDE/>
        <w:autoSpaceDN/>
        <w:bidi w:val="0"/>
        <w:adjustRightInd/>
        <w:snapToGrid/>
        <w:spacing w:line="560" w:lineRule="exact"/>
        <w:ind w:right="372" w:firstLine="4774" w:firstLineChars="1705"/>
        <w:textAlignment w:val="auto"/>
        <w:rPr>
          <w:rFonts w:hint="eastAsia" w:cs="宋体"/>
          <w:color w:val="auto"/>
          <w:sz w:val="28"/>
          <w:szCs w:val="28"/>
          <w:highlight w:val="none"/>
          <w:lang w:eastAsia="zh-CN"/>
        </w:rPr>
      </w:pPr>
      <w:r>
        <w:rPr>
          <w:rFonts w:hint="eastAsia" w:cs="宋体"/>
          <w:color w:val="auto"/>
          <w:sz w:val="28"/>
          <w:szCs w:val="28"/>
          <w:highlight w:val="none"/>
        </w:rPr>
        <w:t>企业名称</w:t>
      </w:r>
      <w:r>
        <w:rPr>
          <w:rFonts w:hint="eastAsia" w:cs="宋体"/>
          <w:color w:val="auto"/>
          <w:sz w:val="28"/>
          <w:szCs w:val="28"/>
          <w:highlight w:val="none"/>
          <w:lang w:eastAsia="zh-CN"/>
        </w:rPr>
        <w:t>（盖章）：</w:t>
      </w:r>
    </w:p>
    <w:p>
      <w:pPr>
        <w:pStyle w:val="9"/>
        <w:keepNext w:val="0"/>
        <w:keepLines w:val="0"/>
        <w:pageBreakBefore w:val="0"/>
        <w:widowControl w:val="0"/>
        <w:tabs>
          <w:tab w:val="left" w:pos="567"/>
        </w:tabs>
        <w:kinsoku/>
        <w:wordWrap/>
        <w:overflowPunct/>
        <w:topLinePunct w:val="0"/>
        <w:autoSpaceDE/>
        <w:autoSpaceDN/>
        <w:bidi w:val="0"/>
        <w:adjustRightInd/>
        <w:snapToGrid/>
        <w:spacing w:line="560" w:lineRule="exact"/>
        <w:ind w:right="372" w:firstLine="4774" w:firstLineChars="1705"/>
        <w:textAlignment w:val="auto"/>
        <w:rPr>
          <w:rFonts w:hint="eastAsia" w:cs="宋体"/>
          <w:color w:val="auto"/>
          <w:sz w:val="28"/>
          <w:szCs w:val="28"/>
          <w:highlight w:val="none"/>
          <w:lang w:eastAsia="zh-CN"/>
        </w:rPr>
      </w:pPr>
      <w:r>
        <w:rPr>
          <w:rFonts w:hint="eastAsia" w:cs="宋体"/>
          <w:color w:val="auto"/>
          <w:sz w:val="28"/>
          <w:szCs w:val="28"/>
          <w:highlight w:val="none"/>
          <w:lang w:eastAsia="zh-CN"/>
        </w:rPr>
        <w:t>日</w:t>
      </w:r>
      <w:r>
        <w:rPr>
          <w:rFonts w:hint="eastAsia" w:cs="宋体"/>
          <w:color w:val="auto"/>
          <w:sz w:val="28"/>
          <w:szCs w:val="28"/>
          <w:highlight w:val="none"/>
        </w:rPr>
        <w:t>期：</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宋体"/>
          <w:color w:val="auto"/>
          <w:sz w:val="24"/>
          <w:highlight w:val="none"/>
        </w:rPr>
        <w:sectPr>
          <w:footerReference r:id="rId6" w:type="default"/>
          <w:pgSz w:w="11910" w:h="16840"/>
          <w:pgMar w:top="1162" w:right="1355" w:bottom="1157" w:left="1355" w:header="0" w:footer="1595" w:gutter="0"/>
          <w:pgNumType w:fmt="decimal" w:start="1"/>
          <w:cols w:space="720" w:num="1"/>
        </w:sectPr>
      </w:pPr>
      <w:r>
        <w:rPr>
          <w:rFonts w:hint="eastAsia" w:ascii="宋体" w:hAnsi="宋体" w:cs="宋体"/>
          <w:color w:val="auto"/>
          <w:sz w:val="24"/>
          <w:highlight w:val="none"/>
        </w:rPr>
        <w:t>注：从业人员、营业收入、资产总额填报上一年度数据，无上一年度数据的新成立企业可不填报。</w:t>
      </w:r>
    </w:p>
    <w:p>
      <w:pPr>
        <w:pageBreakBefore w:val="0"/>
        <w:kinsoku/>
        <w:wordWrap/>
        <w:overflowPunct/>
        <w:topLinePunct w:val="0"/>
        <w:bidi w:val="0"/>
        <w:spacing w:line="560" w:lineRule="exact"/>
        <w:jc w:val="center"/>
        <w:textAlignment w:val="auto"/>
        <w:rPr>
          <w:rFonts w:hint="eastAsia" w:ascii="宋体" w:hAnsi="宋体"/>
          <w:b/>
          <w:color w:val="auto"/>
          <w:kern w:val="0"/>
          <w:sz w:val="24"/>
          <w:szCs w:val="20"/>
          <w:highlight w:val="none"/>
        </w:rPr>
      </w:pPr>
      <w:bookmarkStart w:id="226" w:name="_Toc515647825"/>
      <w:bookmarkStart w:id="227" w:name="_Toc24603"/>
      <w:bookmarkStart w:id="228" w:name="_Toc23068"/>
      <w:bookmarkStart w:id="229" w:name="_Toc19284"/>
      <w:bookmarkStart w:id="230" w:name="OLE_LINK13"/>
      <w:bookmarkStart w:id="231" w:name="OLE_LINK14"/>
      <w:r>
        <w:rPr>
          <w:rFonts w:hint="eastAsia" w:ascii="宋体" w:hAnsi="宋体"/>
          <w:b/>
          <w:color w:val="auto"/>
          <w:kern w:val="0"/>
          <w:sz w:val="24"/>
          <w:szCs w:val="20"/>
          <w:highlight w:val="none"/>
          <w:lang w:val="en-US" w:eastAsia="zh-CN"/>
        </w:rPr>
        <w:t>2</w:t>
      </w:r>
      <w:r>
        <w:rPr>
          <w:rFonts w:hint="eastAsia" w:ascii="宋体" w:hAnsi="宋体"/>
          <w:b/>
          <w:color w:val="auto"/>
          <w:kern w:val="0"/>
          <w:sz w:val="24"/>
          <w:szCs w:val="20"/>
          <w:highlight w:val="none"/>
        </w:rPr>
        <w:t>.2  残疾人福利性单位声明函</w:t>
      </w:r>
      <w:bookmarkEnd w:id="226"/>
      <w:bookmarkEnd w:id="227"/>
      <w:bookmarkEnd w:id="228"/>
      <w:bookmarkEnd w:id="229"/>
      <w:r>
        <w:rPr>
          <w:rFonts w:hint="eastAsia" w:ascii="宋体" w:hAnsi="宋体" w:eastAsia="宋体" w:cs="宋体"/>
          <w:b/>
          <w:color w:val="auto"/>
          <w:kern w:val="0"/>
          <w:sz w:val="24"/>
          <w:szCs w:val="20"/>
          <w:highlight w:val="none"/>
        </w:rPr>
        <w:t>（如有）</w:t>
      </w:r>
    </w:p>
    <w:bookmarkEnd w:id="230"/>
    <w:bookmarkEnd w:id="231"/>
    <w:p>
      <w:pPr>
        <w:pageBreakBefore w:val="0"/>
        <w:kinsoku/>
        <w:wordWrap/>
        <w:overflowPunct/>
        <w:topLinePunct w:val="0"/>
        <w:bidi w:val="0"/>
        <w:spacing w:line="560" w:lineRule="exact"/>
        <w:ind w:firstLine="567"/>
        <w:textAlignment w:val="auto"/>
        <w:rPr>
          <w:rFonts w:hint="eastAsia" w:ascii="宋体" w:hAnsi="宋体"/>
          <w:color w:val="auto"/>
          <w:kern w:val="0"/>
          <w:sz w:val="24"/>
          <w:szCs w:val="20"/>
          <w:highlight w:val="none"/>
        </w:rPr>
      </w:pPr>
      <w:r>
        <w:rPr>
          <w:rFonts w:hint="eastAsia" w:ascii="宋体" w:hAnsi="宋体"/>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ascii="宋体" w:hAnsi="宋体"/>
          <w:color w:val="auto"/>
          <w:kern w:val="0"/>
          <w:sz w:val="24"/>
          <w:szCs w:val="20"/>
          <w:highlight w:val="none"/>
          <w:lang w:eastAsia="zh-CN"/>
        </w:rPr>
        <w:t>，</w:t>
      </w:r>
      <w:r>
        <w:rPr>
          <w:rFonts w:hint="eastAsia" w:ascii="宋体" w:hAnsi="宋体"/>
          <w:color w:val="auto"/>
          <w:kern w:val="0"/>
          <w:sz w:val="24"/>
          <w:szCs w:val="20"/>
          <w:highlight w:val="none"/>
          <w:lang w:val="en-US" w:eastAsia="zh-CN"/>
        </w:rPr>
        <w:t>服务全部由</w:t>
      </w:r>
      <w:r>
        <w:rPr>
          <w:rFonts w:hint="eastAsia" w:ascii="宋体" w:hAnsi="宋体"/>
          <w:color w:val="auto"/>
          <w:kern w:val="0"/>
          <w:sz w:val="24"/>
          <w:szCs w:val="20"/>
          <w:highlight w:val="none"/>
        </w:rPr>
        <w:t>本单位提供。</w:t>
      </w:r>
    </w:p>
    <w:p>
      <w:pPr>
        <w:pageBreakBefore w:val="0"/>
        <w:kinsoku/>
        <w:wordWrap/>
        <w:overflowPunct/>
        <w:topLinePunct w:val="0"/>
        <w:bidi w:val="0"/>
        <w:spacing w:line="560" w:lineRule="exact"/>
        <w:ind w:left="1080" w:leftChars="257" w:hanging="540"/>
        <w:textAlignment w:val="auto"/>
        <w:rPr>
          <w:rFonts w:hint="eastAsia" w:ascii="宋体" w:hAnsi="宋体"/>
          <w:color w:val="auto"/>
          <w:kern w:val="0"/>
          <w:sz w:val="24"/>
          <w:szCs w:val="20"/>
          <w:highlight w:val="none"/>
        </w:rPr>
      </w:pPr>
      <w:r>
        <w:rPr>
          <w:rFonts w:hint="eastAsia" w:ascii="宋体" w:hAnsi="宋体"/>
          <w:color w:val="auto"/>
          <w:kern w:val="0"/>
          <w:sz w:val="24"/>
          <w:szCs w:val="20"/>
          <w:highlight w:val="none"/>
        </w:rPr>
        <w:t>本单位对上述声明的真实性负责。如有虚假，将依法承担相应责任。</w:t>
      </w:r>
    </w:p>
    <w:p>
      <w:pPr>
        <w:pageBreakBefore w:val="0"/>
        <w:widowControl/>
        <w:kinsoku/>
        <w:wordWrap/>
        <w:overflowPunct/>
        <w:topLinePunct w:val="0"/>
        <w:bidi w:val="0"/>
        <w:spacing w:before="100" w:beforeAutospacing="1" w:after="100" w:afterAutospacing="1" w:line="560" w:lineRule="exact"/>
        <w:ind w:firstLine="48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供应商（公章）：</w:t>
      </w:r>
    </w:p>
    <w:p>
      <w:pPr>
        <w:pageBreakBefore w:val="0"/>
        <w:widowControl/>
        <w:kinsoku/>
        <w:wordWrap/>
        <w:overflowPunct/>
        <w:topLinePunct w:val="0"/>
        <w:bidi w:val="0"/>
        <w:spacing w:before="100" w:beforeAutospacing="1" w:after="100" w:afterAutospacing="1" w:line="560" w:lineRule="exact"/>
        <w:ind w:firstLine="480"/>
        <w:jc w:val="left"/>
        <w:textAlignment w:val="auto"/>
        <w:rPr>
          <w:rFonts w:hint="eastAsia" w:ascii="宋体" w:hAnsi="宋体" w:cs="宋体"/>
          <w:color w:val="auto"/>
          <w:kern w:val="0"/>
          <w:sz w:val="24"/>
          <w:highlight w:val="none"/>
        </w:rPr>
      </w:pPr>
      <w:r>
        <w:rPr>
          <w:rFonts w:hint="eastAsia" w:ascii="宋体" w:hAnsi="宋体"/>
          <w:color w:val="auto"/>
          <w:sz w:val="24"/>
          <w:highlight w:val="none"/>
        </w:rPr>
        <w:t>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w:t>
      </w:r>
      <w:r>
        <w:rPr>
          <w:rFonts w:hint="eastAsia" w:ascii="宋体" w:hAnsi="宋体" w:cs="宋体"/>
          <w:color w:val="auto"/>
          <w:kern w:val="0"/>
          <w:sz w:val="24"/>
          <w:highlight w:val="none"/>
        </w:rPr>
        <w:t>：</w:t>
      </w:r>
    </w:p>
    <w:p>
      <w:pPr>
        <w:pageBreakBefore w:val="0"/>
        <w:kinsoku/>
        <w:wordWrap/>
        <w:overflowPunct/>
        <w:topLinePunct w:val="0"/>
        <w:bidi w:val="0"/>
        <w:spacing w:line="560" w:lineRule="exact"/>
        <w:ind w:left="1080" w:leftChars="257" w:hanging="540"/>
        <w:textAlignment w:val="auto"/>
        <w:rPr>
          <w:rFonts w:hint="eastAsia" w:ascii="宋体" w:hAnsi="宋体"/>
          <w:color w:val="auto"/>
          <w:kern w:val="0"/>
          <w:sz w:val="24"/>
          <w:szCs w:val="20"/>
          <w:highlight w:val="none"/>
        </w:rPr>
      </w:pPr>
      <w:r>
        <w:rPr>
          <w:rFonts w:hint="eastAsia" w:ascii="宋体" w:hAnsi="宋体" w:cs="宋体"/>
          <w:color w:val="auto"/>
          <w:kern w:val="0"/>
          <w:sz w:val="24"/>
          <w:highlight w:val="none"/>
        </w:rPr>
        <w:t>日    期：      年   月   日</w:t>
      </w:r>
    </w:p>
    <w:p>
      <w:pPr>
        <w:pageBreakBefore w:val="0"/>
        <w:kinsoku/>
        <w:wordWrap/>
        <w:overflowPunct/>
        <w:topLinePunct w:val="0"/>
        <w:bidi w:val="0"/>
        <w:spacing w:line="560" w:lineRule="exact"/>
        <w:ind w:left="1080" w:leftChars="257" w:hanging="540"/>
        <w:textAlignment w:val="auto"/>
        <w:rPr>
          <w:rFonts w:hint="eastAsia" w:ascii="宋体" w:hAnsi="宋体"/>
          <w:color w:val="auto"/>
          <w:kern w:val="0"/>
          <w:sz w:val="24"/>
          <w:szCs w:val="20"/>
          <w:highlight w:val="none"/>
        </w:rPr>
      </w:pPr>
    </w:p>
    <w:p>
      <w:pPr>
        <w:pageBreakBefore w:val="0"/>
        <w:kinsoku/>
        <w:wordWrap/>
        <w:overflowPunct/>
        <w:topLinePunct w:val="0"/>
        <w:bidi w:val="0"/>
        <w:spacing w:line="560" w:lineRule="exact"/>
        <w:jc w:val="center"/>
        <w:textAlignment w:val="auto"/>
        <w:rPr>
          <w:rFonts w:hint="eastAsia" w:ascii="宋体" w:hAnsi="宋体"/>
          <w:b/>
          <w:color w:val="auto"/>
          <w:kern w:val="0"/>
          <w:sz w:val="24"/>
          <w:szCs w:val="20"/>
          <w:highlight w:val="none"/>
        </w:rPr>
      </w:pPr>
    </w:p>
    <w:p>
      <w:pPr>
        <w:pageBreakBefore w:val="0"/>
        <w:kinsoku/>
        <w:wordWrap/>
        <w:overflowPunct/>
        <w:topLinePunct w:val="0"/>
        <w:bidi w:val="0"/>
        <w:spacing w:line="560" w:lineRule="exact"/>
        <w:jc w:val="both"/>
        <w:textAlignment w:val="auto"/>
        <w:rPr>
          <w:rFonts w:hint="eastAsia" w:ascii="宋体" w:hAnsi="宋体" w:eastAsiaTheme="minorEastAsia"/>
          <w:b/>
          <w:color w:val="auto"/>
          <w:kern w:val="0"/>
          <w:sz w:val="24"/>
          <w:szCs w:val="20"/>
          <w:highlight w:val="none"/>
          <w:lang w:eastAsia="zh-CN"/>
        </w:rPr>
      </w:pPr>
      <w:r>
        <w:rPr>
          <w:rFonts w:hint="eastAsia" w:ascii="宋体" w:hAnsi="宋体"/>
          <w:b/>
          <w:color w:val="auto"/>
          <w:kern w:val="0"/>
          <w:sz w:val="24"/>
          <w:szCs w:val="20"/>
          <w:highlight w:val="none"/>
          <w:lang w:val="en-US" w:eastAsia="zh-CN"/>
        </w:rPr>
        <w:t>2</w:t>
      </w:r>
      <w:r>
        <w:rPr>
          <w:rFonts w:hint="eastAsia" w:ascii="宋体" w:hAnsi="宋体"/>
          <w:b/>
          <w:color w:val="auto"/>
          <w:kern w:val="0"/>
          <w:sz w:val="24"/>
          <w:szCs w:val="20"/>
          <w:highlight w:val="none"/>
        </w:rPr>
        <w:t>.3省级以上监狱管理局、戒毒管理局（含新疆生产建设兵团） 出具的属于监狱企业的证明文件</w:t>
      </w:r>
      <w:r>
        <w:rPr>
          <w:rFonts w:hint="eastAsia" w:ascii="宋体" w:hAnsi="宋体"/>
          <w:b/>
          <w:color w:val="auto"/>
          <w:kern w:val="0"/>
          <w:sz w:val="24"/>
          <w:szCs w:val="20"/>
          <w:highlight w:val="none"/>
          <w:lang w:eastAsia="zh-CN"/>
        </w:rPr>
        <w:t>扫描件</w:t>
      </w:r>
    </w:p>
    <w:p>
      <w:pPr>
        <w:pageBreakBefore w:val="0"/>
        <w:kinsoku/>
        <w:wordWrap/>
        <w:overflowPunct/>
        <w:topLinePunct w:val="0"/>
        <w:bidi w:val="0"/>
        <w:spacing w:line="560" w:lineRule="exact"/>
        <w:jc w:val="center"/>
        <w:textAlignment w:val="auto"/>
        <w:rPr>
          <w:rFonts w:hint="eastAsia" w:ascii="宋体" w:hAnsi="宋体"/>
          <w:b/>
          <w:color w:val="auto"/>
          <w:kern w:val="0"/>
          <w:sz w:val="24"/>
          <w:szCs w:val="20"/>
          <w:highlight w:val="none"/>
        </w:rPr>
      </w:pPr>
    </w:p>
    <w:p>
      <w:pPr>
        <w:pStyle w:val="6"/>
        <w:rPr>
          <w:rFonts w:hint="eastAsia" w:ascii="宋体" w:hAnsi="宋体"/>
          <w:b/>
          <w:color w:val="auto"/>
          <w:kern w:val="0"/>
          <w:sz w:val="24"/>
          <w:szCs w:val="20"/>
          <w:highlight w:val="none"/>
        </w:rPr>
      </w:pPr>
    </w:p>
    <w:p>
      <w:pPr>
        <w:rPr>
          <w:rFonts w:hint="eastAsia" w:ascii="宋体" w:hAnsi="宋体"/>
          <w:b/>
          <w:color w:val="auto"/>
          <w:kern w:val="0"/>
          <w:sz w:val="24"/>
          <w:szCs w:val="20"/>
          <w:highlight w:val="none"/>
        </w:rPr>
      </w:pPr>
    </w:p>
    <w:p>
      <w:pPr>
        <w:pStyle w:val="6"/>
        <w:rPr>
          <w:rFonts w:hint="eastAsia" w:ascii="宋体" w:hAnsi="宋体"/>
          <w:b/>
          <w:color w:val="auto"/>
          <w:kern w:val="0"/>
          <w:sz w:val="24"/>
          <w:szCs w:val="20"/>
          <w:highlight w:val="none"/>
        </w:rPr>
      </w:pPr>
    </w:p>
    <w:p>
      <w:pPr>
        <w:rPr>
          <w:rFonts w:hint="eastAsia" w:ascii="宋体" w:hAnsi="宋体"/>
          <w:b/>
          <w:color w:val="auto"/>
          <w:kern w:val="0"/>
          <w:sz w:val="24"/>
          <w:szCs w:val="20"/>
          <w:highlight w:val="none"/>
        </w:rPr>
      </w:pPr>
    </w:p>
    <w:p>
      <w:pPr>
        <w:pStyle w:val="6"/>
        <w:rPr>
          <w:rFonts w:hint="eastAsia" w:ascii="宋体" w:hAnsi="宋体"/>
          <w:b/>
          <w:color w:val="auto"/>
          <w:kern w:val="0"/>
          <w:sz w:val="24"/>
          <w:szCs w:val="20"/>
          <w:highlight w:val="none"/>
        </w:rPr>
      </w:pPr>
    </w:p>
    <w:p>
      <w:pPr>
        <w:rPr>
          <w:rFonts w:hint="eastAsia" w:ascii="宋体" w:hAnsi="宋体"/>
          <w:b/>
          <w:color w:val="auto"/>
          <w:kern w:val="0"/>
          <w:sz w:val="24"/>
          <w:szCs w:val="20"/>
          <w:highlight w:val="none"/>
        </w:rPr>
      </w:pPr>
    </w:p>
    <w:p>
      <w:pPr>
        <w:pStyle w:val="6"/>
        <w:rPr>
          <w:rFonts w:hint="eastAsia" w:ascii="宋体" w:hAnsi="宋体"/>
          <w:b/>
          <w:color w:val="auto"/>
          <w:kern w:val="0"/>
          <w:sz w:val="24"/>
          <w:szCs w:val="20"/>
          <w:highlight w:val="none"/>
        </w:rPr>
      </w:pPr>
    </w:p>
    <w:bookmarkEnd w:id="222"/>
    <w:p>
      <w:pPr>
        <w:rPr>
          <w:rFonts w:hint="eastAsia"/>
          <w:b/>
          <w:bCs/>
          <w:u w:val="single"/>
          <w:lang w:val="en-US" w:eastAsia="zh-CN"/>
        </w:rPr>
      </w:pPr>
    </w:p>
    <w:p>
      <w:pPr>
        <w:pStyle w:val="6"/>
        <w:rPr>
          <w:rFonts w:hint="eastAsia"/>
          <w:lang w:val="en-US" w:eastAsia="zh-CN"/>
        </w:rPr>
      </w:pPr>
    </w:p>
    <w:p>
      <w:pPr>
        <w:pStyle w:val="6"/>
        <w:rPr>
          <w:rFonts w:hint="eastAsia"/>
          <w:b/>
          <w:bCs/>
          <w:u w:val="single"/>
          <w:lang w:val="en-US" w:eastAsia="zh-CN"/>
        </w:rPr>
      </w:pPr>
    </w:p>
    <w:p>
      <w:pPr>
        <w:rPr>
          <w:rFonts w:hint="eastAsia"/>
          <w:lang w:val="en-US" w:eastAsia="zh-CN"/>
        </w:rPr>
      </w:pPr>
    </w:p>
    <w:p>
      <w:pPr>
        <w:rPr>
          <w:rFonts w:hint="eastAsia" w:hAnsi="宋体"/>
          <w:color w:val="auto"/>
          <w:highlight w:val="none"/>
          <w:u w:val="none"/>
        </w:rPr>
      </w:pPr>
      <w:r>
        <w:rPr>
          <w:rFonts w:hint="eastAsia"/>
          <w:b/>
          <w:bCs/>
          <w:u w:val="single"/>
          <w:lang w:val="en-US" w:eastAsia="zh-CN"/>
        </w:rPr>
        <w:t xml:space="preserve">               </w:t>
      </w:r>
      <w:bookmarkStart w:id="232" w:name="_Toc46136866"/>
      <w:bookmarkStart w:id="233" w:name="_Toc45562517"/>
      <w:bookmarkStart w:id="234" w:name="_Toc12871"/>
    </w:p>
    <w:p>
      <w:pPr>
        <w:numPr>
          <w:ilvl w:val="0"/>
          <w:numId w:val="0"/>
        </w:numPr>
        <w:spacing w:after="240"/>
        <w:jc w:val="left"/>
        <w:outlineLvl w:val="2"/>
        <w:rPr>
          <w:rFonts w:hint="eastAsia" w:hAnsi="宋体"/>
          <w:b/>
          <w:bCs w:val="0"/>
          <w:sz w:val="24"/>
          <w:szCs w:val="24"/>
        </w:rPr>
      </w:pPr>
      <w:bookmarkStart w:id="235" w:name="_Toc16174"/>
      <w:bookmarkStart w:id="236" w:name="_Toc7330"/>
      <w:r>
        <w:rPr>
          <w:rFonts w:hint="eastAsia" w:hAnsi="宋体"/>
          <w:b/>
          <w:bCs w:val="0"/>
          <w:sz w:val="24"/>
          <w:szCs w:val="24"/>
          <w:lang w:val="en-US" w:eastAsia="zh-CN"/>
        </w:rPr>
        <w:t>3.</w:t>
      </w:r>
      <w:r>
        <w:rPr>
          <w:rFonts w:hint="eastAsia" w:hAnsi="宋体"/>
          <w:b/>
          <w:bCs w:val="0"/>
          <w:sz w:val="24"/>
          <w:szCs w:val="24"/>
        </w:rPr>
        <w:t>企业基本情况表</w:t>
      </w:r>
      <w:bookmarkEnd w:id="235"/>
      <w:bookmarkEnd w:id="236"/>
    </w:p>
    <w:p>
      <w:pPr>
        <w:numPr>
          <w:ilvl w:val="0"/>
          <w:numId w:val="0"/>
        </w:numPr>
        <w:spacing w:after="240"/>
        <w:jc w:val="center"/>
        <w:rPr>
          <w:rFonts w:hint="eastAsia"/>
        </w:rPr>
      </w:pPr>
      <w:r>
        <w:rPr>
          <w:b/>
          <w:bCs/>
          <w:color w:val="000000"/>
          <w:sz w:val="24"/>
        </w:rPr>
        <w:t>企业基本情况表</w:t>
      </w:r>
    </w:p>
    <w:tbl>
      <w:tblPr>
        <w:tblStyle w:val="19"/>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459"/>
        <w:gridCol w:w="1440"/>
        <w:gridCol w:w="1440"/>
        <w:gridCol w:w="1440"/>
        <w:gridCol w:w="1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单位名称</w:t>
            </w:r>
          </w:p>
        </w:tc>
        <w:tc>
          <w:tcPr>
            <w:tcW w:w="4339"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邮政编码</w:t>
            </w:r>
          </w:p>
        </w:tc>
        <w:tc>
          <w:tcPr>
            <w:tcW w:w="186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地址</w:t>
            </w:r>
          </w:p>
        </w:tc>
        <w:tc>
          <w:tcPr>
            <w:tcW w:w="4339"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联系电话</w:t>
            </w:r>
          </w:p>
        </w:tc>
        <w:tc>
          <w:tcPr>
            <w:tcW w:w="186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52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法人代表</w:t>
            </w:r>
          </w:p>
        </w:tc>
        <w:tc>
          <w:tcPr>
            <w:tcW w:w="145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公司负责人</w:t>
            </w:r>
          </w:p>
        </w:tc>
        <w:tc>
          <w:tcPr>
            <w:tcW w:w="144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营业执照</w:t>
            </w:r>
          </w:p>
          <w:p>
            <w:pPr>
              <w:ind w:firstLine="480" w:firstLineChars="200"/>
              <w:rPr>
                <w:rFonts w:ascii="宋体" w:hAnsi="宋体"/>
                <w:color w:val="000000"/>
                <w:sz w:val="24"/>
              </w:rPr>
            </w:pPr>
            <w:r>
              <w:rPr>
                <w:rFonts w:ascii="宋体" w:hAnsi="宋体"/>
                <w:color w:val="000000"/>
                <w:sz w:val="24"/>
              </w:rPr>
              <w:t>号码</w:t>
            </w:r>
          </w:p>
        </w:tc>
        <w:tc>
          <w:tcPr>
            <w:tcW w:w="186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52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注册资金</w:t>
            </w:r>
          </w:p>
        </w:tc>
        <w:tc>
          <w:tcPr>
            <w:tcW w:w="145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所有制性质</w:t>
            </w:r>
          </w:p>
        </w:tc>
        <w:tc>
          <w:tcPr>
            <w:tcW w:w="144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资质及等级</w:t>
            </w:r>
          </w:p>
        </w:tc>
        <w:tc>
          <w:tcPr>
            <w:tcW w:w="186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152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注册机关</w:t>
            </w:r>
          </w:p>
        </w:tc>
        <w:tc>
          <w:tcPr>
            <w:tcW w:w="145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注册时间</w:t>
            </w:r>
          </w:p>
        </w:tc>
        <w:tc>
          <w:tcPr>
            <w:tcW w:w="4749"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7" w:hRule="atLeast"/>
          <w:jc w:val="center"/>
        </w:trPr>
        <w:tc>
          <w:tcPr>
            <w:tcW w:w="152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人员</w:t>
            </w:r>
          </w:p>
          <w:p>
            <w:pPr>
              <w:jc w:val="center"/>
              <w:rPr>
                <w:rFonts w:ascii="宋体" w:hAnsi="宋体"/>
                <w:color w:val="000000"/>
                <w:sz w:val="24"/>
              </w:rPr>
            </w:pPr>
            <w:r>
              <w:rPr>
                <w:rFonts w:ascii="宋体" w:hAnsi="宋体"/>
                <w:color w:val="000000"/>
                <w:sz w:val="24"/>
              </w:rPr>
              <w:t>情况</w:t>
            </w:r>
          </w:p>
        </w:tc>
        <w:tc>
          <w:tcPr>
            <w:tcW w:w="7648" w:type="dxa"/>
            <w:gridSpan w:val="5"/>
            <w:tcBorders>
              <w:top w:val="single" w:color="auto" w:sz="4" w:space="0"/>
              <w:left w:val="single" w:color="auto" w:sz="4" w:space="0"/>
              <w:bottom w:val="single" w:color="auto" w:sz="4" w:space="0"/>
              <w:right w:val="single" w:color="auto" w:sz="4" w:space="0"/>
            </w:tcBorders>
            <w:noWrap w:val="0"/>
            <w:vAlign w:val="top"/>
          </w:tcPr>
          <w:p>
            <w:pP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2" w:hRule="atLeast"/>
          <w:jc w:val="center"/>
        </w:trPr>
        <w:tc>
          <w:tcPr>
            <w:tcW w:w="152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业务</w:t>
            </w:r>
          </w:p>
          <w:p>
            <w:pPr>
              <w:jc w:val="center"/>
              <w:rPr>
                <w:rFonts w:ascii="宋体" w:hAnsi="宋体"/>
                <w:color w:val="000000"/>
                <w:sz w:val="24"/>
              </w:rPr>
            </w:pPr>
            <w:r>
              <w:rPr>
                <w:rFonts w:ascii="宋体" w:hAnsi="宋体"/>
                <w:color w:val="000000"/>
                <w:sz w:val="24"/>
              </w:rPr>
              <w:t>开展</w:t>
            </w:r>
          </w:p>
          <w:p>
            <w:pPr>
              <w:jc w:val="center"/>
              <w:rPr>
                <w:rFonts w:ascii="宋体" w:hAnsi="宋体"/>
                <w:color w:val="000000"/>
                <w:sz w:val="24"/>
              </w:rPr>
            </w:pPr>
            <w:r>
              <w:rPr>
                <w:rFonts w:ascii="宋体" w:hAnsi="宋体"/>
                <w:color w:val="000000"/>
                <w:sz w:val="24"/>
              </w:rPr>
              <w:t>情况</w:t>
            </w:r>
          </w:p>
        </w:tc>
        <w:tc>
          <w:tcPr>
            <w:tcW w:w="7648" w:type="dxa"/>
            <w:gridSpan w:val="5"/>
            <w:tcBorders>
              <w:top w:val="single" w:color="auto" w:sz="4" w:space="0"/>
              <w:left w:val="single" w:color="auto" w:sz="4" w:space="0"/>
              <w:bottom w:val="single" w:color="auto" w:sz="4" w:space="0"/>
              <w:right w:val="single" w:color="auto" w:sz="4" w:space="0"/>
            </w:tcBorders>
            <w:noWrap w:val="0"/>
            <w:vAlign w:val="top"/>
          </w:tcPr>
          <w:p>
            <w:pP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8" w:hRule="atLeast"/>
          <w:jc w:val="center"/>
        </w:trPr>
        <w:tc>
          <w:tcPr>
            <w:tcW w:w="152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内部</w:t>
            </w:r>
          </w:p>
          <w:p>
            <w:pPr>
              <w:jc w:val="center"/>
              <w:rPr>
                <w:rFonts w:ascii="宋体" w:hAnsi="宋体"/>
                <w:color w:val="000000"/>
                <w:sz w:val="24"/>
              </w:rPr>
            </w:pPr>
            <w:r>
              <w:rPr>
                <w:rFonts w:ascii="宋体" w:hAnsi="宋体"/>
                <w:color w:val="000000"/>
                <w:sz w:val="24"/>
              </w:rPr>
              <w:t>机构</w:t>
            </w:r>
          </w:p>
          <w:p>
            <w:pPr>
              <w:jc w:val="center"/>
              <w:rPr>
                <w:rFonts w:ascii="宋体" w:hAnsi="宋体"/>
                <w:color w:val="000000"/>
                <w:sz w:val="24"/>
              </w:rPr>
            </w:pPr>
            <w:r>
              <w:rPr>
                <w:rFonts w:ascii="宋体" w:hAnsi="宋体"/>
                <w:color w:val="000000"/>
                <w:sz w:val="24"/>
              </w:rPr>
              <w:t>设置</w:t>
            </w:r>
          </w:p>
          <w:p>
            <w:pPr>
              <w:jc w:val="center"/>
              <w:rPr>
                <w:rFonts w:ascii="宋体" w:hAnsi="宋体"/>
                <w:color w:val="000000"/>
                <w:sz w:val="24"/>
              </w:rPr>
            </w:pPr>
            <w:r>
              <w:rPr>
                <w:rFonts w:ascii="宋体" w:hAnsi="宋体"/>
                <w:color w:val="000000"/>
                <w:sz w:val="24"/>
              </w:rPr>
              <w:t>情况</w:t>
            </w:r>
          </w:p>
        </w:tc>
        <w:tc>
          <w:tcPr>
            <w:tcW w:w="7648" w:type="dxa"/>
            <w:gridSpan w:val="5"/>
            <w:tcBorders>
              <w:top w:val="single" w:color="auto" w:sz="4" w:space="0"/>
              <w:left w:val="single" w:color="auto" w:sz="4" w:space="0"/>
              <w:bottom w:val="single" w:color="auto" w:sz="4" w:space="0"/>
              <w:right w:val="single" w:color="auto" w:sz="4" w:space="0"/>
            </w:tcBorders>
            <w:noWrap w:val="0"/>
            <w:vAlign w:val="top"/>
          </w:tcPr>
          <w:p>
            <w:pP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6" w:hRule="atLeast"/>
          <w:jc w:val="center"/>
        </w:trPr>
        <w:tc>
          <w:tcPr>
            <w:tcW w:w="152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olor w:val="000000"/>
                <w:sz w:val="24"/>
              </w:rPr>
            </w:pPr>
            <w:r>
              <w:rPr>
                <w:rFonts w:ascii="宋体" w:hAnsi="宋体"/>
                <w:color w:val="000000"/>
                <w:sz w:val="24"/>
              </w:rPr>
              <w:t>财务</w:t>
            </w:r>
          </w:p>
          <w:p>
            <w:pPr>
              <w:jc w:val="center"/>
              <w:rPr>
                <w:rFonts w:ascii="宋体" w:hAnsi="宋体"/>
                <w:color w:val="000000"/>
                <w:sz w:val="24"/>
              </w:rPr>
            </w:pPr>
            <w:r>
              <w:rPr>
                <w:rFonts w:ascii="宋体" w:hAnsi="宋体"/>
                <w:color w:val="000000"/>
                <w:sz w:val="24"/>
              </w:rPr>
              <w:t>状况</w:t>
            </w:r>
          </w:p>
          <w:p>
            <w:pPr>
              <w:jc w:val="center"/>
              <w:rPr>
                <w:rFonts w:ascii="宋体" w:hAnsi="宋体"/>
                <w:color w:val="000000"/>
                <w:sz w:val="24"/>
              </w:rPr>
            </w:pPr>
            <w:r>
              <w:rPr>
                <w:rFonts w:ascii="宋体" w:hAnsi="宋体"/>
                <w:color w:val="000000"/>
                <w:sz w:val="24"/>
              </w:rPr>
              <w:t>说明</w:t>
            </w:r>
          </w:p>
        </w:tc>
        <w:tc>
          <w:tcPr>
            <w:tcW w:w="7648" w:type="dxa"/>
            <w:gridSpan w:val="5"/>
            <w:tcBorders>
              <w:top w:val="single" w:color="auto" w:sz="4" w:space="0"/>
              <w:left w:val="single" w:color="auto" w:sz="4" w:space="0"/>
              <w:bottom w:val="single" w:color="auto" w:sz="4" w:space="0"/>
              <w:right w:val="single" w:color="auto" w:sz="4" w:space="0"/>
            </w:tcBorders>
            <w:noWrap w:val="0"/>
            <w:vAlign w:val="top"/>
          </w:tcPr>
          <w:p>
            <w:pPr>
              <w:rPr>
                <w:rFonts w:ascii="宋体" w:hAnsi="宋体"/>
                <w:color w:val="000000"/>
                <w:sz w:val="24"/>
              </w:rPr>
            </w:pPr>
          </w:p>
        </w:tc>
      </w:tr>
    </w:tbl>
    <w:p>
      <w:pPr>
        <w:pStyle w:val="6"/>
        <w:outlineLvl w:val="9"/>
      </w:pPr>
      <w:bookmarkStart w:id="237" w:name="_Toc84860874"/>
    </w:p>
    <w:p/>
    <w:p>
      <w:pPr>
        <w:pStyle w:val="6"/>
      </w:pPr>
    </w:p>
    <w:p>
      <w:pPr>
        <w:pStyle w:val="6"/>
        <w:numPr>
          <w:ilvl w:val="0"/>
          <w:numId w:val="0"/>
        </w:numPr>
        <w:ind w:leftChars="0"/>
        <w:rPr>
          <w:rFonts w:hint="eastAsia"/>
          <w:u w:val="none"/>
        </w:rPr>
      </w:pPr>
      <w:bookmarkStart w:id="238" w:name="_Toc10658"/>
      <w:bookmarkStart w:id="239" w:name="_Toc23044"/>
      <w:r>
        <w:rPr>
          <w:rFonts w:hint="eastAsia"/>
          <w:u w:val="none"/>
          <w:lang w:val="en-US" w:eastAsia="zh-CN"/>
        </w:rPr>
        <w:t>4.</w:t>
      </w:r>
      <w:r>
        <w:rPr>
          <w:rFonts w:hint="eastAsia"/>
          <w:u w:val="none"/>
        </w:rPr>
        <w:t>拟派本项目人员</w:t>
      </w:r>
      <w:r>
        <w:rPr>
          <w:rFonts w:hint="eastAsia"/>
          <w:u w:val="none"/>
          <w:lang w:val="en-US" w:eastAsia="zh-CN"/>
        </w:rPr>
        <w:t>汇总</w:t>
      </w:r>
      <w:r>
        <w:rPr>
          <w:rFonts w:hint="eastAsia"/>
          <w:u w:val="none"/>
        </w:rPr>
        <w:t>表</w:t>
      </w:r>
      <w:bookmarkEnd w:id="237"/>
      <w:bookmarkEnd w:id="238"/>
      <w:bookmarkEnd w:id="239"/>
    </w:p>
    <w:p>
      <w:pPr>
        <w:numPr>
          <w:ilvl w:val="0"/>
          <w:numId w:val="0"/>
        </w:numPr>
        <w:ind w:leftChars="0"/>
      </w:pPr>
    </w:p>
    <w:p>
      <w:pPr>
        <w:widowControl/>
        <w:autoSpaceDE w:val="0"/>
        <w:autoSpaceDN w:val="0"/>
        <w:adjustRightInd w:val="0"/>
        <w:snapToGrid w:val="0"/>
        <w:spacing w:line="360" w:lineRule="auto"/>
        <w:contextualSpacing/>
        <w:jc w:val="center"/>
        <w:rPr>
          <w:rFonts w:ascii="宋体" w:hAnsi="宋体"/>
          <w:b/>
          <w:sz w:val="24"/>
        </w:rPr>
      </w:pPr>
      <w:r>
        <w:rPr>
          <w:rFonts w:hint="eastAsia" w:ascii="宋体" w:hAnsi="宋体"/>
          <w:b/>
          <w:sz w:val="24"/>
        </w:rPr>
        <w:t>拟派本项目人员汇总表</w:t>
      </w:r>
    </w:p>
    <w:tbl>
      <w:tblPr>
        <w:tblStyle w:val="19"/>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7"/>
        <w:gridCol w:w="3299"/>
        <w:gridCol w:w="3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977" w:type="dxa"/>
            <w:noWrap w:val="0"/>
            <w:vAlign w:val="center"/>
          </w:tcPr>
          <w:p>
            <w:pPr>
              <w:widowControl/>
              <w:jc w:val="center"/>
              <w:rPr>
                <w:rFonts w:ascii="宋体" w:hAnsi="宋体" w:cs="宋体"/>
                <w:kern w:val="0"/>
                <w:sz w:val="24"/>
              </w:rPr>
            </w:pPr>
            <w:r>
              <w:rPr>
                <w:rFonts w:ascii="宋体" w:hAnsi="宋体" w:cs="宋体"/>
                <w:kern w:val="0"/>
                <w:sz w:val="24"/>
              </w:rPr>
              <w:t>总人数</w:t>
            </w:r>
          </w:p>
        </w:tc>
        <w:tc>
          <w:tcPr>
            <w:tcW w:w="7212" w:type="dxa"/>
            <w:gridSpan w:val="2"/>
            <w:noWrap w:val="0"/>
            <w:vAlign w:val="center"/>
          </w:tcPr>
          <w:p>
            <w:pPr>
              <w:widowControl/>
              <w:jc w:val="center"/>
              <w:rPr>
                <w:rFonts w:ascii="宋体" w:hAnsi="宋体" w:cs="宋体"/>
                <w:kern w:val="0"/>
                <w:sz w:val="24"/>
              </w:rPr>
            </w:pPr>
            <w:r>
              <w:rPr>
                <w:rFonts w:ascii="宋体" w:hAnsi="宋体" w:cs="宋体"/>
                <w:kern w:val="0"/>
                <w:sz w:val="24"/>
                <w:u w:val="single"/>
              </w:rPr>
              <w:t xml:space="preserve">     </w:t>
            </w:r>
            <w:r>
              <w:rPr>
                <w:rFonts w:ascii="宋体" w:hAnsi="宋体" w:cs="宋体"/>
                <w:kern w:val="0"/>
                <w:sz w:val="24"/>
              </w:rPr>
              <w:t>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977" w:type="dxa"/>
            <w:noWrap w:val="0"/>
            <w:vAlign w:val="center"/>
          </w:tcPr>
          <w:p>
            <w:pPr>
              <w:widowControl/>
              <w:jc w:val="center"/>
              <w:rPr>
                <w:rFonts w:ascii="宋体" w:hAnsi="宋体" w:cs="宋体"/>
                <w:kern w:val="0"/>
                <w:sz w:val="24"/>
              </w:rPr>
            </w:pPr>
          </w:p>
        </w:tc>
        <w:tc>
          <w:tcPr>
            <w:tcW w:w="3299" w:type="dxa"/>
            <w:noWrap w:val="0"/>
            <w:vAlign w:val="center"/>
          </w:tcPr>
          <w:p>
            <w:pPr>
              <w:widowControl/>
              <w:jc w:val="center"/>
              <w:rPr>
                <w:rFonts w:ascii="宋体" w:hAnsi="宋体" w:cs="宋体"/>
                <w:kern w:val="0"/>
                <w:sz w:val="24"/>
              </w:rPr>
            </w:pPr>
            <w:r>
              <w:rPr>
                <w:rFonts w:hint="eastAsia" w:ascii="宋体" w:hAnsi="宋体" w:cs="宋体"/>
                <w:kern w:val="0"/>
                <w:sz w:val="24"/>
              </w:rPr>
              <w:t>岗位</w:t>
            </w:r>
          </w:p>
        </w:tc>
        <w:tc>
          <w:tcPr>
            <w:tcW w:w="3913" w:type="dxa"/>
            <w:noWrap w:val="0"/>
            <w:vAlign w:val="center"/>
          </w:tcPr>
          <w:p>
            <w:pPr>
              <w:widowControl/>
              <w:jc w:val="center"/>
              <w:rPr>
                <w:rFonts w:ascii="宋体" w:hAnsi="宋体" w:cs="宋体"/>
                <w:kern w:val="0"/>
                <w:sz w:val="24"/>
              </w:rPr>
            </w:pPr>
            <w:r>
              <w:rPr>
                <w:rFonts w:hint="eastAsia" w:ascii="宋体" w:hAnsi="宋体" w:cs="宋体"/>
                <w:kern w:val="0"/>
                <w:sz w:val="24"/>
              </w:rPr>
              <w:t>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77" w:type="dxa"/>
            <w:vMerge w:val="restart"/>
            <w:noWrap w:val="0"/>
            <w:vAlign w:val="center"/>
          </w:tcPr>
          <w:p>
            <w:pPr>
              <w:widowControl/>
              <w:jc w:val="center"/>
              <w:rPr>
                <w:rFonts w:ascii="宋体" w:hAnsi="宋体" w:cs="宋体"/>
                <w:kern w:val="0"/>
                <w:sz w:val="24"/>
              </w:rPr>
            </w:pPr>
            <w:r>
              <w:rPr>
                <w:rFonts w:hint="eastAsia" w:ascii="宋体" w:hAnsi="宋体" w:cs="宋体"/>
                <w:kern w:val="0"/>
                <w:sz w:val="24"/>
              </w:rPr>
              <w:t>管理人员</w:t>
            </w:r>
          </w:p>
        </w:tc>
        <w:tc>
          <w:tcPr>
            <w:tcW w:w="3299" w:type="dxa"/>
            <w:noWrap w:val="0"/>
            <w:vAlign w:val="center"/>
          </w:tcPr>
          <w:p>
            <w:pPr>
              <w:widowControl/>
              <w:jc w:val="center"/>
              <w:rPr>
                <w:rFonts w:ascii="宋体" w:hAnsi="宋体" w:cs="宋体"/>
                <w:kern w:val="0"/>
                <w:sz w:val="24"/>
              </w:rPr>
            </w:pPr>
          </w:p>
        </w:tc>
        <w:tc>
          <w:tcPr>
            <w:tcW w:w="3913" w:type="dxa"/>
            <w:noWrap w:val="0"/>
            <w:vAlign w:val="center"/>
          </w:tcPr>
          <w:p>
            <w:pPr>
              <w:widowControl/>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77" w:type="dxa"/>
            <w:vMerge w:val="continue"/>
            <w:noWrap w:val="0"/>
            <w:vAlign w:val="center"/>
          </w:tcPr>
          <w:p>
            <w:pPr>
              <w:widowControl/>
              <w:jc w:val="center"/>
              <w:rPr>
                <w:rFonts w:ascii="宋体" w:hAnsi="宋体" w:cs="宋体"/>
                <w:kern w:val="0"/>
                <w:sz w:val="24"/>
              </w:rPr>
            </w:pPr>
          </w:p>
        </w:tc>
        <w:tc>
          <w:tcPr>
            <w:tcW w:w="3299" w:type="dxa"/>
            <w:noWrap w:val="0"/>
            <w:vAlign w:val="center"/>
          </w:tcPr>
          <w:p>
            <w:pPr>
              <w:widowControl/>
              <w:jc w:val="center"/>
              <w:rPr>
                <w:rFonts w:ascii="宋体" w:hAnsi="宋体" w:cs="宋体"/>
                <w:kern w:val="0"/>
                <w:sz w:val="24"/>
              </w:rPr>
            </w:pPr>
          </w:p>
        </w:tc>
        <w:tc>
          <w:tcPr>
            <w:tcW w:w="3913" w:type="dxa"/>
            <w:noWrap w:val="0"/>
            <w:vAlign w:val="center"/>
          </w:tcPr>
          <w:p>
            <w:pPr>
              <w:widowControl/>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77" w:type="dxa"/>
            <w:vMerge w:val="continue"/>
            <w:noWrap w:val="0"/>
            <w:vAlign w:val="center"/>
          </w:tcPr>
          <w:p>
            <w:pPr>
              <w:widowControl/>
              <w:jc w:val="center"/>
              <w:rPr>
                <w:rFonts w:ascii="宋体" w:hAnsi="宋体" w:cs="宋体"/>
                <w:kern w:val="0"/>
                <w:sz w:val="24"/>
              </w:rPr>
            </w:pPr>
          </w:p>
        </w:tc>
        <w:tc>
          <w:tcPr>
            <w:tcW w:w="3299" w:type="dxa"/>
            <w:noWrap w:val="0"/>
            <w:vAlign w:val="center"/>
          </w:tcPr>
          <w:p>
            <w:pPr>
              <w:widowControl/>
              <w:jc w:val="center"/>
              <w:rPr>
                <w:rFonts w:ascii="宋体" w:hAnsi="宋体" w:cs="宋体"/>
                <w:kern w:val="0"/>
                <w:sz w:val="24"/>
              </w:rPr>
            </w:pPr>
          </w:p>
        </w:tc>
        <w:tc>
          <w:tcPr>
            <w:tcW w:w="3913" w:type="dxa"/>
            <w:noWrap w:val="0"/>
            <w:vAlign w:val="center"/>
          </w:tcPr>
          <w:p>
            <w:pPr>
              <w:widowControl/>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77" w:type="dxa"/>
            <w:vMerge w:val="restart"/>
            <w:noWrap w:val="0"/>
            <w:vAlign w:val="center"/>
          </w:tcPr>
          <w:p>
            <w:pPr>
              <w:widowControl/>
              <w:jc w:val="center"/>
              <w:rPr>
                <w:rFonts w:ascii="宋体" w:hAnsi="宋体" w:cs="宋体"/>
                <w:kern w:val="0"/>
                <w:sz w:val="24"/>
              </w:rPr>
            </w:pPr>
            <w:r>
              <w:rPr>
                <w:rFonts w:hint="eastAsia" w:ascii="宋体" w:hAnsi="宋体" w:cs="宋体"/>
                <w:kern w:val="0"/>
                <w:sz w:val="24"/>
              </w:rPr>
              <w:t>各岗位服务</w:t>
            </w:r>
            <w:r>
              <w:rPr>
                <w:rFonts w:ascii="宋体" w:hAnsi="宋体" w:cs="宋体"/>
                <w:kern w:val="0"/>
                <w:sz w:val="24"/>
              </w:rPr>
              <w:t>人员</w:t>
            </w:r>
          </w:p>
        </w:tc>
        <w:tc>
          <w:tcPr>
            <w:tcW w:w="3299" w:type="dxa"/>
            <w:noWrap w:val="0"/>
            <w:vAlign w:val="center"/>
          </w:tcPr>
          <w:p>
            <w:pPr>
              <w:widowControl/>
              <w:jc w:val="center"/>
              <w:rPr>
                <w:rFonts w:ascii="宋体" w:hAnsi="宋体" w:cs="宋体"/>
                <w:kern w:val="0"/>
                <w:sz w:val="24"/>
              </w:rPr>
            </w:pPr>
          </w:p>
        </w:tc>
        <w:tc>
          <w:tcPr>
            <w:tcW w:w="3913" w:type="dxa"/>
            <w:noWrap w:val="0"/>
            <w:vAlign w:val="center"/>
          </w:tcPr>
          <w:p>
            <w:pPr>
              <w:widowControl/>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77" w:type="dxa"/>
            <w:vMerge w:val="continue"/>
            <w:noWrap w:val="0"/>
            <w:vAlign w:val="center"/>
          </w:tcPr>
          <w:p>
            <w:pPr>
              <w:widowControl/>
              <w:jc w:val="center"/>
              <w:rPr>
                <w:rFonts w:ascii="宋体" w:hAnsi="宋体" w:cs="宋体"/>
                <w:kern w:val="0"/>
                <w:sz w:val="24"/>
              </w:rPr>
            </w:pPr>
          </w:p>
        </w:tc>
        <w:tc>
          <w:tcPr>
            <w:tcW w:w="3299" w:type="dxa"/>
            <w:noWrap w:val="0"/>
            <w:vAlign w:val="center"/>
          </w:tcPr>
          <w:p>
            <w:pPr>
              <w:widowControl/>
              <w:jc w:val="center"/>
              <w:rPr>
                <w:rFonts w:ascii="宋体" w:hAnsi="宋体" w:cs="宋体"/>
                <w:kern w:val="0"/>
                <w:sz w:val="24"/>
              </w:rPr>
            </w:pPr>
          </w:p>
        </w:tc>
        <w:tc>
          <w:tcPr>
            <w:tcW w:w="3913" w:type="dxa"/>
            <w:noWrap w:val="0"/>
            <w:vAlign w:val="center"/>
          </w:tcPr>
          <w:p>
            <w:pPr>
              <w:widowControl/>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77" w:type="dxa"/>
            <w:vMerge w:val="continue"/>
            <w:noWrap w:val="0"/>
            <w:vAlign w:val="center"/>
          </w:tcPr>
          <w:p>
            <w:pPr>
              <w:widowControl/>
              <w:jc w:val="center"/>
              <w:rPr>
                <w:rFonts w:ascii="宋体" w:hAnsi="宋体" w:cs="宋体"/>
                <w:kern w:val="0"/>
                <w:sz w:val="24"/>
              </w:rPr>
            </w:pPr>
          </w:p>
        </w:tc>
        <w:tc>
          <w:tcPr>
            <w:tcW w:w="3299" w:type="dxa"/>
            <w:noWrap w:val="0"/>
            <w:vAlign w:val="center"/>
          </w:tcPr>
          <w:p>
            <w:pPr>
              <w:widowControl/>
              <w:rPr>
                <w:rFonts w:ascii="宋体" w:hAnsi="宋体" w:cs="宋体"/>
                <w:kern w:val="0"/>
                <w:sz w:val="24"/>
              </w:rPr>
            </w:pPr>
          </w:p>
        </w:tc>
        <w:tc>
          <w:tcPr>
            <w:tcW w:w="3913" w:type="dxa"/>
            <w:noWrap w:val="0"/>
            <w:vAlign w:val="center"/>
          </w:tcPr>
          <w:p>
            <w:pPr>
              <w:widowControl/>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77" w:type="dxa"/>
            <w:vMerge w:val="continue"/>
            <w:noWrap w:val="0"/>
            <w:vAlign w:val="center"/>
          </w:tcPr>
          <w:p>
            <w:pPr>
              <w:widowControl/>
              <w:jc w:val="center"/>
              <w:rPr>
                <w:rFonts w:ascii="宋体" w:hAnsi="宋体" w:cs="宋体"/>
                <w:kern w:val="0"/>
                <w:sz w:val="24"/>
              </w:rPr>
            </w:pPr>
          </w:p>
        </w:tc>
        <w:tc>
          <w:tcPr>
            <w:tcW w:w="3299" w:type="dxa"/>
            <w:noWrap w:val="0"/>
            <w:vAlign w:val="center"/>
          </w:tcPr>
          <w:p>
            <w:pPr>
              <w:widowControl/>
              <w:jc w:val="center"/>
              <w:rPr>
                <w:rFonts w:ascii="宋体" w:hAnsi="宋体" w:cs="宋体"/>
                <w:kern w:val="0"/>
                <w:sz w:val="24"/>
              </w:rPr>
            </w:pPr>
          </w:p>
        </w:tc>
        <w:tc>
          <w:tcPr>
            <w:tcW w:w="3913" w:type="dxa"/>
            <w:noWrap w:val="0"/>
            <w:vAlign w:val="center"/>
          </w:tcPr>
          <w:p>
            <w:pPr>
              <w:widowControl/>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77" w:type="dxa"/>
            <w:vMerge w:val="continue"/>
            <w:noWrap w:val="0"/>
            <w:vAlign w:val="center"/>
          </w:tcPr>
          <w:p>
            <w:pPr>
              <w:widowControl/>
              <w:jc w:val="center"/>
              <w:rPr>
                <w:rFonts w:ascii="宋体" w:hAnsi="宋体" w:cs="宋体"/>
                <w:kern w:val="0"/>
                <w:sz w:val="24"/>
              </w:rPr>
            </w:pPr>
          </w:p>
        </w:tc>
        <w:tc>
          <w:tcPr>
            <w:tcW w:w="3299" w:type="dxa"/>
            <w:noWrap w:val="0"/>
            <w:vAlign w:val="center"/>
          </w:tcPr>
          <w:p>
            <w:pPr>
              <w:widowControl/>
              <w:jc w:val="center"/>
              <w:rPr>
                <w:rFonts w:ascii="宋体" w:hAnsi="宋体" w:cs="宋体"/>
                <w:kern w:val="0"/>
                <w:sz w:val="24"/>
              </w:rPr>
            </w:pPr>
          </w:p>
        </w:tc>
        <w:tc>
          <w:tcPr>
            <w:tcW w:w="3913" w:type="dxa"/>
            <w:noWrap w:val="0"/>
            <w:vAlign w:val="center"/>
          </w:tcPr>
          <w:p>
            <w:pPr>
              <w:widowControl/>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77" w:type="dxa"/>
            <w:vMerge w:val="continue"/>
            <w:noWrap w:val="0"/>
            <w:vAlign w:val="center"/>
          </w:tcPr>
          <w:p>
            <w:pPr>
              <w:widowControl/>
              <w:jc w:val="center"/>
              <w:rPr>
                <w:rFonts w:ascii="宋体" w:hAnsi="宋体" w:cs="宋体"/>
                <w:kern w:val="0"/>
                <w:sz w:val="24"/>
              </w:rPr>
            </w:pPr>
          </w:p>
        </w:tc>
        <w:tc>
          <w:tcPr>
            <w:tcW w:w="3299" w:type="dxa"/>
            <w:noWrap w:val="0"/>
            <w:vAlign w:val="center"/>
          </w:tcPr>
          <w:p>
            <w:pPr>
              <w:widowControl/>
              <w:jc w:val="center"/>
              <w:rPr>
                <w:rFonts w:ascii="宋体" w:hAnsi="宋体" w:cs="宋体"/>
                <w:kern w:val="0"/>
                <w:sz w:val="24"/>
              </w:rPr>
            </w:pPr>
          </w:p>
        </w:tc>
        <w:tc>
          <w:tcPr>
            <w:tcW w:w="3913" w:type="dxa"/>
            <w:noWrap w:val="0"/>
            <w:vAlign w:val="center"/>
          </w:tcPr>
          <w:p>
            <w:pPr>
              <w:widowControl/>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77" w:type="dxa"/>
            <w:vMerge w:val="continue"/>
            <w:noWrap w:val="0"/>
            <w:vAlign w:val="center"/>
          </w:tcPr>
          <w:p>
            <w:pPr>
              <w:widowControl/>
              <w:jc w:val="center"/>
              <w:rPr>
                <w:rFonts w:ascii="宋体" w:hAnsi="宋体" w:cs="宋体"/>
                <w:kern w:val="0"/>
                <w:sz w:val="24"/>
              </w:rPr>
            </w:pPr>
          </w:p>
        </w:tc>
        <w:tc>
          <w:tcPr>
            <w:tcW w:w="3299" w:type="dxa"/>
            <w:noWrap w:val="0"/>
            <w:vAlign w:val="center"/>
          </w:tcPr>
          <w:p>
            <w:pPr>
              <w:widowControl/>
              <w:jc w:val="center"/>
              <w:rPr>
                <w:rFonts w:ascii="宋体" w:hAnsi="宋体" w:cs="宋体"/>
                <w:kern w:val="0"/>
                <w:sz w:val="24"/>
              </w:rPr>
            </w:pPr>
            <w:r>
              <w:rPr>
                <w:rFonts w:ascii="宋体" w:hAnsi="宋体" w:cs="宋体"/>
                <w:kern w:val="0"/>
                <w:sz w:val="24"/>
              </w:rPr>
              <w:t>…</w:t>
            </w:r>
          </w:p>
        </w:tc>
        <w:tc>
          <w:tcPr>
            <w:tcW w:w="3913" w:type="dxa"/>
            <w:noWrap w:val="0"/>
            <w:vAlign w:val="top"/>
          </w:tcPr>
          <w:p>
            <w:pPr>
              <w:widowControl/>
              <w:jc w:val="center"/>
              <w:rPr>
                <w:rFonts w:ascii="宋体" w:hAnsi="宋体" w:cs="宋体"/>
                <w:kern w:val="0"/>
                <w:sz w:val="24"/>
              </w:rPr>
            </w:pPr>
          </w:p>
        </w:tc>
      </w:tr>
    </w:tbl>
    <w:p>
      <w:pPr>
        <w:snapToGrid w:val="0"/>
        <w:spacing w:line="360" w:lineRule="auto"/>
        <w:rPr>
          <w:rFonts w:ascii="宋体" w:hAnsi="宋体"/>
          <w:sz w:val="24"/>
        </w:rPr>
      </w:pPr>
    </w:p>
    <w:p>
      <w:pPr>
        <w:snapToGrid w:val="0"/>
        <w:spacing w:line="360" w:lineRule="auto"/>
        <w:rPr>
          <w:rFonts w:ascii="宋体" w:hAnsi="宋体"/>
          <w:sz w:val="24"/>
        </w:rPr>
      </w:pPr>
      <w:r>
        <w:rPr>
          <w:rFonts w:ascii="宋体" w:hAnsi="宋体"/>
          <w:sz w:val="24"/>
        </w:rPr>
        <w:t>注：本表可依样扩展使用。</w:t>
      </w:r>
    </w:p>
    <w:p>
      <w:pPr>
        <w:pStyle w:val="25"/>
        <w:rPr>
          <w:rFonts w:ascii="宋体" w:hAnsi="宋体"/>
          <w:sz w:val="24"/>
        </w:rPr>
      </w:pPr>
    </w:p>
    <w:p>
      <w:pPr>
        <w:rPr>
          <w:rFonts w:ascii="宋体" w:hAnsi="宋体"/>
          <w:sz w:val="24"/>
        </w:rPr>
      </w:pPr>
    </w:p>
    <w:p>
      <w:pPr>
        <w:pStyle w:val="25"/>
      </w:pPr>
    </w:p>
    <w:p>
      <w:pPr>
        <w:pStyle w:val="11"/>
        <w:autoSpaceDE w:val="0"/>
        <w:spacing w:line="360" w:lineRule="auto"/>
        <w:rPr>
          <w:rFonts w:hAnsi="宋体" w:cs="MingLiU_HKSCS"/>
          <w:sz w:val="24"/>
          <w:szCs w:val="24"/>
        </w:rPr>
      </w:pPr>
      <w:r>
        <w:rPr>
          <w:rFonts w:hint="eastAsia" w:hAnsi="宋体"/>
          <w:sz w:val="24"/>
          <w:szCs w:val="24"/>
        </w:rPr>
        <w:t>投标人名称(公章)：______________</w:t>
      </w:r>
    </w:p>
    <w:p>
      <w:pPr>
        <w:pStyle w:val="11"/>
        <w:autoSpaceDE w:val="0"/>
        <w:spacing w:line="360" w:lineRule="auto"/>
        <w:rPr>
          <w:rFonts w:hAnsi="宋体" w:cs="MingLiU_HKSCS"/>
          <w:sz w:val="24"/>
          <w:szCs w:val="24"/>
        </w:rPr>
      </w:pPr>
      <w:r>
        <w:rPr>
          <w:rFonts w:hint="eastAsia" w:hAnsi="宋体"/>
          <w:sz w:val="24"/>
          <w:szCs w:val="24"/>
        </w:rPr>
        <w:t>法定代表人（非法人组织的负责人）或其授权代表(签章)：_______</w:t>
      </w:r>
    </w:p>
    <w:p>
      <w:pPr>
        <w:pStyle w:val="11"/>
        <w:autoSpaceDE w:val="0"/>
        <w:spacing w:line="360" w:lineRule="auto"/>
        <w:rPr>
          <w:rFonts w:hint="eastAsia" w:hAnsi="宋体"/>
          <w:sz w:val="24"/>
          <w:szCs w:val="24"/>
        </w:rPr>
      </w:pPr>
      <w:r>
        <w:rPr>
          <w:rFonts w:hint="eastAsia" w:hAnsi="宋体"/>
          <w:sz w:val="24"/>
          <w:szCs w:val="24"/>
        </w:rPr>
        <w:t xml:space="preserve">日期：______年____月____日 </w:t>
      </w:r>
    </w:p>
    <w:p>
      <w:pPr>
        <w:pStyle w:val="11"/>
        <w:autoSpaceDE w:val="0"/>
        <w:spacing w:line="360" w:lineRule="auto"/>
        <w:rPr>
          <w:rFonts w:hint="eastAsia" w:hAnsi="宋体"/>
          <w:sz w:val="24"/>
          <w:szCs w:val="24"/>
          <w:lang w:val="en-US" w:eastAsia="zh-CN"/>
        </w:rPr>
      </w:pPr>
    </w:p>
    <w:p>
      <w:pPr>
        <w:rPr>
          <w:rFonts w:hint="eastAsia" w:hAnsi="宋体"/>
          <w:color w:val="auto"/>
          <w:highlight w:val="none"/>
          <w:u w:val="none"/>
          <w:lang w:val="en-US" w:eastAsia="zh-CN"/>
        </w:rPr>
      </w:pPr>
      <w:bookmarkStart w:id="240" w:name="_Toc1871"/>
      <w:r>
        <w:rPr>
          <w:rFonts w:hint="eastAsia" w:hAnsi="宋体"/>
          <w:color w:val="auto"/>
          <w:highlight w:val="none"/>
          <w:u w:val="none"/>
          <w:lang w:val="en-US" w:eastAsia="zh-CN"/>
        </w:rPr>
        <w:br w:type="page"/>
      </w:r>
    </w:p>
    <w:p>
      <w:pPr>
        <w:pStyle w:val="6"/>
        <w:pageBreakBefore w:val="0"/>
        <w:kinsoku/>
        <w:wordWrap/>
        <w:overflowPunct/>
        <w:topLinePunct w:val="0"/>
        <w:bidi w:val="0"/>
        <w:spacing w:line="560" w:lineRule="exact"/>
        <w:textAlignment w:val="auto"/>
        <w:outlineLvl w:val="2"/>
        <w:rPr>
          <w:rFonts w:hAnsi="宋体"/>
          <w:color w:val="auto"/>
          <w:highlight w:val="none"/>
          <w:u w:val="none"/>
        </w:rPr>
      </w:pPr>
      <w:bookmarkStart w:id="241" w:name="_Toc14316"/>
      <w:r>
        <w:rPr>
          <w:rFonts w:hint="eastAsia" w:hAnsi="宋体"/>
          <w:color w:val="auto"/>
          <w:highlight w:val="none"/>
          <w:u w:val="none"/>
          <w:lang w:val="en-US" w:eastAsia="zh-CN"/>
        </w:rPr>
        <w:t>6.</w:t>
      </w:r>
      <w:bookmarkEnd w:id="232"/>
      <w:bookmarkEnd w:id="233"/>
      <w:bookmarkEnd w:id="234"/>
      <w:r>
        <w:rPr>
          <w:rFonts w:hint="eastAsia" w:ascii="宋体" w:hAnsi="宋体" w:eastAsia="宋体" w:cs="Times New Roman"/>
          <w:b/>
          <w:color w:val="auto"/>
          <w:kern w:val="0"/>
          <w:sz w:val="24"/>
          <w:szCs w:val="20"/>
          <w:highlight w:val="none"/>
          <w:u w:val="none"/>
          <w:lang w:val="en-US" w:eastAsia="zh-CN" w:bidi="ar-SA"/>
        </w:rPr>
        <w:t>技术评审文件</w:t>
      </w:r>
      <w:bookmarkEnd w:id="240"/>
      <w:bookmarkEnd w:id="241"/>
    </w:p>
    <w:p>
      <w:pPr>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（1）</w:t>
      </w:r>
      <w:r>
        <w:rPr>
          <w:rFonts w:hint="eastAsia" w:ascii="宋体" w:hAnsi="宋体" w:eastAsia="宋体" w:cs="宋体"/>
          <w:bCs/>
          <w:sz w:val="24"/>
          <w:szCs w:val="24"/>
        </w:rPr>
        <w:t>总体服务方案</w:t>
      </w:r>
    </w:p>
    <w:p>
      <w:pPr>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质量保证措施、质量控制体系及现场了解程度</w:t>
      </w:r>
    </w:p>
    <w:p>
      <w:pPr>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（3）专业技术人员配备</w:t>
      </w:r>
    </w:p>
    <w:p>
      <w:pPr>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（4）响应能力、时效保证措施及应急服务方案</w:t>
      </w:r>
    </w:p>
    <w:p>
      <w:pPr>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w:t>
      </w:r>
      <w:r>
        <w:rPr>
          <w:rFonts w:hint="eastAsia" w:ascii="宋体" w:hAnsi="宋体" w:eastAsia="宋体" w:cs="宋体"/>
          <w:bCs/>
          <w:sz w:val="24"/>
          <w:szCs w:val="24"/>
          <w:lang w:val="zh-CN" w:eastAsia="zh-CN"/>
        </w:rPr>
        <w:t>安全保证</w:t>
      </w:r>
      <w:r>
        <w:rPr>
          <w:rFonts w:hint="eastAsia" w:ascii="宋体" w:hAnsi="宋体" w:eastAsia="宋体" w:cs="宋体"/>
          <w:bCs/>
          <w:sz w:val="24"/>
          <w:szCs w:val="24"/>
          <w:lang w:val="en-US" w:eastAsia="zh-CN"/>
        </w:rPr>
        <w:t>措施</w:t>
      </w:r>
    </w:p>
    <w:p>
      <w:pPr>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w:t>
      </w:r>
      <w:r>
        <w:rPr>
          <w:rFonts w:hint="eastAsia" w:ascii="宋体" w:hAnsi="宋体" w:eastAsia="宋体"/>
          <w:bCs/>
          <w:sz w:val="24"/>
        </w:rPr>
        <w:t>突发事件应急预案</w:t>
      </w:r>
    </w:p>
    <w:p>
      <w:pPr>
        <w:pStyle w:val="25"/>
        <w:keepNext w:val="0"/>
        <w:keepLines w:val="0"/>
        <w:pageBreakBefore w:val="0"/>
        <w:kinsoku/>
        <w:wordWrap/>
        <w:overflowPunct/>
        <w:topLinePunct w:val="0"/>
        <w:autoSpaceDE/>
        <w:autoSpaceDN/>
        <w:bidi w:val="0"/>
        <w:adjustRightInd/>
        <w:snapToGrid/>
        <w:spacing w:line="500" w:lineRule="exact"/>
        <w:textAlignment w:val="auto"/>
        <w:rPr>
          <w:rFonts w:hint="eastAsia"/>
          <w:sz w:val="24"/>
          <w:szCs w:val="24"/>
          <w:lang w:val="en-US" w:eastAsia="zh-CN"/>
        </w:rPr>
      </w:pPr>
    </w:p>
    <w:p>
      <w:pPr>
        <w:pageBreakBefore w:val="0"/>
        <w:kinsoku/>
        <w:wordWrap/>
        <w:overflowPunct/>
        <w:topLinePunct w:val="0"/>
        <w:autoSpaceDE w:val="0"/>
        <w:autoSpaceDN w:val="0"/>
        <w:bidi w:val="0"/>
        <w:adjustRightInd w:val="0"/>
        <w:spacing w:line="560" w:lineRule="exact"/>
        <w:jc w:val="left"/>
        <w:textAlignment w:val="auto"/>
        <w:outlineLvl w:val="1"/>
        <w:rPr>
          <w:rFonts w:hint="eastAsia" w:ascii="宋体" w:hAnsi="宋体"/>
          <w:color w:val="auto"/>
          <w:kern w:val="0"/>
          <w:sz w:val="24"/>
          <w:szCs w:val="20"/>
          <w:highlight w:val="none"/>
        </w:rPr>
      </w:pPr>
      <w:bookmarkStart w:id="242" w:name="_Toc518923122"/>
    </w:p>
    <w:bookmarkEnd w:id="242"/>
    <w:p>
      <w:pPr>
        <w:adjustRightInd w:val="0"/>
        <w:spacing w:line="500" w:lineRule="exact"/>
        <w:outlineLvl w:val="1"/>
        <w:rPr>
          <w:rFonts w:hint="eastAsia" w:ascii="宋体" w:hAnsi="宋体" w:eastAsiaTheme="minorEastAsia"/>
          <w:b/>
          <w:bCs/>
          <w:sz w:val="24"/>
          <w:szCs w:val="24"/>
          <w:lang w:val="en-US" w:eastAsia="zh-CN"/>
        </w:rPr>
      </w:pPr>
      <w:bookmarkStart w:id="243" w:name="_Toc10301"/>
      <w:bookmarkStart w:id="244" w:name="_Toc23713"/>
      <w:r>
        <w:rPr>
          <w:rFonts w:hint="eastAsia" w:ascii="宋体" w:hAnsi="宋体"/>
          <w:b/>
          <w:bCs/>
          <w:sz w:val="24"/>
          <w:szCs w:val="24"/>
          <w:lang w:val="en-US" w:eastAsia="zh-CN"/>
        </w:rPr>
        <w:t>五、</w:t>
      </w:r>
      <w:r>
        <w:rPr>
          <w:rFonts w:hint="eastAsia" w:ascii="宋体" w:hAnsi="宋体"/>
          <w:b/>
          <w:bCs/>
          <w:sz w:val="24"/>
          <w:szCs w:val="24"/>
        </w:rPr>
        <w:t>供应商认为需要提交的证明文件</w:t>
      </w:r>
      <w:bookmarkEnd w:id="243"/>
      <w:bookmarkEnd w:id="244"/>
    </w:p>
    <w:p>
      <w:pPr>
        <w:pStyle w:val="38"/>
      </w:pPr>
    </w:p>
    <w:p/>
    <w:p>
      <w:pPr>
        <w:pStyle w:val="25"/>
        <w:ind w:firstLine="480"/>
      </w:pPr>
    </w:p>
    <w:p>
      <w:pPr>
        <w:outlineLvl w:val="1"/>
      </w:pPr>
    </w:p>
    <w:p>
      <w:pPr>
        <w:pStyle w:val="5"/>
        <w:spacing w:before="0" w:after="0" w:line="560" w:lineRule="exact"/>
        <w:jc w:val="both"/>
        <w:outlineLvl w:val="1"/>
        <w:rPr>
          <w:rFonts w:hint="eastAsia" w:ascii="宋体" w:hAnsi="宋体" w:eastAsiaTheme="minorEastAsia" w:cstheme="minorBidi"/>
          <w:b/>
          <w:bCs/>
          <w:kern w:val="2"/>
          <w:sz w:val="24"/>
          <w:szCs w:val="24"/>
          <w:lang w:val="en-US" w:eastAsia="zh-CN" w:bidi="ar-SA"/>
        </w:rPr>
      </w:pPr>
      <w:bookmarkStart w:id="245" w:name="_Toc5147"/>
      <w:bookmarkStart w:id="246" w:name="_Toc8283"/>
      <w:bookmarkStart w:id="247" w:name="_Toc8828_WPSOffice_Level3"/>
      <w:bookmarkStart w:id="248" w:name="_Toc46136873"/>
      <w:bookmarkStart w:id="249" w:name="_Toc7134"/>
      <w:r>
        <w:rPr>
          <w:rFonts w:hint="eastAsia" w:ascii="宋体" w:hAnsi="宋体" w:eastAsiaTheme="minorEastAsia" w:cstheme="minorBidi"/>
          <w:b/>
          <w:bCs/>
          <w:kern w:val="2"/>
          <w:sz w:val="24"/>
          <w:szCs w:val="24"/>
          <w:lang w:val="en-US" w:eastAsia="zh-CN" w:bidi="ar-SA"/>
        </w:rPr>
        <w:t>六、其他用于评分的证明材料</w:t>
      </w:r>
      <w:bookmarkEnd w:id="245"/>
      <w:bookmarkEnd w:id="246"/>
      <w:bookmarkEnd w:id="247"/>
      <w:bookmarkEnd w:id="248"/>
      <w:bookmarkEnd w:id="249"/>
    </w:p>
    <w:p>
      <w:pPr>
        <w:spacing w:line="560" w:lineRule="exact"/>
        <w:ind w:firstLine="480" w:firstLineChars="200"/>
        <w:rPr>
          <w:rFonts w:ascii="宋体" w:hAnsi="宋体"/>
          <w:sz w:val="24"/>
        </w:rPr>
      </w:pPr>
      <w:r>
        <w:rPr>
          <w:rFonts w:hint="eastAsia" w:ascii="宋体" w:hAnsi="宋体"/>
          <w:sz w:val="24"/>
        </w:rPr>
        <w:t>评分中要求的相关文件。</w:t>
      </w:r>
    </w:p>
    <w:p>
      <w:pPr>
        <w:pStyle w:val="4"/>
        <w:pageBreakBefore w:val="0"/>
        <w:tabs>
          <w:tab w:val="left" w:pos="0"/>
        </w:tabs>
        <w:kinsoku/>
        <w:wordWrap/>
        <w:overflowPunct/>
        <w:topLinePunct w:val="0"/>
        <w:bidi w:val="0"/>
        <w:spacing w:before="0" w:after="0" w:line="560" w:lineRule="exact"/>
        <w:textAlignment w:val="auto"/>
        <w:outlineLvl w:val="0"/>
        <w:rPr>
          <w:rFonts w:hint="eastAsia" w:hAnsi="宋体" w:eastAsiaTheme="minorEastAsia"/>
          <w:color w:val="auto"/>
          <w:highlight w:val="none"/>
          <w:lang w:val="en-US" w:eastAsia="zh-CN"/>
        </w:rPr>
      </w:pPr>
      <w:r>
        <w:rPr>
          <w:rFonts w:hAnsi="宋体"/>
          <w:color w:val="auto"/>
          <w:kern w:val="0"/>
          <w:sz w:val="24"/>
          <w:highlight w:val="none"/>
        </w:rPr>
        <w:br w:type="page"/>
      </w:r>
      <w:bookmarkStart w:id="250" w:name="_Toc17426"/>
      <w:bookmarkStart w:id="251" w:name="_Toc13255"/>
      <w:bookmarkStart w:id="252" w:name="_Toc19713"/>
      <w:r>
        <w:rPr>
          <w:rFonts w:hint="eastAsia" w:ascii="宋体" w:hAnsi="宋体" w:eastAsia="宋体" w:cs="宋体"/>
          <w:color w:val="auto"/>
          <w:sz w:val="32"/>
          <w:szCs w:val="32"/>
          <w:highlight w:val="none"/>
        </w:rPr>
        <w:t>第</w:t>
      </w:r>
      <w:r>
        <w:rPr>
          <w:rFonts w:hint="eastAsia" w:ascii="宋体" w:hAnsi="宋体" w:eastAsia="宋体" w:cs="宋体"/>
          <w:color w:val="auto"/>
          <w:sz w:val="32"/>
          <w:szCs w:val="32"/>
          <w:highlight w:val="none"/>
          <w:lang w:val="en-US" w:eastAsia="zh-CN"/>
        </w:rPr>
        <w:t>六</w:t>
      </w:r>
      <w:r>
        <w:rPr>
          <w:rFonts w:hint="eastAsia" w:ascii="宋体" w:hAnsi="宋体" w:eastAsia="宋体" w:cs="宋体"/>
          <w:color w:val="auto"/>
          <w:sz w:val="32"/>
          <w:szCs w:val="32"/>
          <w:highlight w:val="none"/>
        </w:rPr>
        <w:t>章 政府采购合同</w:t>
      </w:r>
      <w:bookmarkEnd w:id="250"/>
      <w:r>
        <w:rPr>
          <w:rFonts w:hint="eastAsia" w:ascii="宋体" w:hAnsi="宋体" w:eastAsia="宋体" w:cs="宋体"/>
          <w:color w:val="auto"/>
          <w:sz w:val="32"/>
          <w:szCs w:val="32"/>
          <w:highlight w:val="none"/>
          <w:lang w:val="en-US" w:eastAsia="zh-CN"/>
        </w:rPr>
        <w:t>格式</w:t>
      </w:r>
      <w:bookmarkEnd w:id="251"/>
      <w:bookmarkEnd w:id="252"/>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53" w:name="_Toc18511"/>
      <w:r>
        <w:rPr>
          <w:rFonts w:hint="eastAsia" w:hAnsi="宋体"/>
          <w:color w:val="auto"/>
          <w:highlight w:val="none"/>
        </w:rPr>
        <w:t>根据《中华人民共和国政府采购法》、《中华人民共和国政府采购法实施条例》、《中华人民共和国民法典》等法律、法规的规定，经双方充分协商特订立本合同</w:t>
      </w:r>
      <w:r>
        <w:rPr>
          <w:rFonts w:hint="eastAsia" w:hAnsi="宋体"/>
          <w:color w:val="auto"/>
          <w:highlight w:val="none"/>
          <w:lang w:eastAsia="zh-CN"/>
        </w:rPr>
        <w:t>，</w:t>
      </w:r>
      <w:r>
        <w:rPr>
          <w:rFonts w:hint="eastAsia" w:hAnsi="宋体"/>
          <w:color w:val="auto"/>
          <w:highlight w:val="none"/>
        </w:rPr>
        <w:t>以资共同遵守。</w:t>
      </w:r>
      <w:bookmarkEnd w:id="253"/>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bCs/>
          <w:color w:val="auto"/>
          <w:highlight w:val="none"/>
        </w:rPr>
      </w:pPr>
      <w:bookmarkStart w:id="254" w:name="_Toc31999"/>
      <w:bookmarkStart w:id="255" w:name="_Toc9630"/>
      <w:bookmarkStart w:id="256" w:name="_Toc21504"/>
      <w:r>
        <w:rPr>
          <w:rFonts w:hint="eastAsia" w:hAnsi="宋体"/>
          <w:b/>
          <w:bCs/>
          <w:color w:val="auto"/>
          <w:highlight w:val="none"/>
        </w:rPr>
        <w:t>一、合同文件</w:t>
      </w:r>
      <w:bookmarkEnd w:id="254"/>
      <w:bookmarkEnd w:id="255"/>
      <w:bookmarkEnd w:id="256"/>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57" w:name="_Toc15728"/>
      <w:r>
        <w:rPr>
          <w:rFonts w:hint="eastAsia" w:hAnsi="宋体"/>
          <w:color w:val="auto"/>
          <w:highlight w:val="none"/>
        </w:rPr>
        <w:t>下列文件构成本合同的组成部分:</w:t>
      </w:r>
      <w:bookmarkEnd w:id="257"/>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58" w:name="_Toc9578"/>
      <w:r>
        <w:rPr>
          <w:rFonts w:hint="eastAsia" w:hAnsi="宋体"/>
          <w:color w:val="auto"/>
          <w:highlight w:val="none"/>
        </w:rPr>
        <w:t>A.中标通知书</w:t>
      </w:r>
      <w:bookmarkEnd w:id="258"/>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59" w:name="_Toc25373"/>
      <w:r>
        <w:rPr>
          <w:rFonts w:hint="eastAsia" w:hAnsi="宋体"/>
          <w:color w:val="auto"/>
          <w:highlight w:val="none"/>
        </w:rPr>
        <w:t>B.响应文件</w:t>
      </w:r>
      <w:r>
        <w:rPr>
          <w:rFonts w:hint="eastAsia" w:hAnsi="宋体"/>
          <w:color w:val="auto"/>
          <w:highlight w:val="none"/>
          <w:lang w:val="en-US" w:eastAsia="zh-CN"/>
        </w:rPr>
        <w:t xml:space="preserve">               </w:t>
      </w:r>
      <w:r>
        <w:rPr>
          <w:rFonts w:hint="eastAsia" w:hAnsi="宋体"/>
          <w:color w:val="auto"/>
          <w:highlight w:val="none"/>
        </w:rPr>
        <w:t>(见响应文件)</w:t>
      </w:r>
      <w:bookmarkEnd w:id="259"/>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60" w:name="_Toc32085"/>
      <w:r>
        <w:rPr>
          <w:rFonts w:hint="eastAsia" w:hAnsi="宋体"/>
          <w:color w:val="auto"/>
          <w:highlight w:val="none"/>
        </w:rPr>
        <w:t>C.投标报价表</w:t>
      </w:r>
      <w:r>
        <w:rPr>
          <w:rFonts w:hint="eastAsia" w:hAnsi="宋体"/>
          <w:color w:val="auto"/>
          <w:highlight w:val="none"/>
          <w:lang w:val="en-US" w:eastAsia="zh-CN"/>
        </w:rPr>
        <w:t xml:space="preserve">             </w:t>
      </w:r>
      <w:r>
        <w:rPr>
          <w:rFonts w:hint="eastAsia" w:hAnsi="宋体"/>
          <w:color w:val="auto"/>
          <w:highlight w:val="none"/>
        </w:rPr>
        <w:t>(见响应文件)</w:t>
      </w:r>
      <w:bookmarkEnd w:id="260"/>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61" w:name="_Toc22565"/>
      <w:r>
        <w:rPr>
          <w:rFonts w:hint="eastAsia" w:hAnsi="宋体"/>
          <w:color w:val="auto"/>
          <w:highlight w:val="none"/>
        </w:rPr>
        <w:t>D.服务需求</w:t>
      </w:r>
      <w:r>
        <w:rPr>
          <w:rFonts w:hint="eastAsia" w:hAnsi="宋体"/>
          <w:color w:val="auto"/>
          <w:highlight w:val="none"/>
          <w:lang w:val="en-US" w:eastAsia="zh-CN"/>
        </w:rPr>
        <w:t xml:space="preserve">               </w:t>
      </w:r>
      <w:r>
        <w:rPr>
          <w:rFonts w:hint="eastAsia" w:hAnsi="宋体"/>
          <w:color w:val="auto"/>
          <w:highlight w:val="none"/>
        </w:rPr>
        <w:t>(见磋商文件第三部分)</w:t>
      </w:r>
      <w:bookmarkEnd w:id="261"/>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62" w:name="_Toc8442"/>
      <w:r>
        <w:rPr>
          <w:rFonts w:hint="eastAsia" w:hAnsi="宋体"/>
          <w:color w:val="auto"/>
          <w:highlight w:val="none"/>
        </w:rPr>
        <w:t>E.澄清答疑文件及内容.</w:t>
      </w:r>
      <w:bookmarkEnd w:id="262"/>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63" w:name="_Toc31136"/>
      <w:r>
        <w:rPr>
          <w:rFonts w:hint="eastAsia" w:hAnsi="宋体"/>
          <w:color w:val="auto"/>
          <w:highlight w:val="none"/>
        </w:rPr>
        <w:t>F.其他在履行合同过程中形成的书面补充协议</w:t>
      </w:r>
      <w:bookmarkEnd w:id="263"/>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bCs/>
          <w:color w:val="auto"/>
          <w:highlight w:val="none"/>
        </w:rPr>
      </w:pPr>
      <w:bookmarkStart w:id="264" w:name="_Toc22889"/>
      <w:bookmarkStart w:id="265" w:name="_Toc22597"/>
      <w:bookmarkStart w:id="266" w:name="_Toc29795"/>
      <w:r>
        <w:rPr>
          <w:rFonts w:hint="eastAsia" w:hAnsi="宋体"/>
          <w:b/>
          <w:bCs/>
          <w:color w:val="auto"/>
          <w:highlight w:val="none"/>
        </w:rPr>
        <w:t>二、合同范围和条件</w:t>
      </w:r>
      <w:bookmarkEnd w:id="264"/>
      <w:bookmarkEnd w:id="265"/>
      <w:bookmarkEnd w:id="266"/>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67" w:name="_Toc13135"/>
      <w:r>
        <w:rPr>
          <w:rFonts w:hint="eastAsia" w:hAnsi="宋体"/>
          <w:color w:val="auto"/>
          <w:highlight w:val="none"/>
        </w:rPr>
        <w:t>本合同的范围和条件与上述合同文件中规定内容一致。</w:t>
      </w:r>
      <w:bookmarkEnd w:id="267"/>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bCs/>
          <w:color w:val="auto"/>
          <w:highlight w:val="none"/>
        </w:rPr>
      </w:pPr>
      <w:bookmarkStart w:id="268" w:name="_Toc27012"/>
      <w:bookmarkStart w:id="269" w:name="_Toc22159"/>
      <w:bookmarkStart w:id="270" w:name="_Toc21449"/>
      <w:r>
        <w:rPr>
          <w:rFonts w:hint="eastAsia" w:hAnsi="宋体"/>
          <w:b/>
          <w:bCs/>
          <w:color w:val="auto"/>
          <w:highlight w:val="none"/>
        </w:rPr>
        <w:t>三、合同金额</w:t>
      </w:r>
      <w:bookmarkEnd w:id="268"/>
      <w:bookmarkEnd w:id="269"/>
      <w:bookmarkEnd w:id="270"/>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71" w:name="_Toc17384"/>
      <w:r>
        <w:rPr>
          <w:rFonts w:hint="eastAsia" w:hAnsi="宋体"/>
          <w:color w:val="auto"/>
          <w:highlight w:val="none"/>
        </w:rPr>
        <w:t>本合同总价为_</w:t>
      </w:r>
      <w:r>
        <w:rPr>
          <w:rFonts w:hint="eastAsia" w:hAnsi="宋体"/>
          <w:color w:val="auto"/>
          <w:highlight w:val="none"/>
          <w:u w:val="single"/>
          <w:lang w:val="en-US" w:eastAsia="zh-CN"/>
        </w:rPr>
        <w:t xml:space="preserve">               </w:t>
      </w:r>
      <w:r>
        <w:rPr>
          <w:rFonts w:hint="eastAsia" w:hAnsi="宋体"/>
          <w:color w:val="auto"/>
          <w:highlight w:val="none"/>
        </w:rPr>
        <w:t>元，分项价格见投标文件中报价表。</w:t>
      </w:r>
      <w:bookmarkEnd w:id="271"/>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9"/>
        <w:rPr>
          <w:rFonts w:hint="eastAsia" w:hAnsi="宋体"/>
          <w:b/>
          <w:bCs/>
          <w:color w:val="auto"/>
          <w:highlight w:val="none"/>
          <w:lang w:val="en-US" w:eastAsia="zh-CN"/>
        </w:rPr>
      </w:pPr>
      <w:bookmarkStart w:id="272" w:name="_Toc29315"/>
      <w:bookmarkStart w:id="273" w:name="_Toc30909"/>
      <w:bookmarkStart w:id="274" w:name="_Toc4571"/>
      <w:r>
        <w:rPr>
          <w:rFonts w:hint="eastAsia" w:hAnsi="宋体"/>
          <w:b/>
          <w:bCs/>
          <w:color w:val="auto"/>
          <w:highlight w:val="none"/>
          <w:lang w:val="en-US" w:eastAsia="zh-CN"/>
        </w:rPr>
        <w:t>四、付款方式</w:t>
      </w:r>
      <w:bookmarkEnd w:id="272"/>
      <w:bookmarkEnd w:id="273"/>
      <w:bookmarkEnd w:id="274"/>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lang w:val="en-US" w:eastAsia="zh-CN"/>
        </w:rPr>
      </w:pPr>
      <w:bookmarkStart w:id="275" w:name="_Toc31568"/>
      <w:r>
        <w:rPr>
          <w:rFonts w:hint="eastAsia" w:hAnsi="宋体"/>
          <w:color w:val="auto"/>
          <w:highlight w:val="none"/>
          <w:lang w:val="en-US" w:eastAsia="zh-CN"/>
        </w:rPr>
        <w:t>甲方按月支付给乙方费用，次月10号前支付上月费用，具体支付金额，由本合同条款及服务单位服务工作质量考核办法共同确定。甲方付款前，乙方须向甲方开具与合同业务相符的增值税普通发票。</w:t>
      </w:r>
      <w:bookmarkEnd w:id="275"/>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lang w:val="en-US" w:eastAsia="zh-CN"/>
        </w:rPr>
      </w:pPr>
      <w:r>
        <w:rPr>
          <w:rFonts w:hint="eastAsia" w:hAnsi="宋体"/>
          <w:color w:val="auto"/>
          <w:highlight w:val="none"/>
          <w:lang w:val="en-US" w:eastAsia="zh-CN"/>
        </w:rPr>
        <w:t>注：本项目合同一年一签，服务期限内，若乙方提供的服务不满足甲方要求或不满足成交承诺标准，甲方有权解除其合同，给甲方造成损失的，由乙方承担赔偿责任。</w:t>
      </w:r>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lang w:val="en-US" w:eastAsia="zh-CN"/>
        </w:rPr>
      </w:pPr>
      <w:r>
        <w:rPr>
          <w:rFonts w:hint="eastAsia" w:hAnsi="宋体"/>
          <w:color w:val="auto"/>
          <w:highlight w:val="none"/>
          <w:lang w:val="en-US" w:eastAsia="zh-CN"/>
        </w:rPr>
        <w:t>乙方不能以甲方资金不到位为由，拒绝服务或者延误工期，否则甲方有权解除合同，并要求乙方赔偿由此造成的全部损失。</w:t>
      </w:r>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color w:val="auto"/>
          <w:highlight w:val="none"/>
        </w:rPr>
      </w:pPr>
      <w:bookmarkStart w:id="276" w:name="_Toc972"/>
      <w:bookmarkStart w:id="277" w:name="_Toc28541"/>
      <w:bookmarkStart w:id="278" w:name="_Toc10504"/>
      <w:r>
        <w:rPr>
          <w:rFonts w:hint="eastAsia" w:hAnsi="宋体"/>
          <w:b/>
          <w:bCs/>
          <w:color w:val="auto"/>
          <w:highlight w:val="none"/>
        </w:rPr>
        <w:t>五、服务质量保证及服务承诺: (详见响应文件)</w:t>
      </w:r>
      <w:bookmarkEnd w:id="276"/>
      <w:bookmarkEnd w:id="277"/>
      <w:bookmarkEnd w:id="278"/>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79" w:name="_Toc12761"/>
      <w:r>
        <w:rPr>
          <w:rFonts w:hint="eastAsia" w:hAnsi="宋体"/>
          <w:color w:val="auto"/>
          <w:highlight w:val="none"/>
        </w:rPr>
        <w:t>乙方提供的</w:t>
      </w:r>
      <w:r>
        <w:rPr>
          <w:rFonts w:hint="eastAsia" w:hAnsi="宋体"/>
          <w:color w:val="auto"/>
          <w:highlight w:val="none"/>
          <w:lang w:val="en-US" w:eastAsia="zh-CN"/>
        </w:rPr>
        <w:t>各项</w:t>
      </w:r>
      <w:r>
        <w:rPr>
          <w:rFonts w:hint="eastAsia" w:hAnsi="宋体"/>
          <w:color w:val="auto"/>
          <w:highlight w:val="none"/>
        </w:rPr>
        <w:t>服务应符合</w:t>
      </w:r>
      <w:r>
        <w:rPr>
          <w:rFonts w:hint="eastAsia" w:hAnsi="宋体"/>
          <w:color w:val="auto"/>
          <w:highlight w:val="none"/>
          <w:lang w:val="en-US" w:eastAsia="zh-CN"/>
        </w:rPr>
        <w:t>磋商</w:t>
      </w:r>
      <w:r>
        <w:rPr>
          <w:rFonts w:hint="eastAsia" w:hAnsi="宋体"/>
          <w:color w:val="auto"/>
          <w:highlight w:val="none"/>
        </w:rPr>
        <w:t>文件中所列明的范围及要求，同时应附有质量目标保证措施以及应急措施。</w:t>
      </w:r>
      <w:bookmarkEnd w:id="279"/>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80" w:name="_Toc32161"/>
      <w:r>
        <w:rPr>
          <w:rFonts w:hint="eastAsia" w:hAnsi="宋体"/>
          <w:color w:val="auto"/>
          <w:highlight w:val="none"/>
        </w:rPr>
        <w:t>乙方按照甲方要求配置服务人员并安排1名主管负责日常工作检查和紧急情况的处理。</w:t>
      </w:r>
      <w:bookmarkEnd w:id="280"/>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bCs/>
          <w:color w:val="auto"/>
          <w:highlight w:val="none"/>
        </w:rPr>
      </w:pPr>
      <w:bookmarkStart w:id="281" w:name="_Toc21292"/>
      <w:bookmarkStart w:id="282" w:name="_Toc1564"/>
      <w:bookmarkStart w:id="283" w:name="_Toc31939"/>
      <w:r>
        <w:rPr>
          <w:rFonts w:hint="eastAsia" w:hAnsi="宋体"/>
          <w:b/>
          <w:bCs/>
          <w:color w:val="auto"/>
          <w:highlight w:val="none"/>
        </w:rPr>
        <w:t>六、服务地点、时间</w:t>
      </w:r>
      <w:bookmarkEnd w:id="281"/>
      <w:bookmarkEnd w:id="282"/>
      <w:bookmarkEnd w:id="283"/>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84" w:name="_Toc14289"/>
      <w:r>
        <w:rPr>
          <w:rFonts w:hint="eastAsia" w:hAnsi="宋体"/>
          <w:color w:val="auto"/>
          <w:highlight w:val="none"/>
        </w:rPr>
        <w:t>服务地点:甲方指定地点。</w:t>
      </w:r>
      <w:bookmarkEnd w:id="284"/>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color w:val="auto"/>
          <w:highlight w:val="none"/>
        </w:rPr>
      </w:pPr>
      <w:bookmarkStart w:id="285" w:name="_Toc27200"/>
      <w:r>
        <w:rPr>
          <w:rFonts w:hint="eastAsia" w:hAnsi="宋体"/>
          <w:color w:val="auto"/>
          <w:highlight w:val="none"/>
        </w:rPr>
        <w:t>服务期限:</w:t>
      </w:r>
      <w:bookmarkEnd w:id="285"/>
      <w:r>
        <w:rPr>
          <w:rFonts w:hint="eastAsia" w:ascii="宋体" w:hAnsi="宋体" w:eastAsia="宋体" w:cs="宋体"/>
          <w:color w:val="auto"/>
          <w:sz w:val="24"/>
          <w:highlight w:val="none"/>
          <w:lang w:val="en-US" w:eastAsia="zh-CN"/>
        </w:rPr>
        <w:t>自合同签订之日起3年，合同一年一签。</w:t>
      </w:r>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bCs/>
          <w:color w:val="auto"/>
          <w:highlight w:val="none"/>
        </w:rPr>
      </w:pPr>
      <w:bookmarkStart w:id="286" w:name="_Toc22859"/>
      <w:bookmarkStart w:id="287" w:name="_Toc16717"/>
      <w:bookmarkStart w:id="288" w:name="_Toc19837"/>
      <w:r>
        <w:rPr>
          <w:rFonts w:hint="eastAsia" w:hAnsi="宋体"/>
          <w:b/>
          <w:bCs/>
          <w:color w:val="auto"/>
          <w:highlight w:val="none"/>
        </w:rPr>
        <w:t>七、甲方责任和义务</w:t>
      </w:r>
      <w:bookmarkEnd w:id="286"/>
      <w:bookmarkEnd w:id="287"/>
      <w:bookmarkEnd w:id="288"/>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289" w:name="_Toc716"/>
      <w:r>
        <w:rPr>
          <w:rFonts w:hint="eastAsia" w:hAnsi="宋体"/>
          <w:b w:val="0"/>
          <w:bCs w:val="0"/>
          <w:color w:val="auto"/>
          <w:highlight w:val="none"/>
        </w:rPr>
        <w:t>1、甲方为乙方工作人员提供水电，以保证正常作业。</w:t>
      </w:r>
      <w:bookmarkEnd w:id="289"/>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290" w:name="_Toc30030"/>
      <w:r>
        <w:rPr>
          <w:rFonts w:hint="eastAsia" w:hAnsi="宋体"/>
          <w:b w:val="0"/>
          <w:bCs w:val="0"/>
          <w:color w:val="auto"/>
          <w:highlight w:val="none"/>
        </w:rPr>
        <w:t>2、协助乙方解决工作现场遇到的特殊问题。</w:t>
      </w:r>
      <w:bookmarkEnd w:id="290"/>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291" w:name="_Toc6141"/>
      <w:r>
        <w:rPr>
          <w:rFonts w:hint="eastAsia" w:hAnsi="宋体"/>
          <w:b w:val="0"/>
          <w:bCs w:val="0"/>
          <w:color w:val="auto"/>
          <w:highlight w:val="none"/>
        </w:rPr>
        <w:t>3、甲方对乙方提供的服务享有监督权和考核权，有权对乙方服务提出意见和建议。若乙方工作质量不达标，按照考核标准进行扣罚。</w:t>
      </w:r>
      <w:bookmarkEnd w:id="291"/>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292" w:name="_Toc9148"/>
      <w:r>
        <w:rPr>
          <w:rFonts w:hint="eastAsia" w:hAnsi="宋体"/>
          <w:b w:val="0"/>
          <w:bCs w:val="0"/>
          <w:color w:val="auto"/>
          <w:highlight w:val="none"/>
        </w:rPr>
        <w:t>4、甲方对乙方的服务及质量不满意时有权提出异议和要求返工;如不满意乙方工作人员的服务，可责令乙方及时调换。</w:t>
      </w:r>
      <w:bookmarkEnd w:id="292"/>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293" w:name="_Toc15813"/>
      <w:r>
        <w:rPr>
          <w:rFonts w:hint="eastAsia" w:hAnsi="宋体"/>
          <w:b w:val="0"/>
          <w:bCs w:val="0"/>
          <w:color w:val="auto"/>
          <w:highlight w:val="none"/>
        </w:rPr>
        <w:t>5、检查过程中发现问题解决不及时的，有投诉电话、媒体曝光、服务对象对工作提出问题两项以上、社会影响比较大的，甲方有权终止合同。.</w:t>
      </w:r>
      <w:bookmarkEnd w:id="293"/>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294" w:name="_Toc11725"/>
      <w:r>
        <w:rPr>
          <w:rFonts w:hint="eastAsia" w:hAnsi="宋体"/>
          <w:b w:val="0"/>
          <w:bCs w:val="0"/>
          <w:color w:val="auto"/>
          <w:highlight w:val="none"/>
        </w:rPr>
        <w:t>6、合同期内如因乙方原因或其它特殊原因，甲方有权对条款进行修改直至终止合同。</w:t>
      </w:r>
      <w:bookmarkEnd w:id="294"/>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bCs/>
          <w:color w:val="auto"/>
          <w:highlight w:val="none"/>
        </w:rPr>
      </w:pPr>
      <w:bookmarkStart w:id="295" w:name="_Toc384"/>
      <w:bookmarkStart w:id="296" w:name="_Toc7052"/>
      <w:bookmarkStart w:id="297" w:name="_Toc28803"/>
      <w:r>
        <w:rPr>
          <w:rFonts w:hint="eastAsia" w:hAnsi="宋体"/>
          <w:b/>
          <w:bCs/>
          <w:color w:val="auto"/>
          <w:highlight w:val="none"/>
        </w:rPr>
        <w:t>八、乙方的责任和义务</w:t>
      </w:r>
      <w:bookmarkEnd w:id="295"/>
      <w:bookmarkEnd w:id="296"/>
      <w:bookmarkEnd w:id="297"/>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298" w:name="_Toc16503"/>
      <w:r>
        <w:rPr>
          <w:rFonts w:hint="eastAsia" w:hAnsi="宋体"/>
          <w:b w:val="0"/>
          <w:bCs w:val="0"/>
          <w:color w:val="auto"/>
          <w:highlight w:val="none"/>
        </w:rPr>
        <w:t>1、乙方按磋商文件第三章服务范围、工作职责及要求提供服务。</w:t>
      </w:r>
      <w:bookmarkEnd w:id="298"/>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299" w:name="_Toc9489"/>
      <w:r>
        <w:rPr>
          <w:rFonts w:hint="eastAsia" w:hAnsi="宋体"/>
          <w:b w:val="0"/>
          <w:bCs w:val="0"/>
          <w:color w:val="auto"/>
          <w:highlight w:val="none"/>
        </w:rPr>
        <w:t>2、乙方工作人员必须遵守甲方各项规章制度，服从甲方的工作安排和调配，工作中严格按照操作规范及《服务工作标准》进行日常服务，保证工作质量，达到甲方满意。</w:t>
      </w:r>
      <w:bookmarkEnd w:id="299"/>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00" w:name="_Toc25523"/>
      <w:r>
        <w:rPr>
          <w:rFonts w:hint="eastAsia" w:hAnsi="宋体"/>
          <w:b w:val="0"/>
          <w:bCs w:val="0"/>
          <w:color w:val="auto"/>
          <w:highlight w:val="none"/>
        </w:rPr>
        <w:t>3、乙方按照甲方要求配置物业服务人员</w:t>
      </w:r>
      <w:r>
        <w:rPr>
          <w:rFonts w:hint="eastAsia" w:hAnsi="宋体"/>
          <w:b w:val="0"/>
          <w:bCs w:val="0"/>
          <w:color w:val="auto"/>
          <w:highlight w:val="none"/>
          <w:lang w:eastAsia="zh-CN"/>
        </w:rPr>
        <w:t>不少于</w:t>
      </w:r>
      <w:r>
        <w:rPr>
          <w:rFonts w:hint="eastAsia" w:hAnsi="宋体"/>
          <w:b w:val="0"/>
          <w:bCs w:val="0"/>
          <w:color w:val="auto"/>
          <w:highlight w:val="none"/>
          <w:lang w:val="en-US" w:eastAsia="zh-CN"/>
        </w:rPr>
        <w:t>20</w:t>
      </w:r>
      <w:r>
        <w:rPr>
          <w:rFonts w:hint="eastAsia" w:hAnsi="宋体"/>
          <w:b w:val="0"/>
          <w:bCs w:val="0"/>
          <w:color w:val="auto"/>
          <w:highlight w:val="none"/>
        </w:rPr>
        <w:t>名，提供的工作人员应身体健康、诚实勤劳。安排1名主管负责日常工作质量检查和活动紧急情况的处理。</w:t>
      </w:r>
      <w:bookmarkEnd w:id="300"/>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01" w:name="_Toc12200"/>
      <w:r>
        <w:rPr>
          <w:rFonts w:hint="eastAsia" w:hAnsi="宋体"/>
          <w:b w:val="0"/>
          <w:bCs w:val="0"/>
          <w:color w:val="auto"/>
          <w:highlight w:val="none"/>
        </w:rPr>
        <w:t>4、乙方工作人员在工作期间，必须遵守甲方的规章制度，服从甲方的安排。乙方服务人员应统--着装并按甲方规定标准进行服务。</w:t>
      </w:r>
      <w:bookmarkEnd w:id="301"/>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02" w:name="_Toc3239"/>
      <w:r>
        <w:rPr>
          <w:rFonts w:hint="eastAsia" w:hAnsi="宋体"/>
          <w:b w:val="0"/>
          <w:bCs w:val="0"/>
          <w:color w:val="auto"/>
          <w:highlight w:val="none"/>
        </w:rPr>
        <w:t>5、乙方应全力配合甲方定期检查工作，按照检查标准做好服务工作。乙方应听从甲方统一安排，完成服务范围内的其他各类应急任务。</w:t>
      </w:r>
      <w:bookmarkEnd w:id="302"/>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03" w:name="_Toc27072"/>
      <w:r>
        <w:rPr>
          <w:rFonts w:hint="eastAsia" w:hAnsi="宋体"/>
          <w:b w:val="0"/>
          <w:bCs w:val="0"/>
          <w:color w:val="auto"/>
          <w:highlight w:val="none"/>
        </w:rPr>
        <w:t>6、乙方负责对所有物业人员的全面管理工作，并承担物业人员的劳动用工责任及安全责任。甲方不承担任何责任。</w:t>
      </w:r>
      <w:bookmarkEnd w:id="303"/>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04" w:name="_Toc4644"/>
      <w:r>
        <w:rPr>
          <w:rFonts w:hint="eastAsia" w:hAnsi="宋体"/>
          <w:b w:val="0"/>
          <w:bCs w:val="0"/>
          <w:color w:val="auto"/>
          <w:highlight w:val="none"/>
        </w:rPr>
        <w:t>7、乙方在作业中应严格要求其物业人员，做好各种防护措施，不得擅自动用甲方的物品或进入与其服务作业无关的区域。因此造成乙方人员人身、财产损害的，由乙方自行承担责任;给甲方造成的损失，乙方应承担赔偿责任。</w:t>
      </w:r>
      <w:bookmarkEnd w:id="304"/>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05" w:name="_Toc17953"/>
      <w:r>
        <w:rPr>
          <w:rFonts w:hint="eastAsia" w:hAnsi="宋体"/>
          <w:b w:val="0"/>
          <w:bCs w:val="0"/>
          <w:color w:val="auto"/>
          <w:highlight w:val="none"/>
        </w:rPr>
        <w:t>8、乙方若发现设施设备等存在异常，应在及时处置的同时告知甲方。</w:t>
      </w:r>
      <w:bookmarkEnd w:id="305"/>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06" w:name="_Toc7713"/>
      <w:r>
        <w:rPr>
          <w:rFonts w:hint="eastAsia" w:hAnsi="宋体"/>
          <w:b w:val="0"/>
          <w:bCs w:val="0"/>
          <w:color w:val="auto"/>
          <w:highlight w:val="none"/>
        </w:rPr>
        <w:t>9、乙方在服务期间所发生的一-切安全事故(包括但不限于交通事故、安全生产责任事故等意外事故以及不可抗拒等因素造成的法律后果和经济损失)，由乙方自负，甲方不承担任何费用和责任。</w:t>
      </w:r>
      <w:bookmarkEnd w:id="306"/>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bCs/>
          <w:color w:val="auto"/>
          <w:highlight w:val="none"/>
        </w:rPr>
      </w:pPr>
      <w:bookmarkStart w:id="307" w:name="_Toc24207"/>
      <w:bookmarkStart w:id="308" w:name="_Toc7429"/>
      <w:bookmarkStart w:id="309" w:name="_Toc2027"/>
      <w:r>
        <w:rPr>
          <w:rFonts w:hint="eastAsia" w:hAnsi="宋体"/>
          <w:b/>
          <w:bCs/>
          <w:color w:val="auto"/>
          <w:highlight w:val="none"/>
        </w:rPr>
        <w:t>九、验收</w:t>
      </w:r>
      <w:bookmarkEnd w:id="307"/>
      <w:bookmarkEnd w:id="308"/>
      <w:bookmarkEnd w:id="309"/>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default" w:hAnsi="宋体" w:eastAsia="宋体"/>
          <w:b w:val="0"/>
          <w:bCs w:val="0"/>
          <w:color w:val="auto"/>
          <w:highlight w:val="yellow"/>
          <w:lang w:val="en-US" w:eastAsia="zh-CN"/>
        </w:rPr>
      </w:pPr>
      <w:bookmarkStart w:id="310" w:name="_Toc19489"/>
      <w:r>
        <w:rPr>
          <w:rFonts w:hint="eastAsia" w:hAnsi="宋体"/>
          <w:b w:val="0"/>
          <w:bCs w:val="0"/>
          <w:color w:val="auto"/>
          <w:highlight w:val="none"/>
        </w:rPr>
        <w:t>甲方对乙方服务情况进行检查，如发现有不符合标准之处，可责令乙方服务人员随时进行整改。若不及时整改，甲方视情况对乙方给予经济处罚。</w:t>
      </w:r>
      <w:bookmarkEnd w:id="310"/>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bCs/>
          <w:color w:val="auto"/>
          <w:highlight w:val="none"/>
        </w:rPr>
      </w:pPr>
      <w:bookmarkStart w:id="311" w:name="_Toc162"/>
      <w:bookmarkStart w:id="312" w:name="_Toc13808"/>
      <w:bookmarkStart w:id="313" w:name="_Toc5934"/>
      <w:r>
        <w:rPr>
          <w:rFonts w:hint="eastAsia" w:hAnsi="宋体"/>
          <w:b/>
          <w:bCs/>
          <w:color w:val="auto"/>
          <w:highlight w:val="none"/>
        </w:rPr>
        <w:t>十、分包与转让</w:t>
      </w:r>
      <w:bookmarkEnd w:id="311"/>
      <w:bookmarkEnd w:id="312"/>
      <w:bookmarkEnd w:id="313"/>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14" w:name="_Toc25503"/>
      <w:r>
        <w:rPr>
          <w:rFonts w:hint="eastAsia" w:hAnsi="宋体"/>
          <w:b w:val="0"/>
          <w:bCs w:val="0"/>
          <w:color w:val="auto"/>
          <w:highlight w:val="none"/>
        </w:rPr>
        <w:t>1、除甲方事先书面同意并成为合同的一部分外，乙方不得部分转让或全部转让其应履.行的合同义务。</w:t>
      </w:r>
      <w:bookmarkEnd w:id="314"/>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15" w:name="_Toc11754"/>
      <w:r>
        <w:rPr>
          <w:rFonts w:hint="eastAsia" w:hAnsi="宋体"/>
          <w:b w:val="0"/>
          <w:bCs w:val="0"/>
          <w:color w:val="auto"/>
          <w:highlight w:val="none"/>
        </w:rPr>
        <w:t>2、除了合同各方共同签署书面修改协议，并成为本合同不可分割的一部分情况之外，本合同的条件不得有任何变化或修改。</w:t>
      </w:r>
      <w:bookmarkEnd w:id="315"/>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16" w:name="_Toc22259"/>
      <w:r>
        <w:rPr>
          <w:rFonts w:hint="eastAsia" w:hAnsi="宋体"/>
          <w:b w:val="0"/>
          <w:bCs w:val="0"/>
          <w:color w:val="auto"/>
          <w:highlight w:val="none"/>
        </w:rPr>
        <w:t>3、如乙方在签订合同期内人事有所变动，要及时告知甲方变动原因，甲方视情况做出合理应对，否则，甲方有权终止合同或对乙方按违约处理。</w:t>
      </w:r>
      <w:bookmarkEnd w:id="316"/>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bCs/>
          <w:color w:val="auto"/>
          <w:highlight w:val="none"/>
        </w:rPr>
      </w:pPr>
      <w:bookmarkStart w:id="317" w:name="_Toc32715"/>
      <w:bookmarkStart w:id="318" w:name="_Toc32332"/>
      <w:bookmarkStart w:id="319" w:name="_Toc10324"/>
      <w:r>
        <w:rPr>
          <w:rFonts w:hint="eastAsia" w:hAnsi="宋体"/>
          <w:b/>
          <w:bCs/>
          <w:color w:val="auto"/>
          <w:highlight w:val="none"/>
        </w:rPr>
        <w:t>十一、违约责任</w:t>
      </w:r>
      <w:bookmarkEnd w:id="317"/>
      <w:bookmarkEnd w:id="318"/>
      <w:bookmarkEnd w:id="319"/>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20" w:name="_Toc12880"/>
      <w:r>
        <w:rPr>
          <w:rFonts w:hint="eastAsia" w:hAnsi="宋体"/>
          <w:b w:val="0"/>
          <w:bCs w:val="0"/>
          <w:color w:val="auto"/>
          <w:highlight w:val="none"/>
        </w:rPr>
        <w:t>合同生效后，甲乙双方应自觉履行合同内容。若乙方擅自解除合同，赔偿本次和再次招标所发生的所有费用。</w:t>
      </w:r>
      <w:bookmarkEnd w:id="320"/>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21" w:name="_Toc9158"/>
      <w:r>
        <w:rPr>
          <w:rFonts w:hint="eastAsia" w:hAnsi="宋体"/>
          <w:b w:val="0"/>
          <w:bCs w:val="0"/>
          <w:color w:val="auto"/>
          <w:highlight w:val="none"/>
        </w:rPr>
        <w:t>1、乙方必须甲方的各项规章制度，如有违反，按相关规定的处罚制度给予处理。</w:t>
      </w:r>
      <w:bookmarkEnd w:id="321"/>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22" w:name="_Toc17357"/>
      <w:r>
        <w:rPr>
          <w:rFonts w:hint="eastAsia" w:hAnsi="宋体"/>
          <w:b w:val="0"/>
          <w:bCs w:val="0"/>
          <w:color w:val="auto"/>
          <w:highlight w:val="none"/>
        </w:rPr>
        <w:t>2、乙方因工作失误给甲方带来经济损失，由乙方负责全额赔偿甲方(不可抗力的因素除外)。</w:t>
      </w:r>
      <w:bookmarkEnd w:id="322"/>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23" w:name="_Toc28592"/>
      <w:r>
        <w:rPr>
          <w:rFonts w:hint="eastAsia" w:hAnsi="宋体"/>
          <w:b w:val="0"/>
          <w:bCs w:val="0"/>
          <w:color w:val="auto"/>
          <w:highlight w:val="none"/>
        </w:rPr>
        <w:t>3、乙方必须接受甲方服务质量、服务态度、安全等监督，若有违反相关的规定和服务标准，甲方有权予以处罚。</w:t>
      </w:r>
      <w:bookmarkEnd w:id="323"/>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24" w:name="_Toc19604"/>
      <w:r>
        <w:rPr>
          <w:rFonts w:hint="eastAsia" w:hAnsi="宋体"/>
          <w:b w:val="0"/>
          <w:bCs w:val="0"/>
          <w:color w:val="auto"/>
          <w:highlight w:val="none"/>
        </w:rPr>
        <w:t>4、乙方违约，甲方有权终止合同并保留进--步索赔的权利并由乙方赔偿本次和再次招标所发生的所有费用。</w:t>
      </w:r>
      <w:bookmarkEnd w:id="324"/>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25" w:name="_Toc18161"/>
      <w:r>
        <w:rPr>
          <w:rFonts w:hint="eastAsia" w:hAnsi="宋体"/>
          <w:b w:val="0"/>
          <w:bCs w:val="0"/>
          <w:color w:val="auto"/>
          <w:highlight w:val="none"/>
        </w:rPr>
        <w:t>5、乙方迟延履行合同、不完全履行合同，除支付违约金外，乙方仍应实际履行合同;不履行或履行合同不符合约定，甲方有权解除合同，并就乙方违约给甲方造成的损失向乙方全额索赔。</w:t>
      </w:r>
      <w:bookmarkEnd w:id="325"/>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26" w:name="_Toc19629"/>
      <w:r>
        <w:rPr>
          <w:rFonts w:hint="eastAsia" w:hAnsi="宋体"/>
          <w:b w:val="0"/>
          <w:bCs w:val="0"/>
          <w:color w:val="auto"/>
          <w:highlight w:val="none"/>
        </w:rPr>
        <w:t>6、每月发现3次及以上与乙方在投标文件中承诺的对甲方应付责任和对甲方配合责任不符现象的，则甲方有权在当月结算服务费时扣留10%做为违约金，且乙方应立即整改实.现投标文件中所做承诺;若连续两月发现乙方出现每月3次及以上与乙方在投标文件中承诺的对甲方应付责任和对甲方配合责任不符现象的，则甲方有权单方面解除合同。</w:t>
      </w:r>
      <w:bookmarkEnd w:id="326"/>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27" w:name="_Toc9518"/>
      <w:r>
        <w:rPr>
          <w:rFonts w:hint="eastAsia" w:hAnsi="宋体"/>
          <w:b w:val="0"/>
          <w:bCs w:val="0"/>
          <w:color w:val="auto"/>
          <w:highlight w:val="none"/>
        </w:rPr>
        <w:t>7、其他未尽事宜，以《中华人民共和国民法典》和其他有关法律、法规规定为准，无相关规定的，双方协商解决。</w:t>
      </w:r>
      <w:bookmarkEnd w:id="327"/>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28" w:name="_Toc17920"/>
      <w:r>
        <w:rPr>
          <w:rFonts w:hint="eastAsia" w:hAnsi="宋体"/>
          <w:b w:val="0"/>
          <w:bCs w:val="0"/>
          <w:color w:val="auto"/>
          <w:highlight w:val="none"/>
        </w:rPr>
        <w:t>8、若因乙方违反《中华人民共和国民法典》或未按规定为从业人员投保所引起的一切法律纠纷由乙方负责。</w:t>
      </w:r>
      <w:bookmarkEnd w:id="328"/>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bCs/>
          <w:color w:val="auto"/>
          <w:highlight w:val="none"/>
        </w:rPr>
      </w:pPr>
      <w:bookmarkStart w:id="329" w:name="_Toc7705"/>
      <w:bookmarkStart w:id="330" w:name="_Toc28213"/>
      <w:bookmarkStart w:id="331" w:name="_Toc14832"/>
      <w:r>
        <w:rPr>
          <w:rFonts w:hint="eastAsia" w:hAnsi="宋体"/>
          <w:b/>
          <w:bCs/>
          <w:color w:val="auto"/>
          <w:highlight w:val="none"/>
        </w:rPr>
        <w:t>十二、不可抗力</w:t>
      </w:r>
      <w:bookmarkEnd w:id="329"/>
      <w:bookmarkEnd w:id="330"/>
      <w:bookmarkEnd w:id="331"/>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32" w:name="_Toc30851"/>
      <w:r>
        <w:rPr>
          <w:rFonts w:hint="eastAsia" w:hAnsi="宋体"/>
          <w:b w:val="0"/>
          <w:bCs w:val="0"/>
          <w:color w:val="auto"/>
          <w:highlight w:val="none"/>
        </w:rPr>
        <w:t>甲、乙方中任何一方，因不可抗力不能及时或完全履行合同的，应及时通知对方，并在3天内提供相应证明。未履行完合同部分是否继续履行、如何履行等问题，可由双方协.商解决。</w:t>
      </w:r>
      <w:bookmarkEnd w:id="332"/>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val="0"/>
          <w:bCs w:val="0"/>
          <w:color w:val="auto"/>
          <w:highlight w:val="none"/>
        </w:rPr>
      </w:pPr>
      <w:bookmarkStart w:id="333" w:name="_Toc19458"/>
      <w:bookmarkStart w:id="334" w:name="_Toc10246"/>
      <w:bookmarkStart w:id="335" w:name="_Toc10783"/>
      <w:r>
        <w:rPr>
          <w:rFonts w:hint="eastAsia" w:hAnsi="宋体"/>
          <w:b/>
          <w:bCs/>
          <w:color w:val="auto"/>
          <w:highlight w:val="none"/>
        </w:rPr>
        <w:t>十三、争议解决</w:t>
      </w:r>
      <w:bookmarkEnd w:id="333"/>
      <w:bookmarkEnd w:id="334"/>
      <w:bookmarkEnd w:id="335"/>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36" w:name="_Toc26793"/>
      <w:r>
        <w:rPr>
          <w:rFonts w:hint="eastAsia" w:hAnsi="宋体"/>
          <w:b w:val="0"/>
          <w:bCs w:val="0"/>
          <w:color w:val="auto"/>
          <w:highlight w:val="none"/>
        </w:rPr>
        <w:t>本合同在履行过程中发生争议，甲乙双方协商解决。协商不成，双方均可向桓台县人民法院提起诉讼。</w:t>
      </w:r>
      <w:bookmarkEnd w:id="336"/>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2" w:firstLineChars="200"/>
        <w:jc w:val="both"/>
        <w:textAlignment w:val="auto"/>
        <w:outlineLvl w:val="0"/>
        <w:rPr>
          <w:rFonts w:hint="eastAsia" w:hAnsi="宋体"/>
          <w:b w:val="0"/>
          <w:bCs w:val="0"/>
          <w:color w:val="auto"/>
          <w:highlight w:val="none"/>
        </w:rPr>
      </w:pPr>
      <w:bookmarkStart w:id="337" w:name="_Toc21308"/>
      <w:bookmarkStart w:id="338" w:name="_Toc18923"/>
      <w:bookmarkStart w:id="339" w:name="_Toc19964"/>
      <w:r>
        <w:rPr>
          <w:rFonts w:hint="eastAsia" w:hAnsi="宋体"/>
          <w:b/>
          <w:bCs/>
          <w:color w:val="auto"/>
          <w:highlight w:val="none"/>
        </w:rPr>
        <w:t>十四、合同的生效</w:t>
      </w:r>
      <w:bookmarkEnd w:id="337"/>
      <w:bookmarkEnd w:id="338"/>
      <w:bookmarkEnd w:id="339"/>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40" w:name="_Toc19093"/>
      <w:r>
        <w:rPr>
          <w:rFonts w:hint="eastAsia" w:hAnsi="宋体"/>
          <w:b w:val="0"/>
          <w:bCs w:val="0"/>
          <w:color w:val="auto"/>
          <w:highlight w:val="none"/>
        </w:rPr>
        <w:t>本合同经双方代表签字盖章后生效，合同执行期内，甲乙双方均不得随意变更或解除.合同。本合同如有未尽事宜，须经双方共同协商，做出补充规定，补充规定与本合同具有同等法律效力。</w:t>
      </w:r>
      <w:bookmarkEnd w:id="340"/>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480" w:firstLineChars="200"/>
        <w:jc w:val="both"/>
        <w:textAlignment w:val="auto"/>
        <w:outlineLvl w:val="9"/>
        <w:rPr>
          <w:rFonts w:hint="eastAsia" w:hAnsi="宋体"/>
          <w:b w:val="0"/>
          <w:bCs w:val="0"/>
          <w:color w:val="auto"/>
          <w:highlight w:val="none"/>
        </w:rPr>
      </w:pPr>
      <w:bookmarkStart w:id="341" w:name="_Toc29047"/>
      <w:r>
        <w:rPr>
          <w:rFonts w:hint="eastAsia" w:hAnsi="宋体"/>
          <w:b w:val="0"/>
          <w:bCs w:val="0"/>
          <w:color w:val="auto"/>
          <w:highlight w:val="none"/>
        </w:rPr>
        <w:t>本合同一-式</w:t>
      </w:r>
      <w:r>
        <w:rPr>
          <w:rFonts w:hint="eastAsia" w:hAnsi="宋体"/>
          <w:b w:val="0"/>
          <w:bCs w:val="0"/>
          <w:color w:val="auto"/>
          <w:highlight w:val="none"/>
          <w:lang w:val="en-US" w:eastAsia="zh-CN"/>
        </w:rPr>
        <w:t>六</w:t>
      </w:r>
      <w:r>
        <w:rPr>
          <w:rFonts w:hint="eastAsia" w:hAnsi="宋体"/>
          <w:b w:val="0"/>
          <w:bCs w:val="0"/>
          <w:color w:val="auto"/>
          <w:highlight w:val="none"/>
        </w:rPr>
        <w:t>份，甲方执</w:t>
      </w:r>
      <w:r>
        <w:rPr>
          <w:rFonts w:hint="eastAsia" w:hAnsi="宋体"/>
          <w:b w:val="0"/>
          <w:bCs w:val="0"/>
          <w:color w:val="auto"/>
          <w:highlight w:val="none"/>
          <w:lang w:val="en-US" w:eastAsia="zh-CN"/>
        </w:rPr>
        <w:t>三</w:t>
      </w:r>
      <w:r>
        <w:rPr>
          <w:rFonts w:hint="eastAsia" w:hAnsi="宋体"/>
          <w:b w:val="0"/>
          <w:bCs w:val="0"/>
          <w:color w:val="auto"/>
          <w:highlight w:val="none"/>
        </w:rPr>
        <w:t>份，乙方执二份，代理公司一份。</w:t>
      </w:r>
      <w:bookmarkEnd w:id="341"/>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0" w:firstLineChars="0"/>
        <w:jc w:val="both"/>
        <w:textAlignment w:val="auto"/>
        <w:outlineLvl w:val="9"/>
        <w:rPr>
          <w:rFonts w:hint="eastAsia" w:hAnsi="宋体"/>
          <w:b w:val="0"/>
          <w:bCs w:val="0"/>
          <w:color w:val="auto"/>
          <w:highlight w:val="none"/>
        </w:rPr>
      </w:pPr>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0" w:firstLineChars="0"/>
        <w:jc w:val="both"/>
        <w:textAlignment w:val="auto"/>
        <w:outlineLvl w:val="9"/>
        <w:rPr>
          <w:rFonts w:hint="eastAsia" w:hAnsi="宋体"/>
          <w:b w:val="0"/>
          <w:bCs w:val="0"/>
          <w:color w:val="auto"/>
          <w:highlight w:val="none"/>
        </w:rPr>
      </w:pPr>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720" w:firstLineChars="300"/>
        <w:jc w:val="both"/>
        <w:textAlignment w:val="auto"/>
        <w:outlineLvl w:val="9"/>
        <w:rPr>
          <w:rFonts w:hint="eastAsia" w:hAnsi="宋体"/>
          <w:b w:val="0"/>
          <w:bCs w:val="0"/>
          <w:color w:val="auto"/>
          <w:highlight w:val="none"/>
        </w:rPr>
      </w:pPr>
      <w:bookmarkStart w:id="342" w:name="_Toc32671"/>
      <w:r>
        <w:rPr>
          <w:rFonts w:hint="eastAsia" w:hAnsi="宋体"/>
          <w:b w:val="0"/>
          <w:bCs w:val="0"/>
          <w:color w:val="auto"/>
          <w:highlight w:val="none"/>
        </w:rPr>
        <w:t>甲方: (公章)</w:t>
      </w:r>
      <w:r>
        <w:rPr>
          <w:rFonts w:hint="eastAsia" w:hAnsi="宋体"/>
          <w:b w:val="0"/>
          <w:bCs w:val="0"/>
          <w:color w:val="auto"/>
          <w:highlight w:val="none"/>
          <w:lang w:val="en-US" w:eastAsia="zh-CN"/>
        </w:rPr>
        <w:t xml:space="preserve">                              </w:t>
      </w:r>
      <w:r>
        <w:rPr>
          <w:rFonts w:hint="eastAsia" w:hAnsi="宋体"/>
          <w:b w:val="0"/>
          <w:bCs w:val="0"/>
          <w:color w:val="auto"/>
          <w:highlight w:val="none"/>
        </w:rPr>
        <w:t>乙方:(公章)</w:t>
      </w:r>
      <w:bookmarkEnd w:id="342"/>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720" w:firstLineChars="300"/>
        <w:jc w:val="both"/>
        <w:textAlignment w:val="auto"/>
        <w:outlineLvl w:val="9"/>
        <w:rPr>
          <w:rFonts w:hint="default" w:hAnsi="宋体" w:eastAsia="宋体"/>
          <w:b w:val="0"/>
          <w:bCs w:val="0"/>
          <w:color w:val="auto"/>
          <w:highlight w:val="none"/>
          <w:lang w:val="en-US" w:eastAsia="zh-CN"/>
        </w:rPr>
      </w:pPr>
      <w:bookmarkStart w:id="343" w:name="_Toc5229"/>
      <w:r>
        <w:rPr>
          <w:rFonts w:hint="eastAsia" w:hAnsi="宋体"/>
          <w:b w:val="0"/>
          <w:bCs w:val="0"/>
          <w:color w:val="auto"/>
          <w:highlight w:val="none"/>
        </w:rPr>
        <w:t>法定代表人</w:t>
      </w:r>
      <w:r>
        <w:rPr>
          <w:rFonts w:hint="eastAsia" w:hAnsi="宋体"/>
          <w:b w:val="0"/>
          <w:bCs w:val="0"/>
          <w:color w:val="auto"/>
          <w:highlight w:val="none"/>
          <w:lang w:val="en-US" w:eastAsia="zh-CN"/>
        </w:rPr>
        <w:t xml:space="preserve">                                </w:t>
      </w:r>
      <w:r>
        <w:rPr>
          <w:rFonts w:hint="eastAsia" w:hAnsi="宋体"/>
          <w:b w:val="0"/>
          <w:bCs w:val="0"/>
          <w:color w:val="auto"/>
          <w:highlight w:val="none"/>
        </w:rPr>
        <w:t>法定代表人</w:t>
      </w:r>
      <w:bookmarkEnd w:id="343"/>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720" w:firstLineChars="300"/>
        <w:jc w:val="both"/>
        <w:textAlignment w:val="auto"/>
        <w:outlineLvl w:val="9"/>
        <w:rPr>
          <w:rFonts w:hint="eastAsia" w:hAnsi="宋体"/>
          <w:b w:val="0"/>
          <w:bCs w:val="0"/>
          <w:color w:val="auto"/>
          <w:highlight w:val="none"/>
        </w:rPr>
      </w:pPr>
      <w:bookmarkStart w:id="344" w:name="_Toc290"/>
      <w:r>
        <w:rPr>
          <w:rFonts w:hint="eastAsia" w:hAnsi="宋体"/>
          <w:b w:val="0"/>
          <w:bCs w:val="0"/>
          <w:color w:val="auto"/>
          <w:highlight w:val="none"/>
        </w:rPr>
        <w:t>或其授权代表: (签字或盖章 )</w:t>
      </w:r>
      <w:r>
        <w:rPr>
          <w:rFonts w:hint="eastAsia" w:hAnsi="宋体"/>
          <w:b w:val="0"/>
          <w:bCs w:val="0"/>
          <w:color w:val="auto"/>
          <w:highlight w:val="none"/>
          <w:lang w:val="en-US" w:eastAsia="zh-CN"/>
        </w:rPr>
        <w:t xml:space="preserve">               </w:t>
      </w:r>
      <w:r>
        <w:rPr>
          <w:rFonts w:hint="eastAsia" w:hAnsi="宋体"/>
          <w:b w:val="0"/>
          <w:bCs w:val="0"/>
          <w:color w:val="auto"/>
          <w:highlight w:val="none"/>
        </w:rPr>
        <w:t>或其授权代表: (签字或盖章)</w:t>
      </w:r>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720" w:firstLineChars="300"/>
        <w:jc w:val="both"/>
        <w:textAlignment w:val="auto"/>
        <w:outlineLvl w:val="9"/>
        <w:rPr>
          <w:rFonts w:hint="eastAsia" w:hAnsi="宋体"/>
          <w:b w:val="0"/>
          <w:bCs w:val="0"/>
          <w:color w:val="auto"/>
          <w:highlight w:val="none"/>
        </w:rPr>
      </w:pPr>
      <w:r>
        <w:rPr>
          <w:rFonts w:hint="eastAsia" w:hAnsi="宋体"/>
          <w:b w:val="0"/>
          <w:bCs w:val="0"/>
          <w:color w:val="auto"/>
          <w:highlight w:val="none"/>
        </w:rPr>
        <w:t>地址:</w:t>
      </w:r>
      <w:r>
        <w:rPr>
          <w:rFonts w:hint="eastAsia" w:hAnsi="宋体"/>
          <w:b w:val="0"/>
          <w:bCs w:val="0"/>
          <w:color w:val="auto"/>
          <w:highlight w:val="none"/>
          <w:lang w:val="en-US" w:eastAsia="zh-CN"/>
        </w:rPr>
        <w:t xml:space="preserve">                                     </w:t>
      </w:r>
      <w:r>
        <w:rPr>
          <w:rFonts w:hint="eastAsia" w:hAnsi="宋体"/>
          <w:b w:val="0"/>
          <w:bCs w:val="0"/>
          <w:color w:val="auto"/>
          <w:highlight w:val="none"/>
        </w:rPr>
        <w:t>地址:</w:t>
      </w:r>
      <w:bookmarkEnd w:id="344"/>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left="218" w:leftChars="104" w:firstLine="496" w:firstLineChars="207"/>
        <w:textAlignment w:val="auto"/>
        <w:outlineLvl w:val="2"/>
        <w:rPr>
          <w:rFonts w:hint="eastAsia" w:hAnsi="宋体"/>
          <w:b w:val="0"/>
          <w:bCs w:val="0"/>
          <w:color w:val="auto"/>
          <w:highlight w:val="none"/>
          <w:lang w:val="en-US" w:eastAsia="zh-CN"/>
        </w:rPr>
      </w:pPr>
      <w:bookmarkStart w:id="345" w:name="_Toc16085"/>
      <w:bookmarkStart w:id="346" w:name="_Toc6872"/>
      <w:r>
        <w:rPr>
          <w:rFonts w:hint="eastAsia" w:hAnsi="宋体"/>
          <w:b w:val="0"/>
          <w:bCs w:val="0"/>
          <w:color w:val="auto"/>
          <w:highlight w:val="none"/>
        </w:rPr>
        <w:t>电话:</w:t>
      </w:r>
      <w:r>
        <w:rPr>
          <w:rFonts w:hint="eastAsia" w:hAnsi="宋体"/>
          <w:b w:val="0"/>
          <w:bCs w:val="0"/>
          <w:color w:val="auto"/>
          <w:highlight w:val="none"/>
          <w:lang w:val="en-US" w:eastAsia="zh-CN"/>
        </w:rPr>
        <w:t xml:space="preserve">                                     </w:t>
      </w:r>
      <w:r>
        <w:rPr>
          <w:rFonts w:hint="eastAsia" w:hAnsi="宋体"/>
          <w:b w:val="0"/>
          <w:bCs w:val="0"/>
          <w:color w:val="auto"/>
          <w:highlight w:val="none"/>
        </w:rPr>
        <w:t>电话</w:t>
      </w:r>
      <w:bookmarkEnd w:id="345"/>
      <w:r>
        <w:rPr>
          <w:rFonts w:hint="eastAsia" w:hAnsi="宋体"/>
          <w:b w:val="0"/>
          <w:bCs w:val="0"/>
          <w:color w:val="auto"/>
          <w:highlight w:val="none"/>
          <w:lang w:eastAsia="zh-CN"/>
        </w:rPr>
        <w:t>：</w:t>
      </w:r>
      <w:bookmarkEnd w:id="346"/>
      <w:r>
        <w:rPr>
          <w:rFonts w:hint="eastAsia" w:hAnsi="宋体"/>
          <w:b w:val="0"/>
          <w:bCs w:val="0"/>
          <w:color w:val="auto"/>
          <w:highlight w:val="none"/>
          <w:lang w:val="en-US" w:eastAsia="zh-CN"/>
        </w:rPr>
        <w:t xml:space="preserve">                     </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left="218" w:leftChars="104" w:firstLine="19" w:firstLineChars="8"/>
        <w:textAlignment w:val="auto"/>
        <w:outlineLvl w:val="2"/>
        <w:rPr>
          <w:rFonts w:hint="eastAsia" w:hAnsi="宋体"/>
          <w:b w:val="0"/>
          <w:bCs w:val="0"/>
          <w:color w:val="auto"/>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left="218" w:leftChars="104" w:firstLine="19" w:firstLineChars="8"/>
        <w:textAlignment w:val="auto"/>
        <w:outlineLvl w:val="2"/>
        <w:rPr>
          <w:rFonts w:hint="eastAsia" w:hAnsi="宋体"/>
          <w:b w:val="0"/>
          <w:bCs w:val="0"/>
          <w:color w:val="auto"/>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left="218" w:leftChars="104" w:firstLine="19" w:firstLineChars="8"/>
        <w:textAlignment w:val="auto"/>
        <w:outlineLvl w:val="2"/>
        <w:rPr>
          <w:rFonts w:hint="eastAsia" w:hAnsi="宋体"/>
          <w:b w:val="0"/>
          <w:bCs w:val="0"/>
          <w:color w:val="auto"/>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left="218" w:leftChars="104" w:firstLine="19" w:firstLineChars="8"/>
        <w:textAlignment w:val="auto"/>
        <w:outlineLvl w:val="2"/>
        <w:rPr>
          <w:rFonts w:hint="eastAsia" w:hAnsi="宋体"/>
          <w:b w:val="0"/>
          <w:bCs w:val="0"/>
          <w:color w:val="auto"/>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left="218" w:leftChars="104" w:firstLine="19" w:firstLineChars="8"/>
        <w:textAlignment w:val="auto"/>
        <w:outlineLvl w:val="2"/>
        <w:rPr>
          <w:rFonts w:hint="eastAsia" w:hAnsi="宋体"/>
          <w:b w:val="0"/>
          <w:bCs w:val="0"/>
          <w:color w:val="auto"/>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left="218" w:leftChars="104" w:firstLine="19" w:firstLineChars="8"/>
        <w:textAlignment w:val="auto"/>
        <w:outlineLvl w:val="2"/>
        <w:rPr>
          <w:rFonts w:hint="eastAsia" w:hAnsi="宋体"/>
          <w:b w:val="0"/>
          <w:bCs w:val="0"/>
          <w:color w:val="auto"/>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left="218" w:leftChars="104" w:firstLine="19" w:firstLineChars="8"/>
        <w:textAlignment w:val="auto"/>
        <w:outlineLvl w:val="2"/>
        <w:rPr>
          <w:rFonts w:hint="eastAsia" w:hAnsi="宋体"/>
          <w:b w:val="0"/>
          <w:bCs w:val="0"/>
          <w:color w:val="auto"/>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left="218" w:leftChars="104" w:firstLine="19" w:firstLineChars="8"/>
        <w:textAlignment w:val="auto"/>
        <w:outlineLvl w:val="2"/>
        <w:rPr>
          <w:rFonts w:hint="eastAsia" w:hAnsi="宋体"/>
          <w:b w:val="0"/>
          <w:bCs w:val="0"/>
          <w:color w:val="auto"/>
          <w:highlight w:val="none"/>
          <w:lang w:val="en-US" w:eastAsia="zh-CN"/>
        </w:rPr>
      </w:pPr>
    </w:p>
    <w:p>
      <w:pPr>
        <w:rPr>
          <w:rFonts w:hint="eastAsia" w:hAnsi="宋体"/>
          <w:b w:val="0"/>
          <w:bCs w:val="0"/>
          <w:color w:val="auto"/>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outlineLvl w:val="2"/>
        <w:rPr>
          <w:rFonts w:hint="eastAsia" w:hAnsi="宋体"/>
          <w:b w:val="0"/>
          <w:bCs w:val="0"/>
          <w:color w:val="auto"/>
          <w:highlight w:val="none"/>
          <w:lang w:val="en-US" w:eastAsia="zh-CN"/>
        </w:rPr>
      </w:pP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jc w:val="left"/>
        <w:textAlignment w:val="auto"/>
        <w:rPr>
          <w:rFonts w:hint="eastAsia" w:ascii="宋体" w:hAnsi="宋体" w:eastAsia="宋体" w:cs="宋体"/>
          <w:b/>
          <w:bCs/>
          <w:sz w:val="24"/>
          <w:szCs w:val="24"/>
          <w:highlight w:val="none"/>
          <w:lang w:val="en-GB" w:eastAsia="zh-CN"/>
        </w:rPr>
      </w:pPr>
      <w:r>
        <w:rPr>
          <w:rFonts w:hint="eastAsia" w:ascii="宋体" w:hAnsi="宋体" w:eastAsia="宋体" w:cs="宋体"/>
          <w:b/>
          <w:bCs/>
          <w:sz w:val="24"/>
          <w:szCs w:val="24"/>
          <w:highlight w:val="none"/>
          <w:lang w:val="en-GB" w:eastAsia="zh-CN"/>
        </w:rPr>
        <w:t>附件：</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sz w:val="24"/>
          <w:szCs w:val="24"/>
          <w:highlight w:val="none"/>
          <w:lang w:val="en-GB" w:eastAsia="zh-CN"/>
        </w:rPr>
      </w:pPr>
      <w:r>
        <w:rPr>
          <w:rFonts w:hint="eastAsia" w:ascii="宋体" w:hAnsi="宋体" w:eastAsia="宋体" w:cs="宋体"/>
          <w:b/>
          <w:bCs/>
          <w:sz w:val="24"/>
          <w:szCs w:val="24"/>
          <w:highlight w:val="none"/>
          <w:lang w:val="en-GB" w:eastAsia="zh-CN"/>
        </w:rPr>
        <w:t>服务工作质量考核办法</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GB" w:eastAsia="zh-CN"/>
        </w:rPr>
        <w:t>为了加强</w:t>
      </w:r>
      <w:r>
        <w:rPr>
          <w:rFonts w:hint="eastAsia" w:ascii="宋体" w:hAnsi="宋体" w:eastAsia="宋体" w:cs="宋体"/>
          <w:sz w:val="24"/>
          <w:szCs w:val="24"/>
          <w:highlight w:val="none"/>
          <w:lang w:val="en-US" w:eastAsia="zh-CN"/>
        </w:rPr>
        <w:t>各院区服务</w:t>
      </w:r>
      <w:r>
        <w:rPr>
          <w:rFonts w:hint="eastAsia" w:ascii="宋体" w:hAnsi="宋体" w:eastAsia="宋体" w:cs="宋体"/>
          <w:sz w:val="24"/>
          <w:szCs w:val="24"/>
          <w:highlight w:val="none"/>
          <w:lang w:val="en-GB" w:eastAsia="zh-CN"/>
        </w:rPr>
        <w:t>管理，规范服务行为，共同提高工作效率及质量，经双方友好协商，形成以下考核办法，考核细则在成交供应商确定后，在充分满足本考核办法的基础上，由双方共同协商制定。</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szCs w:val="24"/>
          <w:highlight w:val="none"/>
          <w:lang w:val="en-GB" w:eastAsia="zh-CN"/>
        </w:rPr>
      </w:pPr>
      <w:r>
        <w:rPr>
          <w:rFonts w:hint="eastAsia" w:ascii="宋体" w:hAnsi="宋体" w:eastAsia="宋体" w:cs="宋体"/>
          <w:b/>
          <w:bCs/>
          <w:sz w:val="24"/>
          <w:szCs w:val="24"/>
          <w:highlight w:val="none"/>
          <w:lang w:val="en-GB" w:eastAsia="zh-CN"/>
        </w:rPr>
        <w:t>（一）考核原则</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GB" w:eastAsia="zh-CN"/>
        </w:rPr>
        <w:t>坚持实事求是、公开、公平、公正的原则。</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szCs w:val="24"/>
          <w:highlight w:val="none"/>
          <w:lang w:val="en-GB" w:eastAsia="zh-CN"/>
        </w:rPr>
      </w:pPr>
      <w:r>
        <w:rPr>
          <w:rFonts w:hint="eastAsia" w:ascii="宋体" w:hAnsi="宋体" w:eastAsia="宋体" w:cs="宋体"/>
          <w:b/>
          <w:bCs/>
          <w:sz w:val="24"/>
          <w:szCs w:val="24"/>
          <w:highlight w:val="none"/>
          <w:lang w:val="en-GB" w:eastAsia="zh-CN"/>
        </w:rPr>
        <w:t>（</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lang w:val="en-GB" w:eastAsia="zh-CN"/>
        </w:rPr>
        <w:t>）考核时间、办法及要求</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GB" w:eastAsia="zh-CN"/>
        </w:rPr>
        <w:t>考核时间:考核人员采取每月月底定时对</w:t>
      </w:r>
      <w:r>
        <w:rPr>
          <w:rFonts w:hint="eastAsia" w:ascii="宋体" w:hAnsi="宋体" w:eastAsia="宋体" w:cs="宋体"/>
          <w:sz w:val="24"/>
          <w:szCs w:val="24"/>
          <w:highlight w:val="none"/>
          <w:lang w:val="en-US" w:eastAsia="zh-CN"/>
        </w:rPr>
        <w:t>服务单位</w:t>
      </w:r>
      <w:r>
        <w:rPr>
          <w:rFonts w:hint="eastAsia" w:ascii="宋体" w:hAnsi="宋体" w:eastAsia="宋体" w:cs="宋体"/>
          <w:sz w:val="24"/>
          <w:szCs w:val="24"/>
          <w:highlight w:val="none"/>
          <w:lang w:val="en-GB" w:eastAsia="zh-CN"/>
        </w:rPr>
        <w:t>服务情况进行考核，每周安排不定期考核或抽查并作为月度考核参照。</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GB" w:eastAsia="zh-CN"/>
        </w:rPr>
        <w:t>考核办法:考核采取实地检查方法，根据双方共同制定的考核细则进行，考核人员由采购人及成交供应商在协定考核细则时共同确定。考核分值每个岗位采用百分制，根据考核情况及条款减除相应分值。成交供应商月度考核最终得分为各岗位月度考核得分的平均值。</w:t>
      </w:r>
    </w:p>
    <w:p>
      <w:pPr>
        <w:pStyle w:val="25"/>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lang w:val="en-GB" w:eastAsia="zh-CN"/>
        </w:rPr>
        <w:t>考核要求:参与考核人员必须认真负责、实事求是，严格依照考核评分细则进行评分。</w:t>
      </w:r>
    </w:p>
    <w:p>
      <w:pPr>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kern w:val="0"/>
          <w:sz w:val="24"/>
          <w:szCs w:val="24"/>
          <w:highlight w:val="none"/>
          <w:lang w:val="en-GB" w:eastAsia="zh-CN" w:bidi="ar-SA"/>
        </w:rPr>
      </w:pPr>
      <w:r>
        <w:rPr>
          <w:rFonts w:hint="eastAsia" w:ascii="宋体" w:hAnsi="宋体" w:eastAsia="宋体" w:cs="宋体"/>
          <w:b/>
          <w:bCs/>
          <w:kern w:val="0"/>
          <w:sz w:val="24"/>
          <w:szCs w:val="24"/>
          <w:highlight w:val="none"/>
          <w:lang w:val="en-GB" w:eastAsia="zh-CN" w:bidi="ar-SA"/>
        </w:rPr>
        <w:t>（</w:t>
      </w:r>
      <w:r>
        <w:rPr>
          <w:rFonts w:hint="eastAsia" w:ascii="宋体" w:hAnsi="宋体" w:eastAsia="宋体" w:cs="宋体"/>
          <w:b/>
          <w:bCs/>
          <w:kern w:val="0"/>
          <w:sz w:val="24"/>
          <w:szCs w:val="24"/>
          <w:highlight w:val="none"/>
          <w:lang w:val="en-US" w:eastAsia="zh-CN" w:bidi="ar-SA"/>
        </w:rPr>
        <w:t>三</w:t>
      </w:r>
      <w:r>
        <w:rPr>
          <w:rFonts w:hint="eastAsia" w:ascii="宋体" w:hAnsi="宋体" w:eastAsia="宋体" w:cs="宋体"/>
          <w:b/>
          <w:bCs/>
          <w:kern w:val="0"/>
          <w:sz w:val="24"/>
          <w:szCs w:val="24"/>
          <w:highlight w:val="none"/>
          <w:lang w:val="en-GB" w:eastAsia="zh-CN" w:bidi="ar-SA"/>
        </w:rPr>
        <w:t>）考核应用</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highlight w:val="none"/>
          <w:lang w:val="en-GB" w:eastAsia="zh-CN" w:bidi="ar-SA"/>
        </w:rPr>
      </w:pPr>
      <w:r>
        <w:rPr>
          <w:rFonts w:hint="eastAsia" w:ascii="宋体" w:hAnsi="宋体" w:eastAsia="宋体" w:cs="宋体"/>
          <w:kern w:val="0"/>
          <w:sz w:val="24"/>
          <w:szCs w:val="24"/>
          <w:highlight w:val="none"/>
          <w:lang w:val="en-GB" w:eastAsia="zh-CN" w:bidi="ar-SA"/>
        </w:rPr>
        <w:t>1、考核人员于次月5日前汇总考核情况，并根据考核情况对服务质量进行评定。90分以上为优秀，80-89分为良好，70-79分为中等，60-69分为及格，60分以下为不及格。考核结果为“良好”以上不进行经济处罚，考核结果为“中等”，扣除当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费的1%-5%，考核结果为“及格”，扣除当月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费的5%-10%，考核结果为“不及格”，扣除当月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费的10%—30%。以上各分值阶段相应服务缺陷由采购人发出整改通知后无条件进行整改，整改不到位的，采购人有权质押次月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费，并以此类推，直至达到采购人要求。</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highlight w:val="none"/>
          <w:lang w:val="en-GB" w:eastAsia="zh-CN" w:bidi="ar-SA"/>
        </w:rPr>
      </w:pPr>
      <w:r>
        <w:rPr>
          <w:rFonts w:hint="eastAsia" w:ascii="宋体" w:hAnsi="宋体" w:eastAsia="宋体" w:cs="宋体"/>
          <w:kern w:val="0"/>
          <w:sz w:val="24"/>
          <w:szCs w:val="24"/>
          <w:highlight w:val="none"/>
          <w:lang w:val="en-GB" w:eastAsia="zh-CN" w:bidi="ar-SA"/>
        </w:rPr>
        <w:t>2、由于管理不善、管理不到位等原因，一个月内出现较严重安全事故、质量事故等，根据严重程度，另外扣除当月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费的1%-10%，情节重大的，根据考核细则，加大处罚力度，须进行经济赔偿的，依法进行经济赔偿。</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highlight w:val="none"/>
          <w:lang w:val="en-GB" w:eastAsia="zh-CN" w:bidi="ar-SA"/>
        </w:rPr>
      </w:pPr>
      <w:r>
        <w:rPr>
          <w:rFonts w:hint="eastAsia" w:ascii="宋体" w:hAnsi="宋体" w:eastAsia="宋体" w:cs="宋体"/>
          <w:kern w:val="0"/>
          <w:sz w:val="24"/>
          <w:szCs w:val="24"/>
          <w:highlight w:val="none"/>
          <w:lang w:val="en-GB" w:eastAsia="zh-CN" w:bidi="ar-SA"/>
        </w:rPr>
        <w:t>3、由于不可抗力等特殊情况应上报而未上报，给采购人造成经济损失的，除依法进行赔偿外，扣除当月物业费的2%。</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highlight w:val="none"/>
          <w:lang w:val="en-GB" w:eastAsia="zh-CN" w:bidi="ar-SA"/>
        </w:rPr>
      </w:pPr>
      <w:r>
        <w:rPr>
          <w:rFonts w:hint="eastAsia" w:ascii="宋体" w:hAnsi="宋体" w:eastAsia="宋体" w:cs="宋体"/>
          <w:kern w:val="0"/>
          <w:sz w:val="24"/>
          <w:szCs w:val="24"/>
          <w:highlight w:val="none"/>
          <w:lang w:val="en-GB" w:eastAsia="zh-CN" w:bidi="ar-SA"/>
        </w:rPr>
        <w:t>4、因物品损坏未及时上报，每月达3次扣除当月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费的1%，6次扣除当月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费的2%，以此类推。</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highlight w:val="none"/>
          <w:lang w:val="en-GB" w:eastAsia="zh-CN" w:bidi="ar-SA"/>
        </w:rPr>
      </w:pPr>
      <w:r>
        <w:rPr>
          <w:rFonts w:hint="eastAsia" w:ascii="宋体" w:hAnsi="宋体" w:eastAsia="宋体" w:cs="宋体"/>
          <w:kern w:val="0"/>
          <w:sz w:val="24"/>
          <w:szCs w:val="24"/>
          <w:highlight w:val="none"/>
          <w:lang w:val="en-GB" w:eastAsia="zh-CN" w:bidi="ar-SA"/>
        </w:rPr>
        <w:t>5、由于</w:t>
      </w:r>
      <w:r>
        <w:rPr>
          <w:rFonts w:hint="eastAsia" w:ascii="宋体" w:hAnsi="宋体" w:eastAsia="宋体" w:cs="宋体"/>
          <w:kern w:val="0"/>
          <w:sz w:val="24"/>
          <w:szCs w:val="24"/>
          <w:highlight w:val="none"/>
          <w:lang w:val="en-US" w:eastAsia="zh-CN" w:bidi="ar-SA"/>
        </w:rPr>
        <w:t>服务单位</w:t>
      </w:r>
      <w:r>
        <w:rPr>
          <w:rFonts w:hint="eastAsia" w:ascii="宋体" w:hAnsi="宋体" w:eastAsia="宋体" w:cs="宋体"/>
          <w:kern w:val="0"/>
          <w:sz w:val="24"/>
          <w:szCs w:val="24"/>
          <w:highlight w:val="none"/>
          <w:lang w:val="en-GB" w:eastAsia="zh-CN" w:bidi="ar-SA"/>
        </w:rPr>
        <w:t>工作失误给</w:t>
      </w:r>
      <w:r>
        <w:rPr>
          <w:rFonts w:hint="eastAsia" w:ascii="宋体" w:hAnsi="宋体" w:eastAsia="宋体" w:cs="宋体"/>
          <w:kern w:val="0"/>
          <w:sz w:val="24"/>
          <w:szCs w:val="24"/>
          <w:highlight w:val="none"/>
          <w:lang w:val="en-US" w:eastAsia="zh-CN" w:bidi="ar-SA"/>
        </w:rPr>
        <w:t>医院</w:t>
      </w:r>
      <w:r>
        <w:rPr>
          <w:rFonts w:hint="eastAsia" w:ascii="宋体" w:hAnsi="宋体" w:eastAsia="宋体" w:cs="宋体"/>
          <w:kern w:val="0"/>
          <w:sz w:val="24"/>
          <w:szCs w:val="24"/>
          <w:highlight w:val="none"/>
          <w:lang w:val="en-GB" w:eastAsia="zh-CN" w:bidi="ar-SA"/>
        </w:rPr>
        <w:t>带来负面影响的，扣除年度合同</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费的1%-5%。</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highlight w:val="none"/>
          <w:lang w:val="en-GB" w:eastAsia="zh-CN" w:bidi="ar-SA"/>
        </w:rPr>
      </w:pPr>
      <w:r>
        <w:rPr>
          <w:rFonts w:hint="eastAsia" w:ascii="宋体" w:hAnsi="宋体" w:eastAsia="宋体" w:cs="宋体"/>
          <w:kern w:val="0"/>
          <w:sz w:val="24"/>
          <w:szCs w:val="24"/>
          <w:highlight w:val="none"/>
          <w:lang w:val="en-GB" w:eastAsia="zh-CN" w:bidi="ar-SA"/>
        </w:rPr>
        <w:t>6、考核检查连续两周下滑，采购人提出整改通知，</w:t>
      </w:r>
      <w:r>
        <w:rPr>
          <w:rFonts w:hint="eastAsia" w:ascii="宋体" w:hAnsi="宋体" w:eastAsia="宋体" w:cs="宋体"/>
          <w:kern w:val="0"/>
          <w:sz w:val="24"/>
          <w:szCs w:val="24"/>
          <w:highlight w:val="none"/>
          <w:lang w:val="en-US" w:eastAsia="zh-CN" w:bidi="ar-SA"/>
        </w:rPr>
        <w:t>服务单位</w:t>
      </w:r>
      <w:r>
        <w:rPr>
          <w:rFonts w:hint="eastAsia" w:ascii="宋体" w:hAnsi="宋体" w:eastAsia="宋体" w:cs="宋体"/>
          <w:kern w:val="0"/>
          <w:sz w:val="24"/>
          <w:szCs w:val="24"/>
          <w:highlight w:val="none"/>
          <w:lang w:val="en-GB" w:eastAsia="zh-CN" w:bidi="ar-SA"/>
        </w:rPr>
        <w:t>无条件整改，整改后月度考核仍不合格的，扣除当月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费的10%。连续两月考核下滑，采购人有权暂停支付</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费，并发出整改通知，拒不整改的，采购人有权解除合同，并要求赔偿由此造成的包括另外采购服务单位、雇人完成工作等在内的一切经济损失。</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highlight w:val="none"/>
          <w:lang w:val="en-GB" w:eastAsia="zh-CN" w:bidi="ar-SA"/>
        </w:rPr>
      </w:pPr>
      <w:r>
        <w:rPr>
          <w:rFonts w:hint="eastAsia" w:ascii="宋体" w:hAnsi="宋体" w:eastAsia="宋体" w:cs="宋体"/>
          <w:kern w:val="0"/>
          <w:sz w:val="24"/>
          <w:szCs w:val="24"/>
          <w:highlight w:val="none"/>
          <w:lang w:val="en-GB" w:eastAsia="zh-CN" w:bidi="ar-SA"/>
        </w:rPr>
        <w:t>7、</w:t>
      </w:r>
      <w:r>
        <w:rPr>
          <w:rFonts w:hint="eastAsia" w:ascii="宋体" w:hAnsi="宋体" w:eastAsia="宋体" w:cs="宋体"/>
          <w:kern w:val="0"/>
          <w:sz w:val="24"/>
          <w:szCs w:val="24"/>
          <w:highlight w:val="none"/>
          <w:lang w:val="en-US" w:eastAsia="zh-CN" w:bidi="ar-SA"/>
        </w:rPr>
        <w:t>服务单位</w:t>
      </w:r>
      <w:r>
        <w:rPr>
          <w:rFonts w:hint="eastAsia" w:ascii="宋体" w:hAnsi="宋体" w:eastAsia="宋体" w:cs="宋体"/>
          <w:kern w:val="0"/>
          <w:sz w:val="24"/>
          <w:szCs w:val="24"/>
          <w:highlight w:val="none"/>
          <w:lang w:val="en-GB" w:eastAsia="zh-CN" w:bidi="ar-SA"/>
        </w:rPr>
        <w:t>员工工作期间脱岗、空岗或进行与工作无关的事情，</w:t>
      </w:r>
      <w:r>
        <w:rPr>
          <w:rFonts w:hint="eastAsia" w:ascii="宋体" w:hAnsi="宋体" w:eastAsia="宋体" w:cs="宋体"/>
          <w:kern w:val="0"/>
          <w:sz w:val="24"/>
          <w:szCs w:val="24"/>
          <w:highlight w:val="none"/>
          <w:lang w:val="en-US" w:eastAsia="zh-CN" w:bidi="ar-SA"/>
        </w:rPr>
        <w:t>医院</w:t>
      </w:r>
      <w:r>
        <w:rPr>
          <w:rFonts w:hint="eastAsia" w:ascii="宋体" w:hAnsi="宋体" w:eastAsia="宋体" w:cs="宋体"/>
          <w:kern w:val="0"/>
          <w:sz w:val="24"/>
          <w:szCs w:val="24"/>
          <w:highlight w:val="none"/>
          <w:lang w:val="en-GB" w:eastAsia="zh-CN" w:bidi="ar-SA"/>
        </w:rPr>
        <w:t>每次扣除当月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费的1%一10%，造成重大安全事故时扣罚更大比例甚至全部当月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highlight w:val="none"/>
          <w:lang w:val="en-GB" w:eastAsia="zh-CN" w:bidi="ar-SA"/>
        </w:rPr>
      </w:pPr>
      <w:r>
        <w:rPr>
          <w:rFonts w:hint="eastAsia" w:ascii="宋体" w:hAnsi="宋体" w:eastAsia="宋体" w:cs="宋体"/>
          <w:kern w:val="0"/>
          <w:sz w:val="24"/>
          <w:szCs w:val="24"/>
          <w:highlight w:val="none"/>
          <w:lang w:val="en-GB" w:eastAsia="zh-CN" w:bidi="ar-SA"/>
        </w:rPr>
        <w:t>8、根据各岗位人员工作情况，岗位人员不合格或不符合岗位要求的，采购人有权要求成交供应商换人，直至达到采购人要求。</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highlight w:val="none"/>
          <w:lang w:val="en-GB" w:eastAsia="zh-CN" w:bidi="ar-SA"/>
        </w:rPr>
      </w:pPr>
      <w:r>
        <w:rPr>
          <w:rFonts w:hint="eastAsia" w:ascii="宋体" w:hAnsi="宋体" w:eastAsia="宋体" w:cs="宋体"/>
          <w:kern w:val="0"/>
          <w:sz w:val="24"/>
          <w:szCs w:val="24"/>
          <w:highlight w:val="none"/>
          <w:lang w:val="en-GB" w:eastAsia="zh-CN" w:bidi="ar-SA"/>
        </w:rPr>
        <w:t>9、管理过程中对重大安全隐患未及时发现或采取措施而由</w:t>
      </w:r>
      <w:r>
        <w:rPr>
          <w:rFonts w:hint="eastAsia" w:ascii="宋体" w:hAnsi="宋体" w:eastAsia="宋体" w:cs="宋体"/>
          <w:kern w:val="0"/>
          <w:sz w:val="24"/>
          <w:szCs w:val="24"/>
          <w:highlight w:val="none"/>
          <w:lang w:val="en-US" w:eastAsia="zh-CN" w:bidi="ar-SA"/>
        </w:rPr>
        <w:t>医院</w:t>
      </w:r>
      <w:r>
        <w:rPr>
          <w:rFonts w:hint="eastAsia" w:ascii="宋体" w:hAnsi="宋体" w:eastAsia="宋体" w:cs="宋体"/>
          <w:kern w:val="0"/>
          <w:sz w:val="24"/>
          <w:szCs w:val="24"/>
          <w:highlight w:val="none"/>
          <w:lang w:val="en-GB" w:eastAsia="zh-CN" w:bidi="ar-SA"/>
        </w:rPr>
        <w:t>发现的，扣除年度合同</w:t>
      </w:r>
      <w:r>
        <w:rPr>
          <w:rFonts w:hint="eastAsia" w:ascii="宋体" w:hAnsi="宋体" w:eastAsia="宋体" w:cs="宋体"/>
          <w:kern w:val="0"/>
          <w:sz w:val="24"/>
          <w:szCs w:val="24"/>
          <w:highlight w:val="none"/>
          <w:lang w:val="en-US" w:eastAsia="zh-CN" w:bidi="ar-SA"/>
        </w:rPr>
        <w:t>服务费</w:t>
      </w:r>
      <w:r>
        <w:rPr>
          <w:rFonts w:hint="eastAsia" w:ascii="宋体" w:hAnsi="宋体" w:eastAsia="宋体" w:cs="宋体"/>
          <w:kern w:val="0"/>
          <w:sz w:val="24"/>
          <w:szCs w:val="24"/>
          <w:highlight w:val="none"/>
          <w:lang w:val="en-GB" w:eastAsia="zh-CN" w:bidi="ar-SA"/>
        </w:rPr>
        <w:t>的1%-5%。</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kern w:val="0"/>
          <w:sz w:val="24"/>
          <w:szCs w:val="24"/>
          <w:highlight w:val="none"/>
          <w:lang w:val="en-GB" w:eastAsia="zh-CN" w:bidi="ar-SA"/>
        </w:rPr>
      </w:pPr>
      <w:r>
        <w:rPr>
          <w:rFonts w:hint="eastAsia" w:ascii="宋体" w:hAnsi="宋体" w:eastAsia="宋体" w:cs="宋体"/>
          <w:kern w:val="0"/>
          <w:sz w:val="24"/>
          <w:szCs w:val="24"/>
          <w:highlight w:val="none"/>
          <w:lang w:val="en-GB" w:eastAsia="zh-CN" w:bidi="ar-SA"/>
        </w:rPr>
        <w:t>10、因</w:t>
      </w:r>
      <w:r>
        <w:rPr>
          <w:rFonts w:hint="eastAsia" w:ascii="宋体" w:hAnsi="宋体" w:eastAsia="宋体" w:cs="宋体"/>
          <w:kern w:val="0"/>
          <w:sz w:val="24"/>
          <w:szCs w:val="24"/>
          <w:highlight w:val="none"/>
          <w:lang w:val="en-US" w:eastAsia="zh-CN" w:bidi="ar-SA"/>
        </w:rPr>
        <w:t>服务单位</w:t>
      </w:r>
      <w:r>
        <w:rPr>
          <w:rFonts w:hint="eastAsia" w:ascii="宋体" w:hAnsi="宋体" w:eastAsia="宋体" w:cs="宋体"/>
          <w:kern w:val="0"/>
          <w:sz w:val="24"/>
          <w:szCs w:val="24"/>
          <w:highlight w:val="none"/>
          <w:lang w:val="en-GB" w:eastAsia="zh-CN" w:bidi="ar-SA"/>
        </w:rPr>
        <w:t>管理问题造成实际到岗人员不足，空岗等问题，</w:t>
      </w:r>
      <w:r>
        <w:rPr>
          <w:rFonts w:hint="eastAsia" w:ascii="宋体" w:hAnsi="宋体" w:eastAsia="宋体" w:cs="宋体"/>
          <w:kern w:val="0"/>
          <w:sz w:val="24"/>
          <w:szCs w:val="24"/>
          <w:highlight w:val="none"/>
          <w:lang w:val="en-US" w:eastAsia="zh-CN" w:bidi="ar-SA"/>
        </w:rPr>
        <w:t>医院</w:t>
      </w:r>
      <w:r>
        <w:rPr>
          <w:rFonts w:hint="eastAsia" w:ascii="宋体" w:hAnsi="宋体" w:eastAsia="宋体" w:cs="宋体"/>
          <w:kern w:val="0"/>
          <w:sz w:val="24"/>
          <w:szCs w:val="24"/>
          <w:highlight w:val="none"/>
          <w:lang w:val="en-GB" w:eastAsia="zh-CN" w:bidi="ar-SA"/>
        </w:rPr>
        <w:t>根据实际到岗人员结算当月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费，并扣除当月</w:t>
      </w:r>
      <w:r>
        <w:rPr>
          <w:rFonts w:hint="eastAsia" w:ascii="宋体" w:hAnsi="宋体" w:eastAsia="宋体" w:cs="宋体"/>
          <w:kern w:val="0"/>
          <w:sz w:val="24"/>
          <w:szCs w:val="24"/>
          <w:highlight w:val="none"/>
          <w:lang w:val="en-US" w:eastAsia="zh-CN" w:bidi="ar-SA"/>
        </w:rPr>
        <w:t>服务</w:t>
      </w:r>
      <w:r>
        <w:rPr>
          <w:rFonts w:hint="eastAsia" w:ascii="宋体" w:hAnsi="宋体" w:eastAsia="宋体" w:cs="宋体"/>
          <w:kern w:val="0"/>
          <w:sz w:val="24"/>
          <w:szCs w:val="24"/>
          <w:highlight w:val="none"/>
          <w:lang w:val="en-GB" w:eastAsia="zh-CN" w:bidi="ar-SA"/>
        </w:rPr>
        <w:t>费的1%-10%，因岗位人员不足问题为</w:t>
      </w:r>
      <w:r>
        <w:rPr>
          <w:rFonts w:hint="eastAsia" w:ascii="宋体" w:hAnsi="宋体" w:eastAsia="宋体" w:cs="宋体"/>
          <w:kern w:val="0"/>
          <w:sz w:val="24"/>
          <w:szCs w:val="24"/>
          <w:highlight w:val="none"/>
          <w:lang w:val="en-US" w:eastAsia="zh-CN" w:bidi="ar-SA"/>
        </w:rPr>
        <w:t>医院</w:t>
      </w:r>
      <w:r>
        <w:rPr>
          <w:rFonts w:hint="eastAsia" w:ascii="宋体" w:hAnsi="宋体" w:eastAsia="宋体" w:cs="宋体"/>
          <w:kern w:val="0"/>
          <w:sz w:val="24"/>
          <w:szCs w:val="24"/>
          <w:highlight w:val="none"/>
          <w:lang w:val="en-GB" w:eastAsia="zh-CN" w:bidi="ar-SA"/>
        </w:rPr>
        <w:t>造成损失的，据实际情况进行赔付。</w:t>
      </w:r>
    </w:p>
    <w:p>
      <w:pPr>
        <w:pStyle w:val="7"/>
        <w:keepNext w:val="0"/>
        <w:keepLines w:val="0"/>
        <w:pageBreakBefore w:val="0"/>
        <w:widowControl w:val="0"/>
        <w:kinsoku/>
        <w:wordWrap/>
        <w:overflowPunct/>
        <w:topLinePunct w:val="0"/>
        <w:autoSpaceDE w:val="0"/>
        <w:autoSpaceDN w:val="0"/>
        <w:bidi w:val="0"/>
        <w:adjustRightInd w:val="0"/>
        <w:snapToGrid/>
        <w:spacing w:line="480" w:lineRule="exact"/>
        <w:ind w:left="0" w:leftChars="0" w:firstLine="720" w:firstLineChars="300"/>
        <w:jc w:val="both"/>
        <w:textAlignment w:val="auto"/>
        <w:outlineLvl w:val="9"/>
        <w:rPr>
          <w:rFonts w:hint="default" w:hAnsi="宋体" w:eastAsia="宋体"/>
          <w:b w:val="0"/>
          <w:bCs w:val="0"/>
          <w:color w:val="auto"/>
          <w:highlight w:val="none"/>
          <w:lang w:val="en-US" w:eastAsia="zh-CN"/>
        </w:rPr>
      </w:pPr>
      <w:r>
        <w:rPr>
          <w:rFonts w:hint="eastAsia" w:hAnsi="宋体"/>
          <w:b w:val="0"/>
          <w:bCs w:val="0"/>
          <w:color w:val="auto"/>
          <w:highlight w:val="none"/>
          <w:lang w:val="en-US" w:eastAsia="zh-CN"/>
        </w:rPr>
        <w:t xml:space="preserve">                                                                   </w:t>
      </w:r>
    </w:p>
    <w:sectPr>
      <w:footerReference r:id="rId7" w:type="default"/>
      <w:pgSz w:w="11906" w:h="16838"/>
      <w:pgMar w:top="1100" w:right="1123" w:bottom="1100" w:left="1123"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MingLiU_HKSCS">
    <w:panose1 w:val="02020500000000000000"/>
    <w:charset w:val="88"/>
    <w:family w:val="roman"/>
    <w:pitch w:val="default"/>
    <w:sig w:usb0="A00002FF" w:usb1="38CFFCFA" w:usb2="00000016" w:usb3="00000000" w:csb0="00100001"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SourceHanSansCN-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lang w:val="en-US"/>
      </w:rPr>
    </w:pPr>
    <w:r>
      <w:rPr>
        <w:rFonts w:hint="eastAsia"/>
        <w:lang w:val="en-US" w:eastAsia="zh-CN"/>
      </w:rPr>
      <w:t xml:space="preserve">  </w:t>
    </w:r>
  </w:p>
  <w:p>
    <w:pPr>
      <w:pStyle w:val="13"/>
      <w:ind w:right="36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lang w:val="en-US"/>
      </w:rPr>
    </w:pPr>
  </w:p>
  <w:p>
    <w:pPr>
      <w:pStyle w:val="13"/>
      <w:ind w:right="360"/>
      <w:jc w:val="right"/>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left" w:pos="567"/>
      </w:tabs>
      <w:spacing w:line="14" w:lineRule="auto"/>
      <w:ind w:left="0" w:leftChars="0" w:firstLine="0" w:firstLineChars="0"/>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第 </w:t>
                          </w:r>
                          <w:r>
                            <w:fldChar w:fldCharType="begin"/>
                          </w:r>
                          <w:r>
                            <w:instrText xml:space="preserve"> PAGE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3"/>
                    </w:pPr>
                    <w:r>
                      <w:t xml:space="preserve">第 </w:t>
                    </w:r>
                    <w:r>
                      <w:fldChar w:fldCharType="begin"/>
                    </w:r>
                    <w:r>
                      <w:instrText xml:space="preserve"> PAGE  \* MERGEFORMAT </w:instrText>
                    </w:r>
                    <w:r>
                      <w:fldChar w:fldCharType="separate"/>
                    </w:r>
                    <w:r>
                      <w:t>45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3"/>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tabs>
        <w:tab w:val="left" w:pos="1836"/>
      </w:tabs>
      <w:jc w:val="left"/>
      <w:rPr>
        <w:rFonts w:hint="eastAsia" w:eastAsiaTheme="minorEastAsia"/>
        <w:lang w:eastAsia="zh-CN"/>
      </w:rPr>
    </w:pPr>
    <w:r>
      <w:rPr>
        <w:rFonts w:hint="eastAsia"/>
        <w:lang w:eastAsia="zh-CN"/>
      </w:rPr>
      <w:tab/>
    </w: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19E62D"/>
    <w:multiLevelType w:val="singleLevel"/>
    <w:tmpl w:val="9919E62D"/>
    <w:lvl w:ilvl="0" w:tentative="0">
      <w:start w:val="1"/>
      <w:numFmt w:val="decimal"/>
      <w:suff w:val="nothing"/>
      <w:lvlText w:val="（%1）"/>
      <w:lvlJc w:val="left"/>
    </w:lvl>
  </w:abstractNum>
  <w:abstractNum w:abstractNumId="1">
    <w:nsid w:val="A5D47167"/>
    <w:multiLevelType w:val="singleLevel"/>
    <w:tmpl w:val="A5D47167"/>
    <w:lvl w:ilvl="0" w:tentative="0">
      <w:start w:val="1"/>
      <w:numFmt w:val="decimal"/>
      <w:suff w:val="nothing"/>
      <w:lvlText w:val="%1、"/>
      <w:lvlJc w:val="left"/>
    </w:lvl>
  </w:abstractNum>
  <w:abstractNum w:abstractNumId="2">
    <w:nsid w:val="CC65BEF3"/>
    <w:multiLevelType w:val="singleLevel"/>
    <w:tmpl w:val="CC65BEF3"/>
    <w:lvl w:ilvl="0" w:tentative="0">
      <w:start w:val="2"/>
      <w:numFmt w:val="chineseCounting"/>
      <w:suff w:val="space"/>
      <w:lvlText w:val="(%1)"/>
      <w:lvlJc w:val="left"/>
      <w:rPr>
        <w:rFonts w:hint="eastAsia"/>
      </w:rPr>
    </w:lvl>
  </w:abstractNum>
  <w:abstractNum w:abstractNumId="3">
    <w:nsid w:val="EF6839BB"/>
    <w:multiLevelType w:val="singleLevel"/>
    <w:tmpl w:val="EF6839BB"/>
    <w:lvl w:ilvl="0" w:tentative="0">
      <w:start w:val="3"/>
      <w:numFmt w:val="chineseCounting"/>
      <w:suff w:val="space"/>
      <w:lvlText w:val="第%1章"/>
      <w:lvlJc w:val="left"/>
      <w:pPr>
        <w:ind w:left="3463" w:leftChars="0" w:firstLine="0" w:firstLineChars="0"/>
      </w:pPr>
      <w:rPr>
        <w:rFonts w:hint="eastAsia"/>
      </w:rPr>
    </w:lvl>
  </w:abstractNum>
  <w:abstractNum w:abstractNumId="4">
    <w:nsid w:val="0E82C870"/>
    <w:multiLevelType w:val="singleLevel"/>
    <w:tmpl w:val="0E82C870"/>
    <w:lvl w:ilvl="0" w:tentative="0">
      <w:start w:val="2"/>
      <w:numFmt w:val="chineseCounting"/>
      <w:suff w:val="nothing"/>
      <w:lvlText w:val="%1、"/>
      <w:lvlJc w:val="left"/>
      <w:rPr>
        <w:rFonts w:hint="eastAsia"/>
      </w:rPr>
    </w:lvl>
  </w:abstractNum>
  <w:abstractNum w:abstractNumId="5">
    <w:nsid w:val="39342497"/>
    <w:multiLevelType w:val="singleLevel"/>
    <w:tmpl w:val="39342497"/>
    <w:lvl w:ilvl="0" w:tentative="0">
      <w:start w:val="1"/>
      <w:numFmt w:val="decimal"/>
      <w:suff w:val="nothing"/>
      <w:lvlText w:val="%1、"/>
      <w:lvlJc w:val="left"/>
    </w:lvl>
  </w:abstractNum>
  <w:abstractNum w:abstractNumId="6">
    <w:nsid w:val="4A2C64BB"/>
    <w:multiLevelType w:val="singleLevel"/>
    <w:tmpl w:val="4A2C64BB"/>
    <w:lvl w:ilvl="0" w:tentative="0">
      <w:start w:val="2"/>
      <w:numFmt w:val="decimal"/>
      <w:suff w:val="space"/>
      <w:lvlText w:val="（%1）"/>
      <w:lvlJc w:val="left"/>
      <w:pPr>
        <w:ind w:left="1202" w:leftChars="0" w:firstLine="0" w:firstLineChars="0"/>
      </w:pPr>
    </w:lvl>
  </w:abstractNum>
  <w:abstractNum w:abstractNumId="7">
    <w:nsid w:val="5530657E"/>
    <w:multiLevelType w:val="singleLevel"/>
    <w:tmpl w:val="5530657E"/>
    <w:lvl w:ilvl="0" w:tentative="0">
      <w:start w:val="1"/>
      <w:numFmt w:val="decimal"/>
      <w:suff w:val="nothing"/>
      <w:lvlText w:val="%1、"/>
      <w:lvlJc w:val="left"/>
    </w:lvl>
  </w:abstractNum>
  <w:abstractNum w:abstractNumId="8">
    <w:nsid w:val="78E48FB8"/>
    <w:multiLevelType w:val="singleLevel"/>
    <w:tmpl w:val="78E48FB8"/>
    <w:lvl w:ilvl="0" w:tentative="0">
      <w:start w:val="7"/>
      <w:numFmt w:val="chineseCounting"/>
      <w:suff w:val="nothing"/>
      <w:lvlText w:val="%1、"/>
      <w:lvlJc w:val="left"/>
      <w:rPr>
        <w:rFonts w:hint="eastAsia"/>
      </w:rPr>
    </w:lvl>
  </w:abstractNum>
  <w:abstractNum w:abstractNumId="9">
    <w:nsid w:val="7A1801A3"/>
    <w:multiLevelType w:val="singleLevel"/>
    <w:tmpl w:val="7A1801A3"/>
    <w:lvl w:ilvl="0" w:tentative="0">
      <w:start w:val="1"/>
      <w:numFmt w:val="decimal"/>
      <w:suff w:val="space"/>
      <w:lvlText w:val="%1、"/>
      <w:lvlJc w:val="left"/>
    </w:lvl>
  </w:abstractNum>
  <w:num w:numId="1">
    <w:abstractNumId w:val="8"/>
  </w:num>
  <w:num w:numId="2">
    <w:abstractNumId w:val="7"/>
  </w:num>
  <w:num w:numId="3">
    <w:abstractNumId w:val="0"/>
  </w:num>
  <w:num w:numId="4">
    <w:abstractNumId w:val="3"/>
  </w:num>
  <w:num w:numId="5">
    <w:abstractNumId w:val="5"/>
  </w:num>
  <w:num w:numId="6">
    <w:abstractNumId w:val="1"/>
  </w:num>
  <w:num w:numId="7">
    <w:abstractNumId w:val="2"/>
  </w:num>
  <w:num w:numId="8">
    <w:abstractNumId w:val="4"/>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260"/>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VjMzVjMjRlZDg0ZTg4NjIwYzJkMGViNDkxZTA5MTcifQ=="/>
  </w:docVars>
  <w:rsids>
    <w:rsidRoot w:val="00172A27"/>
    <w:rsid w:val="00022F1E"/>
    <w:rsid w:val="0007371D"/>
    <w:rsid w:val="00096142"/>
    <w:rsid w:val="000B2737"/>
    <w:rsid w:val="001326BC"/>
    <w:rsid w:val="00160B49"/>
    <w:rsid w:val="001645B5"/>
    <w:rsid w:val="00166BB5"/>
    <w:rsid w:val="001B65D3"/>
    <w:rsid w:val="0024573E"/>
    <w:rsid w:val="002957FF"/>
    <w:rsid w:val="002B06D2"/>
    <w:rsid w:val="00310291"/>
    <w:rsid w:val="00315FF2"/>
    <w:rsid w:val="00321A08"/>
    <w:rsid w:val="003468B7"/>
    <w:rsid w:val="003574C6"/>
    <w:rsid w:val="003B299D"/>
    <w:rsid w:val="003C0ABB"/>
    <w:rsid w:val="003C3A9B"/>
    <w:rsid w:val="003E0245"/>
    <w:rsid w:val="004176C5"/>
    <w:rsid w:val="004621ED"/>
    <w:rsid w:val="0047776C"/>
    <w:rsid w:val="004A6172"/>
    <w:rsid w:val="004B5BE1"/>
    <w:rsid w:val="004D2D6A"/>
    <w:rsid w:val="004D6072"/>
    <w:rsid w:val="004E030C"/>
    <w:rsid w:val="004F36A8"/>
    <w:rsid w:val="00537E3D"/>
    <w:rsid w:val="00571986"/>
    <w:rsid w:val="005876DC"/>
    <w:rsid w:val="005A3257"/>
    <w:rsid w:val="005A4942"/>
    <w:rsid w:val="005F4BD3"/>
    <w:rsid w:val="00682E44"/>
    <w:rsid w:val="00684C3F"/>
    <w:rsid w:val="00686714"/>
    <w:rsid w:val="006C2CE2"/>
    <w:rsid w:val="006D5E94"/>
    <w:rsid w:val="006F2A16"/>
    <w:rsid w:val="006F4BA6"/>
    <w:rsid w:val="007240E6"/>
    <w:rsid w:val="00726FEA"/>
    <w:rsid w:val="00735904"/>
    <w:rsid w:val="0073665B"/>
    <w:rsid w:val="00751B6F"/>
    <w:rsid w:val="00767CC8"/>
    <w:rsid w:val="007F2959"/>
    <w:rsid w:val="00846033"/>
    <w:rsid w:val="008613DA"/>
    <w:rsid w:val="008665ED"/>
    <w:rsid w:val="0088340C"/>
    <w:rsid w:val="00883EAC"/>
    <w:rsid w:val="00886B57"/>
    <w:rsid w:val="008C07DA"/>
    <w:rsid w:val="008E4AA4"/>
    <w:rsid w:val="009028EE"/>
    <w:rsid w:val="00904277"/>
    <w:rsid w:val="00904FC7"/>
    <w:rsid w:val="009342F4"/>
    <w:rsid w:val="00971E67"/>
    <w:rsid w:val="009747B7"/>
    <w:rsid w:val="0098570C"/>
    <w:rsid w:val="009A581C"/>
    <w:rsid w:val="009F0F8A"/>
    <w:rsid w:val="00A04D04"/>
    <w:rsid w:val="00A0560C"/>
    <w:rsid w:val="00A4029C"/>
    <w:rsid w:val="00A6699A"/>
    <w:rsid w:val="00A803A7"/>
    <w:rsid w:val="00AD29A7"/>
    <w:rsid w:val="00AF61E3"/>
    <w:rsid w:val="00B13118"/>
    <w:rsid w:val="00B212DE"/>
    <w:rsid w:val="00B428F6"/>
    <w:rsid w:val="00B43603"/>
    <w:rsid w:val="00B47665"/>
    <w:rsid w:val="00B90D95"/>
    <w:rsid w:val="00BB40DD"/>
    <w:rsid w:val="00BC0D7F"/>
    <w:rsid w:val="00BC2504"/>
    <w:rsid w:val="00BE5956"/>
    <w:rsid w:val="00C15EEC"/>
    <w:rsid w:val="00C83DEF"/>
    <w:rsid w:val="00C92EFA"/>
    <w:rsid w:val="00C96A7F"/>
    <w:rsid w:val="00CB3A12"/>
    <w:rsid w:val="00CE3E8D"/>
    <w:rsid w:val="00D16B80"/>
    <w:rsid w:val="00D33771"/>
    <w:rsid w:val="00D42DF4"/>
    <w:rsid w:val="00D44B97"/>
    <w:rsid w:val="00D510BC"/>
    <w:rsid w:val="00D67570"/>
    <w:rsid w:val="00DC3DBA"/>
    <w:rsid w:val="00DC4E82"/>
    <w:rsid w:val="00DD3C55"/>
    <w:rsid w:val="00E027A6"/>
    <w:rsid w:val="00E55137"/>
    <w:rsid w:val="00E91721"/>
    <w:rsid w:val="00E960C7"/>
    <w:rsid w:val="00EB048C"/>
    <w:rsid w:val="00ED195A"/>
    <w:rsid w:val="00ED40DE"/>
    <w:rsid w:val="00F05881"/>
    <w:rsid w:val="00F2448D"/>
    <w:rsid w:val="00FB6357"/>
    <w:rsid w:val="00FD32DC"/>
    <w:rsid w:val="00FD7AD6"/>
    <w:rsid w:val="0103074A"/>
    <w:rsid w:val="0114097B"/>
    <w:rsid w:val="013746CE"/>
    <w:rsid w:val="013E1ECD"/>
    <w:rsid w:val="01404550"/>
    <w:rsid w:val="01506863"/>
    <w:rsid w:val="01847A3A"/>
    <w:rsid w:val="01F83EEB"/>
    <w:rsid w:val="020D7384"/>
    <w:rsid w:val="022B5D3F"/>
    <w:rsid w:val="02666842"/>
    <w:rsid w:val="02994018"/>
    <w:rsid w:val="02A77C2C"/>
    <w:rsid w:val="02C44E0D"/>
    <w:rsid w:val="02DA7735"/>
    <w:rsid w:val="02E37EEF"/>
    <w:rsid w:val="02F52C69"/>
    <w:rsid w:val="03150FD4"/>
    <w:rsid w:val="0327206F"/>
    <w:rsid w:val="03281042"/>
    <w:rsid w:val="035E3C63"/>
    <w:rsid w:val="03701517"/>
    <w:rsid w:val="03BA43CD"/>
    <w:rsid w:val="03C24F74"/>
    <w:rsid w:val="03CE2297"/>
    <w:rsid w:val="03DE24EC"/>
    <w:rsid w:val="04245B63"/>
    <w:rsid w:val="042969E4"/>
    <w:rsid w:val="042F05CF"/>
    <w:rsid w:val="043648BC"/>
    <w:rsid w:val="04504A61"/>
    <w:rsid w:val="04533B9A"/>
    <w:rsid w:val="04BE480C"/>
    <w:rsid w:val="04E53918"/>
    <w:rsid w:val="04FE27ED"/>
    <w:rsid w:val="051C2DCE"/>
    <w:rsid w:val="056B0574"/>
    <w:rsid w:val="056C39A0"/>
    <w:rsid w:val="057C4EC1"/>
    <w:rsid w:val="05993C77"/>
    <w:rsid w:val="059F5E18"/>
    <w:rsid w:val="05C0188D"/>
    <w:rsid w:val="06045E6A"/>
    <w:rsid w:val="06280B86"/>
    <w:rsid w:val="062C7488"/>
    <w:rsid w:val="062E2CC9"/>
    <w:rsid w:val="06623B65"/>
    <w:rsid w:val="066B7D65"/>
    <w:rsid w:val="06BC25DD"/>
    <w:rsid w:val="06C01064"/>
    <w:rsid w:val="06D90364"/>
    <w:rsid w:val="06E45A7E"/>
    <w:rsid w:val="06EC4763"/>
    <w:rsid w:val="07025260"/>
    <w:rsid w:val="071C5F5A"/>
    <w:rsid w:val="07483E5A"/>
    <w:rsid w:val="0789501A"/>
    <w:rsid w:val="07A428E8"/>
    <w:rsid w:val="07AB4D36"/>
    <w:rsid w:val="07B9680E"/>
    <w:rsid w:val="07D45528"/>
    <w:rsid w:val="07F3638F"/>
    <w:rsid w:val="08543921"/>
    <w:rsid w:val="088B39CE"/>
    <w:rsid w:val="088B3C6C"/>
    <w:rsid w:val="089A712A"/>
    <w:rsid w:val="08C6224B"/>
    <w:rsid w:val="08C82C3B"/>
    <w:rsid w:val="08D4744D"/>
    <w:rsid w:val="08DD2784"/>
    <w:rsid w:val="09197997"/>
    <w:rsid w:val="09245316"/>
    <w:rsid w:val="092F33CC"/>
    <w:rsid w:val="0971279B"/>
    <w:rsid w:val="09D869DB"/>
    <w:rsid w:val="0A02711D"/>
    <w:rsid w:val="0A073F5D"/>
    <w:rsid w:val="0A272FDF"/>
    <w:rsid w:val="0A2E0379"/>
    <w:rsid w:val="0A4B0FC0"/>
    <w:rsid w:val="0A505858"/>
    <w:rsid w:val="0A667291"/>
    <w:rsid w:val="0A6B0CB1"/>
    <w:rsid w:val="0A6D4FAF"/>
    <w:rsid w:val="0A873EDF"/>
    <w:rsid w:val="0A8F392A"/>
    <w:rsid w:val="0A926D98"/>
    <w:rsid w:val="0AC30B32"/>
    <w:rsid w:val="0B3411DD"/>
    <w:rsid w:val="0B481113"/>
    <w:rsid w:val="0B512349"/>
    <w:rsid w:val="0B5F2E9C"/>
    <w:rsid w:val="0B78301F"/>
    <w:rsid w:val="0B7A69B0"/>
    <w:rsid w:val="0B850B5E"/>
    <w:rsid w:val="0B975A61"/>
    <w:rsid w:val="0BAC1237"/>
    <w:rsid w:val="0BC6184A"/>
    <w:rsid w:val="0C005518"/>
    <w:rsid w:val="0C183BE5"/>
    <w:rsid w:val="0C2F707B"/>
    <w:rsid w:val="0C6E5D77"/>
    <w:rsid w:val="0C71053D"/>
    <w:rsid w:val="0D5C5A10"/>
    <w:rsid w:val="0D8D270C"/>
    <w:rsid w:val="0DB201DD"/>
    <w:rsid w:val="0DB3322E"/>
    <w:rsid w:val="0DCE4582"/>
    <w:rsid w:val="0DD20946"/>
    <w:rsid w:val="0DEB687E"/>
    <w:rsid w:val="0E0A3047"/>
    <w:rsid w:val="0E36797B"/>
    <w:rsid w:val="0E38725C"/>
    <w:rsid w:val="0E446211"/>
    <w:rsid w:val="0E4A7C81"/>
    <w:rsid w:val="0E543FBA"/>
    <w:rsid w:val="0E601E8E"/>
    <w:rsid w:val="0E9723E2"/>
    <w:rsid w:val="0EA21240"/>
    <w:rsid w:val="0EB012D3"/>
    <w:rsid w:val="0F4E6E17"/>
    <w:rsid w:val="0F560DBB"/>
    <w:rsid w:val="0F7E64FF"/>
    <w:rsid w:val="0F887633"/>
    <w:rsid w:val="0F8D2B68"/>
    <w:rsid w:val="0FAF27C3"/>
    <w:rsid w:val="0FB87F99"/>
    <w:rsid w:val="0FD01C02"/>
    <w:rsid w:val="0FD834D7"/>
    <w:rsid w:val="0FDA0B6E"/>
    <w:rsid w:val="0FF22069"/>
    <w:rsid w:val="10001BC8"/>
    <w:rsid w:val="1017650C"/>
    <w:rsid w:val="101930A9"/>
    <w:rsid w:val="101A3CEC"/>
    <w:rsid w:val="101F7FC7"/>
    <w:rsid w:val="104930F3"/>
    <w:rsid w:val="107A7F03"/>
    <w:rsid w:val="10A004A2"/>
    <w:rsid w:val="10B6096B"/>
    <w:rsid w:val="10D00C6D"/>
    <w:rsid w:val="10D93ED3"/>
    <w:rsid w:val="10E40C70"/>
    <w:rsid w:val="113751B1"/>
    <w:rsid w:val="114F7023"/>
    <w:rsid w:val="1180399C"/>
    <w:rsid w:val="1188546B"/>
    <w:rsid w:val="119D3CC2"/>
    <w:rsid w:val="11AA060E"/>
    <w:rsid w:val="11C91272"/>
    <w:rsid w:val="11EB5F12"/>
    <w:rsid w:val="120376CB"/>
    <w:rsid w:val="121730FB"/>
    <w:rsid w:val="123C3460"/>
    <w:rsid w:val="12822410"/>
    <w:rsid w:val="128C662F"/>
    <w:rsid w:val="12B806D7"/>
    <w:rsid w:val="12BC7E0B"/>
    <w:rsid w:val="12D90BB6"/>
    <w:rsid w:val="12FF42AC"/>
    <w:rsid w:val="135118D9"/>
    <w:rsid w:val="135B672E"/>
    <w:rsid w:val="135F3871"/>
    <w:rsid w:val="136B066B"/>
    <w:rsid w:val="13724E71"/>
    <w:rsid w:val="138B3DCD"/>
    <w:rsid w:val="13901C58"/>
    <w:rsid w:val="139B3B86"/>
    <w:rsid w:val="13C05C32"/>
    <w:rsid w:val="13D95EDE"/>
    <w:rsid w:val="13E72267"/>
    <w:rsid w:val="13E910A8"/>
    <w:rsid w:val="140633C5"/>
    <w:rsid w:val="14082C5B"/>
    <w:rsid w:val="143978AB"/>
    <w:rsid w:val="1448140E"/>
    <w:rsid w:val="145B09A9"/>
    <w:rsid w:val="14964296"/>
    <w:rsid w:val="1498765A"/>
    <w:rsid w:val="150909CE"/>
    <w:rsid w:val="15A563D8"/>
    <w:rsid w:val="15B26FB7"/>
    <w:rsid w:val="15B37216"/>
    <w:rsid w:val="15B71A2A"/>
    <w:rsid w:val="15BE0431"/>
    <w:rsid w:val="16292ACA"/>
    <w:rsid w:val="16585B7F"/>
    <w:rsid w:val="16784C0A"/>
    <w:rsid w:val="16815E26"/>
    <w:rsid w:val="169C03F4"/>
    <w:rsid w:val="16EB5CEF"/>
    <w:rsid w:val="16FD4806"/>
    <w:rsid w:val="1709247F"/>
    <w:rsid w:val="17153416"/>
    <w:rsid w:val="17241295"/>
    <w:rsid w:val="172504ED"/>
    <w:rsid w:val="17BE4FA5"/>
    <w:rsid w:val="17E5385B"/>
    <w:rsid w:val="181111FF"/>
    <w:rsid w:val="18335DAA"/>
    <w:rsid w:val="18521F6E"/>
    <w:rsid w:val="18730E36"/>
    <w:rsid w:val="189D1E8E"/>
    <w:rsid w:val="189E1CCE"/>
    <w:rsid w:val="18A26CFC"/>
    <w:rsid w:val="18B97C06"/>
    <w:rsid w:val="18CD6371"/>
    <w:rsid w:val="18FF319F"/>
    <w:rsid w:val="1900686A"/>
    <w:rsid w:val="19283310"/>
    <w:rsid w:val="19502F76"/>
    <w:rsid w:val="1963406E"/>
    <w:rsid w:val="19637DD9"/>
    <w:rsid w:val="19710A11"/>
    <w:rsid w:val="198D1627"/>
    <w:rsid w:val="198D63FF"/>
    <w:rsid w:val="19904B60"/>
    <w:rsid w:val="19BC519F"/>
    <w:rsid w:val="19DE345D"/>
    <w:rsid w:val="19F248FD"/>
    <w:rsid w:val="19FB53DC"/>
    <w:rsid w:val="1A076B06"/>
    <w:rsid w:val="1A2578F4"/>
    <w:rsid w:val="1A3657A6"/>
    <w:rsid w:val="1A3B7780"/>
    <w:rsid w:val="1A5C1262"/>
    <w:rsid w:val="1A70688D"/>
    <w:rsid w:val="1A8975DA"/>
    <w:rsid w:val="1A9C6CA3"/>
    <w:rsid w:val="1AC43B92"/>
    <w:rsid w:val="1AD51BFD"/>
    <w:rsid w:val="1AFA5A18"/>
    <w:rsid w:val="1B043BA1"/>
    <w:rsid w:val="1B443F26"/>
    <w:rsid w:val="1B5B3C11"/>
    <w:rsid w:val="1B5D016C"/>
    <w:rsid w:val="1B6034CD"/>
    <w:rsid w:val="1B634D96"/>
    <w:rsid w:val="1B844476"/>
    <w:rsid w:val="1B9E1C86"/>
    <w:rsid w:val="1BAA1FE2"/>
    <w:rsid w:val="1BDC307F"/>
    <w:rsid w:val="1C06036D"/>
    <w:rsid w:val="1C1E36F6"/>
    <w:rsid w:val="1C2C1334"/>
    <w:rsid w:val="1C3208C6"/>
    <w:rsid w:val="1C7C448C"/>
    <w:rsid w:val="1C814FA5"/>
    <w:rsid w:val="1CA325E7"/>
    <w:rsid w:val="1CBE4796"/>
    <w:rsid w:val="1CE40949"/>
    <w:rsid w:val="1CF24B7C"/>
    <w:rsid w:val="1CF76A4C"/>
    <w:rsid w:val="1D192E0F"/>
    <w:rsid w:val="1D2816CE"/>
    <w:rsid w:val="1D466A5B"/>
    <w:rsid w:val="1D4773C4"/>
    <w:rsid w:val="1D4E0DD6"/>
    <w:rsid w:val="1D9762F1"/>
    <w:rsid w:val="1D9C7A04"/>
    <w:rsid w:val="1D9F477F"/>
    <w:rsid w:val="1DDE045A"/>
    <w:rsid w:val="1E01321C"/>
    <w:rsid w:val="1E411B7C"/>
    <w:rsid w:val="1E6F4D12"/>
    <w:rsid w:val="1EC503BB"/>
    <w:rsid w:val="1EC91A7B"/>
    <w:rsid w:val="1EE03169"/>
    <w:rsid w:val="1F311CF0"/>
    <w:rsid w:val="1F47029A"/>
    <w:rsid w:val="1F51019B"/>
    <w:rsid w:val="1F6A07DD"/>
    <w:rsid w:val="1F6D1F47"/>
    <w:rsid w:val="1F920630"/>
    <w:rsid w:val="1F9736CC"/>
    <w:rsid w:val="20042B04"/>
    <w:rsid w:val="20063105"/>
    <w:rsid w:val="201459D1"/>
    <w:rsid w:val="20152464"/>
    <w:rsid w:val="20286CDF"/>
    <w:rsid w:val="2042197A"/>
    <w:rsid w:val="20460C1C"/>
    <w:rsid w:val="20934B65"/>
    <w:rsid w:val="20AB115F"/>
    <w:rsid w:val="20AE4CE3"/>
    <w:rsid w:val="20D37D73"/>
    <w:rsid w:val="20F45485"/>
    <w:rsid w:val="20FF1D59"/>
    <w:rsid w:val="212728B1"/>
    <w:rsid w:val="21704186"/>
    <w:rsid w:val="21831BC5"/>
    <w:rsid w:val="21910B9A"/>
    <w:rsid w:val="219D782A"/>
    <w:rsid w:val="219E7CF0"/>
    <w:rsid w:val="21AF79F4"/>
    <w:rsid w:val="21DA0156"/>
    <w:rsid w:val="21DD4A19"/>
    <w:rsid w:val="22007FFE"/>
    <w:rsid w:val="220D13F8"/>
    <w:rsid w:val="22312DAF"/>
    <w:rsid w:val="22654A56"/>
    <w:rsid w:val="22821EEB"/>
    <w:rsid w:val="228C0702"/>
    <w:rsid w:val="22AD3BA5"/>
    <w:rsid w:val="22AE395D"/>
    <w:rsid w:val="22C54AFE"/>
    <w:rsid w:val="22CB78EA"/>
    <w:rsid w:val="22DE7EAF"/>
    <w:rsid w:val="23007800"/>
    <w:rsid w:val="23373E41"/>
    <w:rsid w:val="233816E3"/>
    <w:rsid w:val="23516232"/>
    <w:rsid w:val="2376485C"/>
    <w:rsid w:val="238A174E"/>
    <w:rsid w:val="239263F5"/>
    <w:rsid w:val="23D02A02"/>
    <w:rsid w:val="23E34C9B"/>
    <w:rsid w:val="23F60F37"/>
    <w:rsid w:val="24084702"/>
    <w:rsid w:val="240C6686"/>
    <w:rsid w:val="241210B0"/>
    <w:rsid w:val="24152125"/>
    <w:rsid w:val="24196944"/>
    <w:rsid w:val="248601CC"/>
    <w:rsid w:val="2489201B"/>
    <w:rsid w:val="249500F2"/>
    <w:rsid w:val="24D15A61"/>
    <w:rsid w:val="24D84C84"/>
    <w:rsid w:val="24DD1AB9"/>
    <w:rsid w:val="250F6FF8"/>
    <w:rsid w:val="252F2EC4"/>
    <w:rsid w:val="253F4C66"/>
    <w:rsid w:val="25484F72"/>
    <w:rsid w:val="254E53B7"/>
    <w:rsid w:val="25A742F6"/>
    <w:rsid w:val="25AE43F2"/>
    <w:rsid w:val="25AF5812"/>
    <w:rsid w:val="25BC3290"/>
    <w:rsid w:val="25C21D94"/>
    <w:rsid w:val="25D57D93"/>
    <w:rsid w:val="26165363"/>
    <w:rsid w:val="263536C0"/>
    <w:rsid w:val="263E1092"/>
    <w:rsid w:val="26593C5A"/>
    <w:rsid w:val="269C55E1"/>
    <w:rsid w:val="26BC111E"/>
    <w:rsid w:val="26D954E3"/>
    <w:rsid w:val="26FB5D1E"/>
    <w:rsid w:val="26FD52FA"/>
    <w:rsid w:val="271F2B64"/>
    <w:rsid w:val="27283EE8"/>
    <w:rsid w:val="27366356"/>
    <w:rsid w:val="27691402"/>
    <w:rsid w:val="276E4B8E"/>
    <w:rsid w:val="27A50A15"/>
    <w:rsid w:val="27E66E07"/>
    <w:rsid w:val="28162F2B"/>
    <w:rsid w:val="28393ED9"/>
    <w:rsid w:val="28502666"/>
    <w:rsid w:val="285A74F6"/>
    <w:rsid w:val="28641F54"/>
    <w:rsid w:val="28780FD7"/>
    <w:rsid w:val="289B3D96"/>
    <w:rsid w:val="28A864C2"/>
    <w:rsid w:val="28E97D07"/>
    <w:rsid w:val="28ED65CE"/>
    <w:rsid w:val="29012E79"/>
    <w:rsid w:val="295421C1"/>
    <w:rsid w:val="295A1C59"/>
    <w:rsid w:val="298203A2"/>
    <w:rsid w:val="29956005"/>
    <w:rsid w:val="29AF363F"/>
    <w:rsid w:val="29B47C39"/>
    <w:rsid w:val="29FA44C2"/>
    <w:rsid w:val="2A043042"/>
    <w:rsid w:val="2A0F4ED7"/>
    <w:rsid w:val="2A510AFC"/>
    <w:rsid w:val="2A931AE2"/>
    <w:rsid w:val="2A954EDF"/>
    <w:rsid w:val="2AB61A86"/>
    <w:rsid w:val="2ABD0DB7"/>
    <w:rsid w:val="2AC23C20"/>
    <w:rsid w:val="2ADA06AD"/>
    <w:rsid w:val="2B263A31"/>
    <w:rsid w:val="2B586603"/>
    <w:rsid w:val="2B622C69"/>
    <w:rsid w:val="2B6A00DB"/>
    <w:rsid w:val="2B6F4213"/>
    <w:rsid w:val="2B9A4A1E"/>
    <w:rsid w:val="2BB62C95"/>
    <w:rsid w:val="2C19369E"/>
    <w:rsid w:val="2C7966AB"/>
    <w:rsid w:val="2C824482"/>
    <w:rsid w:val="2CB517BC"/>
    <w:rsid w:val="2CC3541A"/>
    <w:rsid w:val="2CD32726"/>
    <w:rsid w:val="2CE675AA"/>
    <w:rsid w:val="2CF64091"/>
    <w:rsid w:val="2D49541A"/>
    <w:rsid w:val="2D5A08BF"/>
    <w:rsid w:val="2D710CFE"/>
    <w:rsid w:val="2D8C3A58"/>
    <w:rsid w:val="2D9120C2"/>
    <w:rsid w:val="2D9C3D21"/>
    <w:rsid w:val="2DB514BA"/>
    <w:rsid w:val="2DCA18B0"/>
    <w:rsid w:val="2DCE1D6A"/>
    <w:rsid w:val="2E0776A8"/>
    <w:rsid w:val="2E1A1A77"/>
    <w:rsid w:val="2E2649BD"/>
    <w:rsid w:val="2E2A72B2"/>
    <w:rsid w:val="2E3208E0"/>
    <w:rsid w:val="2E323A34"/>
    <w:rsid w:val="2E336630"/>
    <w:rsid w:val="2E455A8A"/>
    <w:rsid w:val="2E463EA4"/>
    <w:rsid w:val="2E4F1C21"/>
    <w:rsid w:val="2E8F00DA"/>
    <w:rsid w:val="2EAD11B6"/>
    <w:rsid w:val="2EE27DB8"/>
    <w:rsid w:val="2EF2002C"/>
    <w:rsid w:val="2F1765EA"/>
    <w:rsid w:val="2F425A32"/>
    <w:rsid w:val="2F4873FC"/>
    <w:rsid w:val="2F5412B9"/>
    <w:rsid w:val="2F7C761E"/>
    <w:rsid w:val="2FB26D0D"/>
    <w:rsid w:val="303072FB"/>
    <w:rsid w:val="30497F0A"/>
    <w:rsid w:val="30551BDC"/>
    <w:rsid w:val="305A495C"/>
    <w:rsid w:val="30760BF9"/>
    <w:rsid w:val="30787E5E"/>
    <w:rsid w:val="30C65164"/>
    <w:rsid w:val="30D30EAF"/>
    <w:rsid w:val="30D4722B"/>
    <w:rsid w:val="30ED53AB"/>
    <w:rsid w:val="30F235D8"/>
    <w:rsid w:val="30F432D0"/>
    <w:rsid w:val="31163B78"/>
    <w:rsid w:val="311E6E6B"/>
    <w:rsid w:val="31300D7A"/>
    <w:rsid w:val="316B3512"/>
    <w:rsid w:val="31937F23"/>
    <w:rsid w:val="31BD36C0"/>
    <w:rsid w:val="31C64B66"/>
    <w:rsid w:val="31D11DB0"/>
    <w:rsid w:val="320D6305"/>
    <w:rsid w:val="32383570"/>
    <w:rsid w:val="323C5DD3"/>
    <w:rsid w:val="32413514"/>
    <w:rsid w:val="32504F6C"/>
    <w:rsid w:val="326E2140"/>
    <w:rsid w:val="3294428A"/>
    <w:rsid w:val="32944672"/>
    <w:rsid w:val="32C00A35"/>
    <w:rsid w:val="32CF64F9"/>
    <w:rsid w:val="32D32CBD"/>
    <w:rsid w:val="32DD29BD"/>
    <w:rsid w:val="32F374F9"/>
    <w:rsid w:val="32F716D9"/>
    <w:rsid w:val="33230CC0"/>
    <w:rsid w:val="3327002A"/>
    <w:rsid w:val="332E5BDE"/>
    <w:rsid w:val="333A325F"/>
    <w:rsid w:val="334E53C6"/>
    <w:rsid w:val="33941B0E"/>
    <w:rsid w:val="33A47B36"/>
    <w:rsid w:val="33C63D1D"/>
    <w:rsid w:val="33CB1BD4"/>
    <w:rsid w:val="33F434AB"/>
    <w:rsid w:val="340D525E"/>
    <w:rsid w:val="3414474F"/>
    <w:rsid w:val="347F6074"/>
    <w:rsid w:val="34A35D81"/>
    <w:rsid w:val="34A51AF9"/>
    <w:rsid w:val="34BF705E"/>
    <w:rsid w:val="34D1244C"/>
    <w:rsid w:val="34F87DE7"/>
    <w:rsid w:val="35095155"/>
    <w:rsid w:val="353619E2"/>
    <w:rsid w:val="354066EA"/>
    <w:rsid w:val="355B1E07"/>
    <w:rsid w:val="35904AD2"/>
    <w:rsid w:val="35AD3CF6"/>
    <w:rsid w:val="35B60360"/>
    <w:rsid w:val="35DD75FE"/>
    <w:rsid w:val="360B5614"/>
    <w:rsid w:val="360E2D9E"/>
    <w:rsid w:val="362C4E60"/>
    <w:rsid w:val="365E4BF1"/>
    <w:rsid w:val="36F84C02"/>
    <w:rsid w:val="370B3FDA"/>
    <w:rsid w:val="37406E73"/>
    <w:rsid w:val="374218AD"/>
    <w:rsid w:val="37585622"/>
    <w:rsid w:val="37682795"/>
    <w:rsid w:val="378E0F6A"/>
    <w:rsid w:val="37905B66"/>
    <w:rsid w:val="379E366C"/>
    <w:rsid w:val="37CE0584"/>
    <w:rsid w:val="37E93DB7"/>
    <w:rsid w:val="37F825E8"/>
    <w:rsid w:val="382F1EEC"/>
    <w:rsid w:val="383265E9"/>
    <w:rsid w:val="39152BB7"/>
    <w:rsid w:val="39274813"/>
    <w:rsid w:val="393F131F"/>
    <w:rsid w:val="3971644D"/>
    <w:rsid w:val="397723E9"/>
    <w:rsid w:val="39C82154"/>
    <w:rsid w:val="39D94C4A"/>
    <w:rsid w:val="39E518BB"/>
    <w:rsid w:val="39F07654"/>
    <w:rsid w:val="39F51222"/>
    <w:rsid w:val="3A2170C9"/>
    <w:rsid w:val="3A632D04"/>
    <w:rsid w:val="3A691273"/>
    <w:rsid w:val="3A812B4B"/>
    <w:rsid w:val="3ACE2C35"/>
    <w:rsid w:val="3B4C67C0"/>
    <w:rsid w:val="3B8C79A2"/>
    <w:rsid w:val="3BBC3B9A"/>
    <w:rsid w:val="3BCC62FC"/>
    <w:rsid w:val="3BE507E6"/>
    <w:rsid w:val="3C002C9D"/>
    <w:rsid w:val="3C616ABF"/>
    <w:rsid w:val="3C636188"/>
    <w:rsid w:val="3C85510D"/>
    <w:rsid w:val="3CC72DC1"/>
    <w:rsid w:val="3CE2407E"/>
    <w:rsid w:val="3CFD1D34"/>
    <w:rsid w:val="3D502C9F"/>
    <w:rsid w:val="3D631073"/>
    <w:rsid w:val="3D80028A"/>
    <w:rsid w:val="3D980C0E"/>
    <w:rsid w:val="3DC763D5"/>
    <w:rsid w:val="3DCD6C0E"/>
    <w:rsid w:val="3DEF6F0D"/>
    <w:rsid w:val="3E09134A"/>
    <w:rsid w:val="3E0951AA"/>
    <w:rsid w:val="3E142BF7"/>
    <w:rsid w:val="3E145497"/>
    <w:rsid w:val="3E2D3465"/>
    <w:rsid w:val="3E42466D"/>
    <w:rsid w:val="3E487B6D"/>
    <w:rsid w:val="3E59440D"/>
    <w:rsid w:val="3E5B68B0"/>
    <w:rsid w:val="3E604E41"/>
    <w:rsid w:val="3E8E5493"/>
    <w:rsid w:val="3EA0759E"/>
    <w:rsid w:val="3EB201B0"/>
    <w:rsid w:val="3EBD6B20"/>
    <w:rsid w:val="3EE64F4E"/>
    <w:rsid w:val="3F0A6246"/>
    <w:rsid w:val="3F276EAC"/>
    <w:rsid w:val="3F4168C2"/>
    <w:rsid w:val="3F8D5BDC"/>
    <w:rsid w:val="3F950426"/>
    <w:rsid w:val="3F9E54A6"/>
    <w:rsid w:val="3FA2091E"/>
    <w:rsid w:val="3FAB40CE"/>
    <w:rsid w:val="3FE86811"/>
    <w:rsid w:val="3FEA7156"/>
    <w:rsid w:val="3FF219DE"/>
    <w:rsid w:val="3FFB5269"/>
    <w:rsid w:val="401B13DE"/>
    <w:rsid w:val="401F7B00"/>
    <w:rsid w:val="40493B57"/>
    <w:rsid w:val="40505875"/>
    <w:rsid w:val="408001B1"/>
    <w:rsid w:val="40A10344"/>
    <w:rsid w:val="40AF096C"/>
    <w:rsid w:val="40C651F9"/>
    <w:rsid w:val="4110635A"/>
    <w:rsid w:val="4170263A"/>
    <w:rsid w:val="418E5044"/>
    <w:rsid w:val="41A66183"/>
    <w:rsid w:val="41B625A6"/>
    <w:rsid w:val="41C07F72"/>
    <w:rsid w:val="41DE0B71"/>
    <w:rsid w:val="41E20AC3"/>
    <w:rsid w:val="42095087"/>
    <w:rsid w:val="420A6230"/>
    <w:rsid w:val="420D5CEA"/>
    <w:rsid w:val="421860ED"/>
    <w:rsid w:val="42235475"/>
    <w:rsid w:val="42261584"/>
    <w:rsid w:val="42365A6C"/>
    <w:rsid w:val="4236664B"/>
    <w:rsid w:val="423A5031"/>
    <w:rsid w:val="42813CBA"/>
    <w:rsid w:val="429A2063"/>
    <w:rsid w:val="42AD6AF4"/>
    <w:rsid w:val="42B346D7"/>
    <w:rsid w:val="42C65F1E"/>
    <w:rsid w:val="42C95F28"/>
    <w:rsid w:val="4315253F"/>
    <w:rsid w:val="43275E3C"/>
    <w:rsid w:val="4332530B"/>
    <w:rsid w:val="43387613"/>
    <w:rsid w:val="43401B73"/>
    <w:rsid w:val="4347239D"/>
    <w:rsid w:val="435F0420"/>
    <w:rsid w:val="43645ACF"/>
    <w:rsid w:val="43B3195E"/>
    <w:rsid w:val="43C743B1"/>
    <w:rsid w:val="43CD54FA"/>
    <w:rsid w:val="43ED3E0E"/>
    <w:rsid w:val="43F478C3"/>
    <w:rsid w:val="43F967E3"/>
    <w:rsid w:val="44192119"/>
    <w:rsid w:val="44192E5D"/>
    <w:rsid w:val="441D4DC7"/>
    <w:rsid w:val="443B7CA5"/>
    <w:rsid w:val="4443601E"/>
    <w:rsid w:val="444B1989"/>
    <w:rsid w:val="447B4A1F"/>
    <w:rsid w:val="449D4258"/>
    <w:rsid w:val="449D6155"/>
    <w:rsid w:val="44C41AEB"/>
    <w:rsid w:val="44D50A25"/>
    <w:rsid w:val="44DA4989"/>
    <w:rsid w:val="44E9255A"/>
    <w:rsid w:val="44FB4CF0"/>
    <w:rsid w:val="44FF03B9"/>
    <w:rsid w:val="455273CF"/>
    <w:rsid w:val="45B03AA9"/>
    <w:rsid w:val="45E72D06"/>
    <w:rsid w:val="46086D25"/>
    <w:rsid w:val="462806F8"/>
    <w:rsid w:val="464E1E88"/>
    <w:rsid w:val="46766ACF"/>
    <w:rsid w:val="46B81B60"/>
    <w:rsid w:val="46FE635E"/>
    <w:rsid w:val="4708566F"/>
    <w:rsid w:val="470E2103"/>
    <w:rsid w:val="471109CC"/>
    <w:rsid w:val="47126B32"/>
    <w:rsid w:val="47465E0B"/>
    <w:rsid w:val="475B0560"/>
    <w:rsid w:val="475E745B"/>
    <w:rsid w:val="476357B1"/>
    <w:rsid w:val="478810EE"/>
    <w:rsid w:val="478C184C"/>
    <w:rsid w:val="47A63DBD"/>
    <w:rsid w:val="47AB1101"/>
    <w:rsid w:val="47AF53EE"/>
    <w:rsid w:val="47B16145"/>
    <w:rsid w:val="47B46640"/>
    <w:rsid w:val="47B93EB4"/>
    <w:rsid w:val="47BA22D6"/>
    <w:rsid w:val="47D3175B"/>
    <w:rsid w:val="47DB6840"/>
    <w:rsid w:val="47F20463"/>
    <w:rsid w:val="48176DA9"/>
    <w:rsid w:val="482E5318"/>
    <w:rsid w:val="482F70F8"/>
    <w:rsid w:val="48A07CFB"/>
    <w:rsid w:val="48A14048"/>
    <w:rsid w:val="48C57CCB"/>
    <w:rsid w:val="48E50ECB"/>
    <w:rsid w:val="48E6464F"/>
    <w:rsid w:val="497F1B31"/>
    <w:rsid w:val="499D1927"/>
    <w:rsid w:val="49C10879"/>
    <w:rsid w:val="49D12BFE"/>
    <w:rsid w:val="4A4022DF"/>
    <w:rsid w:val="4A437992"/>
    <w:rsid w:val="4A4F4B9D"/>
    <w:rsid w:val="4A6A1539"/>
    <w:rsid w:val="4A6F04F6"/>
    <w:rsid w:val="4A6F3A65"/>
    <w:rsid w:val="4A9106FD"/>
    <w:rsid w:val="4A9A255C"/>
    <w:rsid w:val="4A9A79AA"/>
    <w:rsid w:val="4A9B34CF"/>
    <w:rsid w:val="4AA44330"/>
    <w:rsid w:val="4B211975"/>
    <w:rsid w:val="4B385B00"/>
    <w:rsid w:val="4B607B15"/>
    <w:rsid w:val="4B990B89"/>
    <w:rsid w:val="4BA31633"/>
    <w:rsid w:val="4BA86B51"/>
    <w:rsid w:val="4BB405DB"/>
    <w:rsid w:val="4BBA322A"/>
    <w:rsid w:val="4BCD0D0D"/>
    <w:rsid w:val="4BE4465B"/>
    <w:rsid w:val="4BEC563A"/>
    <w:rsid w:val="4C0118B3"/>
    <w:rsid w:val="4C136561"/>
    <w:rsid w:val="4C5146F5"/>
    <w:rsid w:val="4C5C2F95"/>
    <w:rsid w:val="4C675264"/>
    <w:rsid w:val="4C8F3137"/>
    <w:rsid w:val="4CD30C03"/>
    <w:rsid w:val="4CF61224"/>
    <w:rsid w:val="4D0A3A36"/>
    <w:rsid w:val="4D321651"/>
    <w:rsid w:val="4D82777B"/>
    <w:rsid w:val="4DC47A07"/>
    <w:rsid w:val="4DEE4EFB"/>
    <w:rsid w:val="4DFF72DF"/>
    <w:rsid w:val="4E121E0E"/>
    <w:rsid w:val="4E64516E"/>
    <w:rsid w:val="4EDD66FF"/>
    <w:rsid w:val="4EED747C"/>
    <w:rsid w:val="4F22572E"/>
    <w:rsid w:val="4F2B2CDB"/>
    <w:rsid w:val="4F632986"/>
    <w:rsid w:val="4F845E14"/>
    <w:rsid w:val="4F901FF7"/>
    <w:rsid w:val="4FB27639"/>
    <w:rsid w:val="4FBB0D9A"/>
    <w:rsid w:val="4FCD7EE9"/>
    <w:rsid w:val="4FDE2637"/>
    <w:rsid w:val="4FE50E4F"/>
    <w:rsid w:val="50052CF9"/>
    <w:rsid w:val="508555C4"/>
    <w:rsid w:val="50AE14A4"/>
    <w:rsid w:val="50CE33F7"/>
    <w:rsid w:val="50FC6D90"/>
    <w:rsid w:val="513E435D"/>
    <w:rsid w:val="516B02FF"/>
    <w:rsid w:val="517A5CA9"/>
    <w:rsid w:val="51C275B7"/>
    <w:rsid w:val="51CB2B54"/>
    <w:rsid w:val="51E46AB7"/>
    <w:rsid w:val="52200880"/>
    <w:rsid w:val="522C0644"/>
    <w:rsid w:val="523039BE"/>
    <w:rsid w:val="52457C23"/>
    <w:rsid w:val="5273589C"/>
    <w:rsid w:val="529206F3"/>
    <w:rsid w:val="52933AB4"/>
    <w:rsid w:val="529765F0"/>
    <w:rsid w:val="52AE13FB"/>
    <w:rsid w:val="52C6507B"/>
    <w:rsid w:val="52CA2047"/>
    <w:rsid w:val="52FA2DCE"/>
    <w:rsid w:val="53725057"/>
    <w:rsid w:val="537C225A"/>
    <w:rsid w:val="53897448"/>
    <w:rsid w:val="538D4B18"/>
    <w:rsid w:val="5391494D"/>
    <w:rsid w:val="539A1C24"/>
    <w:rsid w:val="53B42D0B"/>
    <w:rsid w:val="540224FD"/>
    <w:rsid w:val="5404799B"/>
    <w:rsid w:val="542B7E2E"/>
    <w:rsid w:val="54682110"/>
    <w:rsid w:val="54781D45"/>
    <w:rsid w:val="54B26D3A"/>
    <w:rsid w:val="54D02B78"/>
    <w:rsid w:val="54F860DD"/>
    <w:rsid w:val="54F91E4C"/>
    <w:rsid w:val="550D0C1E"/>
    <w:rsid w:val="550F0788"/>
    <w:rsid w:val="557342A0"/>
    <w:rsid w:val="55880229"/>
    <w:rsid w:val="55BC7795"/>
    <w:rsid w:val="55BF7AFB"/>
    <w:rsid w:val="55DB6DCA"/>
    <w:rsid w:val="55E80499"/>
    <w:rsid w:val="55F21419"/>
    <w:rsid w:val="561E0BE9"/>
    <w:rsid w:val="564623D8"/>
    <w:rsid w:val="56A937C1"/>
    <w:rsid w:val="56AF0889"/>
    <w:rsid w:val="56B33DA1"/>
    <w:rsid w:val="56C45262"/>
    <w:rsid w:val="56C81B91"/>
    <w:rsid w:val="56DF2050"/>
    <w:rsid w:val="56E10C5F"/>
    <w:rsid w:val="571306FC"/>
    <w:rsid w:val="571A14CD"/>
    <w:rsid w:val="574334C1"/>
    <w:rsid w:val="57511BA9"/>
    <w:rsid w:val="577A0A9E"/>
    <w:rsid w:val="57B037F5"/>
    <w:rsid w:val="57D93418"/>
    <w:rsid w:val="57F27C94"/>
    <w:rsid w:val="57FF1A21"/>
    <w:rsid w:val="5839560E"/>
    <w:rsid w:val="5858070D"/>
    <w:rsid w:val="587B7951"/>
    <w:rsid w:val="589E685D"/>
    <w:rsid w:val="58B24704"/>
    <w:rsid w:val="58C726DF"/>
    <w:rsid w:val="58CB7523"/>
    <w:rsid w:val="58DE1A25"/>
    <w:rsid w:val="58E27EA9"/>
    <w:rsid w:val="58EC0553"/>
    <w:rsid w:val="591624B0"/>
    <w:rsid w:val="59176B8D"/>
    <w:rsid w:val="59753581"/>
    <w:rsid w:val="598A6D39"/>
    <w:rsid w:val="599C6D30"/>
    <w:rsid w:val="59A1749D"/>
    <w:rsid w:val="59D37868"/>
    <w:rsid w:val="59DA6DD8"/>
    <w:rsid w:val="59DF3142"/>
    <w:rsid w:val="5A063E3B"/>
    <w:rsid w:val="5A0852AB"/>
    <w:rsid w:val="5A317807"/>
    <w:rsid w:val="5A333DD1"/>
    <w:rsid w:val="5A5A2A7B"/>
    <w:rsid w:val="5A9177AC"/>
    <w:rsid w:val="5AAA76B3"/>
    <w:rsid w:val="5ADF5DEA"/>
    <w:rsid w:val="5AEF47D3"/>
    <w:rsid w:val="5AF32E31"/>
    <w:rsid w:val="5AF96519"/>
    <w:rsid w:val="5B04629F"/>
    <w:rsid w:val="5B3D2B29"/>
    <w:rsid w:val="5B4352C7"/>
    <w:rsid w:val="5B49720C"/>
    <w:rsid w:val="5B6778EE"/>
    <w:rsid w:val="5B683257"/>
    <w:rsid w:val="5B830888"/>
    <w:rsid w:val="5B8C3C0B"/>
    <w:rsid w:val="5BA00785"/>
    <w:rsid w:val="5BAE03AE"/>
    <w:rsid w:val="5BC6006B"/>
    <w:rsid w:val="5BCB42CF"/>
    <w:rsid w:val="5C010BD5"/>
    <w:rsid w:val="5C103962"/>
    <w:rsid w:val="5C1A7F29"/>
    <w:rsid w:val="5C20276C"/>
    <w:rsid w:val="5C3F6799"/>
    <w:rsid w:val="5C50487C"/>
    <w:rsid w:val="5C554F51"/>
    <w:rsid w:val="5CC663F6"/>
    <w:rsid w:val="5CFA1EEA"/>
    <w:rsid w:val="5D2A7A87"/>
    <w:rsid w:val="5D4F0ABF"/>
    <w:rsid w:val="5D67069D"/>
    <w:rsid w:val="5D804FA6"/>
    <w:rsid w:val="5D846185"/>
    <w:rsid w:val="5DB674CE"/>
    <w:rsid w:val="5DB82C3B"/>
    <w:rsid w:val="5DB8312C"/>
    <w:rsid w:val="5DC30394"/>
    <w:rsid w:val="5DD27B26"/>
    <w:rsid w:val="5DD3687F"/>
    <w:rsid w:val="5DEB3BD2"/>
    <w:rsid w:val="5E070400"/>
    <w:rsid w:val="5E1E54C7"/>
    <w:rsid w:val="5E241775"/>
    <w:rsid w:val="5E3E3798"/>
    <w:rsid w:val="5E3F6C82"/>
    <w:rsid w:val="5E455FA4"/>
    <w:rsid w:val="5E652175"/>
    <w:rsid w:val="5E7240AF"/>
    <w:rsid w:val="5E905A0A"/>
    <w:rsid w:val="5EDB44AB"/>
    <w:rsid w:val="5EF35F1A"/>
    <w:rsid w:val="5EFC2DD3"/>
    <w:rsid w:val="5EFF174F"/>
    <w:rsid w:val="5F041C07"/>
    <w:rsid w:val="5F354EAD"/>
    <w:rsid w:val="5F357BA1"/>
    <w:rsid w:val="5FB936DC"/>
    <w:rsid w:val="5FED1E6A"/>
    <w:rsid w:val="60216605"/>
    <w:rsid w:val="6049057E"/>
    <w:rsid w:val="605A39E4"/>
    <w:rsid w:val="60615524"/>
    <w:rsid w:val="6065103E"/>
    <w:rsid w:val="60DB66B7"/>
    <w:rsid w:val="610934B6"/>
    <w:rsid w:val="611C2031"/>
    <w:rsid w:val="614865AB"/>
    <w:rsid w:val="61554551"/>
    <w:rsid w:val="61671025"/>
    <w:rsid w:val="618836D2"/>
    <w:rsid w:val="61922AA1"/>
    <w:rsid w:val="619267F9"/>
    <w:rsid w:val="61E93F4F"/>
    <w:rsid w:val="61EF4CA5"/>
    <w:rsid w:val="622C08F3"/>
    <w:rsid w:val="624B78DB"/>
    <w:rsid w:val="6255288F"/>
    <w:rsid w:val="6290082D"/>
    <w:rsid w:val="62B131E3"/>
    <w:rsid w:val="62BB2DDD"/>
    <w:rsid w:val="62D12648"/>
    <w:rsid w:val="62DB6A83"/>
    <w:rsid w:val="63090BA9"/>
    <w:rsid w:val="63133690"/>
    <w:rsid w:val="63751296"/>
    <w:rsid w:val="63883C3C"/>
    <w:rsid w:val="638D633E"/>
    <w:rsid w:val="639D2F4D"/>
    <w:rsid w:val="63A016A0"/>
    <w:rsid w:val="63C1090C"/>
    <w:rsid w:val="63CC1E04"/>
    <w:rsid w:val="63ED17DB"/>
    <w:rsid w:val="640A12A1"/>
    <w:rsid w:val="643117AE"/>
    <w:rsid w:val="644D0C2A"/>
    <w:rsid w:val="64A308ED"/>
    <w:rsid w:val="64B201DD"/>
    <w:rsid w:val="64E32D2E"/>
    <w:rsid w:val="65035CCC"/>
    <w:rsid w:val="65040995"/>
    <w:rsid w:val="65097C79"/>
    <w:rsid w:val="650E4A26"/>
    <w:rsid w:val="65242A45"/>
    <w:rsid w:val="65307FF4"/>
    <w:rsid w:val="653868CC"/>
    <w:rsid w:val="653971B4"/>
    <w:rsid w:val="657F73F2"/>
    <w:rsid w:val="6584085B"/>
    <w:rsid w:val="65877AFF"/>
    <w:rsid w:val="65A72763"/>
    <w:rsid w:val="660D5617"/>
    <w:rsid w:val="662A48A6"/>
    <w:rsid w:val="66484CD4"/>
    <w:rsid w:val="66770CD8"/>
    <w:rsid w:val="6699665E"/>
    <w:rsid w:val="66CF30EC"/>
    <w:rsid w:val="66D309FE"/>
    <w:rsid w:val="66D32277"/>
    <w:rsid w:val="66EB50F7"/>
    <w:rsid w:val="670007CB"/>
    <w:rsid w:val="67023BE1"/>
    <w:rsid w:val="67087B42"/>
    <w:rsid w:val="670D0B3F"/>
    <w:rsid w:val="671E5C62"/>
    <w:rsid w:val="6721162B"/>
    <w:rsid w:val="67314B64"/>
    <w:rsid w:val="67432DCF"/>
    <w:rsid w:val="676343BB"/>
    <w:rsid w:val="677668F5"/>
    <w:rsid w:val="679717B3"/>
    <w:rsid w:val="67972FE5"/>
    <w:rsid w:val="67AC3269"/>
    <w:rsid w:val="67AF7FBD"/>
    <w:rsid w:val="67B870AE"/>
    <w:rsid w:val="67F027B4"/>
    <w:rsid w:val="68112A26"/>
    <w:rsid w:val="68171A84"/>
    <w:rsid w:val="68363E11"/>
    <w:rsid w:val="687762D6"/>
    <w:rsid w:val="68C54657"/>
    <w:rsid w:val="68CC1BC4"/>
    <w:rsid w:val="69172F30"/>
    <w:rsid w:val="69425A0A"/>
    <w:rsid w:val="69996D3B"/>
    <w:rsid w:val="69B46D2B"/>
    <w:rsid w:val="69C27B01"/>
    <w:rsid w:val="69FA0389"/>
    <w:rsid w:val="69FD434A"/>
    <w:rsid w:val="6A5E0AB6"/>
    <w:rsid w:val="6A6A35F9"/>
    <w:rsid w:val="6A6D0F27"/>
    <w:rsid w:val="6A82632C"/>
    <w:rsid w:val="6A9C6F1F"/>
    <w:rsid w:val="6AAD1727"/>
    <w:rsid w:val="6ADE12E5"/>
    <w:rsid w:val="6B6B4844"/>
    <w:rsid w:val="6B84120F"/>
    <w:rsid w:val="6B9651B0"/>
    <w:rsid w:val="6BA3412D"/>
    <w:rsid w:val="6BFD5C13"/>
    <w:rsid w:val="6C1D2395"/>
    <w:rsid w:val="6C2825B6"/>
    <w:rsid w:val="6C5B127F"/>
    <w:rsid w:val="6C820569"/>
    <w:rsid w:val="6CA42BEA"/>
    <w:rsid w:val="6CB9645A"/>
    <w:rsid w:val="6CD3748F"/>
    <w:rsid w:val="6CFA6461"/>
    <w:rsid w:val="6CFD14AF"/>
    <w:rsid w:val="6D2E2091"/>
    <w:rsid w:val="6D3B47CD"/>
    <w:rsid w:val="6D501EF6"/>
    <w:rsid w:val="6D5E7988"/>
    <w:rsid w:val="6D621533"/>
    <w:rsid w:val="6D6472E8"/>
    <w:rsid w:val="6D770BED"/>
    <w:rsid w:val="6D916651"/>
    <w:rsid w:val="6D9824EA"/>
    <w:rsid w:val="6DA511A0"/>
    <w:rsid w:val="6DE40563"/>
    <w:rsid w:val="6E0738B2"/>
    <w:rsid w:val="6E0C4819"/>
    <w:rsid w:val="6E2169D7"/>
    <w:rsid w:val="6E3644D2"/>
    <w:rsid w:val="6E3E5ED9"/>
    <w:rsid w:val="6E470F4F"/>
    <w:rsid w:val="6E571EF4"/>
    <w:rsid w:val="6E701DFE"/>
    <w:rsid w:val="6EAA652A"/>
    <w:rsid w:val="6EBD0B6D"/>
    <w:rsid w:val="6EF530A1"/>
    <w:rsid w:val="6F43033D"/>
    <w:rsid w:val="6F4914FF"/>
    <w:rsid w:val="6F7A1AB7"/>
    <w:rsid w:val="6F7B06F1"/>
    <w:rsid w:val="6F7E7786"/>
    <w:rsid w:val="6F7F23F8"/>
    <w:rsid w:val="6F837D60"/>
    <w:rsid w:val="6F8741D4"/>
    <w:rsid w:val="6FC03F57"/>
    <w:rsid w:val="6FDC474A"/>
    <w:rsid w:val="6FF61A33"/>
    <w:rsid w:val="701450DE"/>
    <w:rsid w:val="70185AF5"/>
    <w:rsid w:val="701D5D5C"/>
    <w:rsid w:val="704A4D27"/>
    <w:rsid w:val="705160B5"/>
    <w:rsid w:val="705846A8"/>
    <w:rsid w:val="705E2A3B"/>
    <w:rsid w:val="706119D6"/>
    <w:rsid w:val="70700FB7"/>
    <w:rsid w:val="708662A1"/>
    <w:rsid w:val="70D43B68"/>
    <w:rsid w:val="70EB20D4"/>
    <w:rsid w:val="71202BF7"/>
    <w:rsid w:val="71343875"/>
    <w:rsid w:val="713B0A7C"/>
    <w:rsid w:val="71467895"/>
    <w:rsid w:val="71531FF3"/>
    <w:rsid w:val="71861796"/>
    <w:rsid w:val="71C5370C"/>
    <w:rsid w:val="71C721D2"/>
    <w:rsid w:val="72142CBA"/>
    <w:rsid w:val="72291735"/>
    <w:rsid w:val="722D474D"/>
    <w:rsid w:val="72597468"/>
    <w:rsid w:val="726F69B4"/>
    <w:rsid w:val="72C6766A"/>
    <w:rsid w:val="72C9324E"/>
    <w:rsid w:val="73015176"/>
    <w:rsid w:val="73101C7A"/>
    <w:rsid w:val="731A1CCA"/>
    <w:rsid w:val="734C3A6C"/>
    <w:rsid w:val="7367004A"/>
    <w:rsid w:val="736F38AF"/>
    <w:rsid w:val="7389785C"/>
    <w:rsid w:val="73AE336B"/>
    <w:rsid w:val="73B445CE"/>
    <w:rsid w:val="73CB54F0"/>
    <w:rsid w:val="73D414D7"/>
    <w:rsid w:val="74223119"/>
    <w:rsid w:val="74482DE2"/>
    <w:rsid w:val="74594E86"/>
    <w:rsid w:val="74667647"/>
    <w:rsid w:val="74671DE5"/>
    <w:rsid w:val="748E256A"/>
    <w:rsid w:val="7498793A"/>
    <w:rsid w:val="7499644B"/>
    <w:rsid w:val="74A86594"/>
    <w:rsid w:val="74C0198D"/>
    <w:rsid w:val="74D14636"/>
    <w:rsid w:val="74FF28B3"/>
    <w:rsid w:val="7532069E"/>
    <w:rsid w:val="7533778C"/>
    <w:rsid w:val="75457666"/>
    <w:rsid w:val="756319E6"/>
    <w:rsid w:val="75750984"/>
    <w:rsid w:val="75E97C08"/>
    <w:rsid w:val="75F65D7B"/>
    <w:rsid w:val="76351F21"/>
    <w:rsid w:val="764122FA"/>
    <w:rsid w:val="76563453"/>
    <w:rsid w:val="7675133D"/>
    <w:rsid w:val="7687295A"/>
    <w:rsid w:val="76BD14E2"/>
    <w:rsid w:val="76D155C8"/>
    <w:rsid w:val="76D67F2D"/>
    <w:rsid w:val="771861C8"/>
    <w:rsid w:val="77252EEF"/>
    <w:rsid w:val="772750DA"/>
    <w:rsid w:val="772B06F1"/>
    <w:rsid w:val="776F4507"/>
    <w:rsid w:val="777E11B6"/>
    <w:rsid w:val="77AE289E"/>
    <w:rsid w:val="77C158ED"/>
    <w:rsid w:val="77DE1247"/>
    <w:rsid w:val="77E15D3A"/>
    <w:rsid w:val="77E47879"/>
    <w:rsid w:val="77EC28F4"/>
    <w:rsid w:val="77F55159"/>
    <w:rsid w:val="77FE622B"/>
    <w:rsid w:val="78081987"/>
    <w:rsid w:val="78092E1C"/>
    <w:rsid w:val="781E73E6"/>
    <w:rsid w:val="783D2AE7"/>
    <w:rsid w:val="78654D55"/>
    <w:rsid w:val="78C93511"/>
    <w:rsid w:val="78EB1DD1"/>
    <w:rsid w:val="790463BB"/>
    <w:rsid w:val="7928040C"/>
    <w:rsid w:val="793E411B"/>
    <w:rsid w:val="79611E29"/>
    <w:rsid w:val="79765397"/>
    <w:rsid w:val="799F2D71"/>
    <w:rsid w:val="79AA7516"/>
    <w:rsid w:val="79D332F5"/>
    <w:rsid w:val="79E3684F"/>
    <w:rsid w:val="79ED32F3"/>
    <w:rsid w:val="79F913D1"/>
    <w:rsid w:val="7A027FE1"/>
    <w:rsid w:val="7A2D3998"/>
    <w:rsid w:val="7A9E02FF"/>
    <w:rsid w:val="7AA43590"/>
    <w:rsid w:val="7ACC7091"/>
    <w:rsid w:val="7AD96254"/>
    <w:rsid w:val="7ADE1D1C"/>
    <w:rsid w:val="7AE702ED"/>
    <w:rsid w:val="7B182A1C"/>
    <w:rsid w:val="7B1B4649"/>
    <w:rsid w:val="7B237F9B"/>
    <w:rsid w:val="7B3F2F75"/>
    <w:rsid w:val="7B8A225B"/>
    <w:rsid w:val="7B9752CB"/>
    <w:rsid w:val="7B990D6B"/>
    <w:rsid w:val="7BB73FF9"/>
    <w:rsid w:val="7BC045E2"/>
    <w:rsid w:val="7C1354D6"/>
    <w:rsid w:val="7C15570D"/>
    <w:rsid w:val="7C4B7B6B"/>
    <w:rsid w:val="7C592BE3"/>
    <w:rsid w:val="7C7D2ED6"/>
    <w:rsid w:val="7C823B52"/>
    <w:rsid w:val="7C9A1913"/>
    <w:rsid w:val="7CBA307F"/>
    <w:rsid w:val="7CFC166B"/>
    <w:rsid w:val="7CFE330C"/>
    <w:rsid w:val="7D572C5C"/>
    <w:rsid w:val="7D5D4BD5"/>
    <w:rsid w:val="7D6B1CA9"/>
    <w:rsid w:val="7D7453C6"/>
    <w:rsid w:val="7DBC3708"/>
    <w:rsid w:val="7DCA27DD"/>
    <w:rsid w:val="7DCE5A62"/>
    <w:rsid w:val="7DD60209"/>
    <w:rsid w:val="7DF06FE5"/>
    <w:rsid w:val="7E054E04"/>
    <w:rsid w:val="7E323EF1"/>
    <w:rsid w:val="7E334723"/>
    <w:rsid w:val="7E337F88"/>
    <w:rsid w:val="7E4C6AF2"/>
    <w:rsid w:val="7E730BD2"/>
    <w:rsid w:val="7EA66E49"/>
    <w:rsid w:val="7EBE6023"/>
    <w:rsid w:val="7EF46C0D"/>
    <w:rsid w:val="7F1B518D"/>
    <w:rsid w:val="7F5E6067"/>
    <w:rsid w:val="7F636C24"/>
    <w:rsid w:val="7F804626"/>
    <w:rsid w:val="7F8A5DD2"/>
    <w:rsid w:val="7F9C577A"/>
    <w:rsid w:val="7FA779D7"/>
    <w:rsid w:val="7FA96D9D"/>
    <w:rsid w:val="7FB43C17"/>
    <w:rsid w:val="7FD03B34"/>
    <w:rsid w:val="7FD502DA"/>
    <w:rsid w:val="7FE43876"/>
    <w:rsid w:val="7FE65553"/>
    <w:rsid w:val="7FFA533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30"/>
    <w:qFormat/>
    <w:uiPriority w:val="0"/>
    <w:pPr>
      <w:keepNext/>
      <w:keepLines/>
      <w:autoSpaceDE w:val="0"/>
      <w:autoSpaceDN w:val="0"/>
      <w:adjustRightInd w:val="0"/>
      <w:spacing w:before="360" w:after="120"/>
      <w:jc w:val="left"/>
      <w:outlineLvl w:val="2"/>
    </w:pPr>
    <w:rPr>
      <w:rFonts w:ascii="宋体" w:hAnsi="Calibri" w:eastAsia="宋体" w:cs="Times New Roman"/>
      <w:b/>
      <w:kern w:val="0"/>
      <w:sz w:val="24"/>
      <w:szCs w:val="20"/>
      <w:u w:val="single"/>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3"/>
    <w:next w:val="1"/>
    <w:qFormat/>
    <w:uiPriority w:val="99"/>
    <w:pPr>
      <w:ind w:firstLine="420" w:firstLineChars="200"/>
    </w:pPr>
    <w:rPr>
      <w:rFonts w:cs="Calibri"/>
      <w:szCs w:val="21"/>
    </w:rPr>
  </w:style>
  <w:style w:type="paragraph" w:customStyle="1" w:styleId="3">
    <w:name w:val="正文 New New New New New New New New"/>
    <w:next w:val="2"/>
    <w:qFormat/>
    <w:uiPriority w:val="99"/>
    <w:pPr>
      <w:widowControl w:val="0"/>
      <w:jc w:val="both"/>
    </w:pPr>
    <w:rPr>
      <w:rFonts w:ascii="Times New Roman" w:hAnsi="Times New Roman" w:eastAsia="宋体" w:cs="Times New Roman"/>
      <w:kern w:val="2"/>
      <w:sz w:val="21"/>
      <w:szCs w:val="24"/>
      <w:lang w:val="en-US" w:eastAsia="zh-CN" w:bidi="ar-SA"/>
    </w:rPr>
  </w:style>
  <w:style w:type="paragraph" w:styleId="7">
    <w:name w:val="Normal Indent"/>
    <w:basedOn w:val="1"/>
    <w:qFormat/>
    <w:uiPriority w:val="0"/>
    <w:pPr>
      <w:autoSpaceDE w:val="0"/>
      <w:autoSpaceDN w:val="0"/>
      <w:adjustRightInd w:val="0"/>
      <w:ind w:firstLine="420"/>
      <w:jc w:val="left"/>
    </w:pPr>
    <w:rPr>
      <w:rFonts w:ascii="宋体" w:hAnsi="Calibri" w:eastAsia="宋体" w:cs="Times New Roman"/>
      <w:kern w:val="0"/>
      <w:sz w:val="24"/>
      <w:szCs w:val="20"/>
    </w:rPr>
  </w:style>
  <w:style w:type="paragraph" w:styleId="8">
    <w:name w:val="annotation text"/>
    <w:basedOn w:val="1"/>
    <w:link w:val="28"/>
    <w:qFormat/>
    <w:uiPriority w:val="0"/>
    <w:pPr>
      <w:jc w:val="left"/>
    </w:pPr>
    <w:rPr>
      <w:rFonts w:ascii="Calibri" w:hAnsi="Calibri" w:eastAsia="宋体" w:cs="Times New Roman"/>
      <w:szCs w:val="24"/>
    </w:rPr>
  </w:style>
  <w:style w:type="paragraph" w:styleId="9">
    <w:name w:val="Body Text"/>
    <w:basedOn w:val="1"/>
    <w:qFormat/>
    <w:uiPriority w:val="1"/>
    <w:pPr>
      <w:ind w:left="220"/>
    </w:pPr>
    <w:rPr>
      <w:rFonts w:ascii="仿宋" w:hAnsi="仿宋" w:eastAsia="仿宋" w:cs="仿宋"/>
      <w:sz w:val="32"/>
      <w:szCs w:val="32"/>
      <w:lang w:val="zh-CN" w:bidi="zh-CN"/>
    </w:rPr>
  </w:style>
  <w:style w:type="paragraph" w:styleId="10">
    <w:name w:val="toc 3"/>
    <w:basedOn w:val="1"/>
    <w:next w:val="1"/>
    <w:semiHidden/>
    <w:unhideWhenUsed/>
    <w:qFormat/>
    <w:uiPriority w:val="39"/>
    <w:pPr>
      <w:ind w:left="840" w:leftChars="400"/>
    </w:pPr>
  </w:style>
  <w:style w:type="paragraph" w:styleId="11">
    <w:name w:val="Plain Text"/>
    <w:basedOn w:val="1"/>
    <w:link w:val="31"/>
    <w:qFormat/>
    <w:uiPriority w:val="99"/>
    <w:rPr>
      <w:rFonts w:ascii="宋体" w:hAnsi="Courier New" w:eastAsia="宋体" w:cs="Times New Roman"/>
      <w:szCs w:val="20"/>
    </w:rPr>
  </w:style>
  <w:style w:type="paragraph" w:styleId="12">
    <w:name w:val="Balloon Text"/>
    <w:basedOn w:val="1"/>
    <w:link w:val="29"/>
    <w:semiHidden/>
    <w:unhideWhenUsed/>
    <w:qFormat/>
    <w:uiPriority w:val="99"/>
    <w:rPr>
      <w:sz w:val="18"/>
      <w:szCs w:val="18"/>
    </w:rPr>
  </w:style>
  <w:style w:type="paragraph" w:styleId="13">
    <w:name w:val="footer"/>
    <w:basedOn w:val="1"/>
    <w:link w:val="27"/>
    <w:semiHidden/>
    <w:unhideWhenUsed/>
    <w:qFormat/>
    <w:uiPriority w:val="99"/>
    <w:pPr>
      <w:tabs>
        <w:tab w:val="center" w:pos="4153"/>
        <w:tab w:val="right" w:pos="8306"/>
      </w:tabs>
      <w:snapToGrid w:val="0"/>
      <w:jc w:val="left"/>
    </w:pPr>
    <w:rPr>
      <w:sz w:val="18"/>
      <w:szCs w:val="18"/>
    </w:rPr>
  </w:style>
  <w:style w:type="paragraph" w:styleId="14">
    <w:name w:val="header"/>
    <w:basedOn w:val="1"/>
    <w:link w:val="2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style>
  <w:style w:type="paragraph" w:styleId="16">
    <w:name w:val="toc 2"/>
    <w:basedOn w:val="1"/>
    <w:next w:val="1"/>
    <w:qFormat/>
    <w:uiPriority w:val="39"/>
    <w:pPr>
      <w:ind w:left="420" w:leftChars="200"/>
    </w:pPr>
  </w:style>
  <w:style w:type="paragraph" w:styleId="17">
    <w:name w:val="Body Text 2"/>
    <w:basedOn w:val="1"/>
    <w:next w:val="1"/>
    <w:qFormat/>
    <w:uiPriority w:val="0"/>
    <w:pPr>
      <w:adjustRightInd w:val="0"/>
      <w:snapToGrid w:val="0"/>
      <w:spacing w:line="480" w:lineRule="atLeast"/>
    </w:pPr>
    <w:rPr>
      <w:rFonts w:ascii="宋体" w:hAnsi="宋体"/>
      <w:sz w:val="28"/>
      <w:szCs w:val="20"/>
    </w:rPr>
  </w:style>
  <w:style w:type="paragraph" w:styleId="18">
    <w:name w:val="Normal (Web)"/>
    <w:basedOn w:val="1"/>
    <w:unhideWhenUsed/>
    <w:qFormat/>
    <w:uiPriority w:val="99"/>
    <w:pPr>
      <w:spacing w:before="100" w:beforeAutospacing="1" w:after="100" w:afterAutospacing="1"/>
      <w:jc w:val="left"/>
    </w:pPr>
    <w:rPr>
      <w:rFonts w:ascii="Calibri" w:hAnsi="Calibri" w:eastAsia="宋体" w:cs="Times New Roman"/>
      <w:kern w:val="0"/>
      <w:sz w:val="24"/>
      <w:szCs w:val="24"/>
    </w:rPr>
  </w:style>
  <w:style w:type="table" w:styleId="20">
    <w:name w:val="Table Grid"/>
    <w:basedOn w:val="1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FollowedHyperlink"/>
    <w:basedOn w:val="21"/>
    <w:semiHidden/>
    <w:unhideWhenUsed/>
    <w:qFormat/>
    <w:uiPriority w:val="99"/>
    <w:rPr>
      <w:color w:val="000000"/>
      <w:u w:val="none"/>
    </w:rPr>
  </w:style>
  <w:style w:type="character" w:styleId="23">
    <w:name w:val="Hyperlink"/>
    <w:qFormat/>
    <w:uiPriority w:val="99"/>
    <w:rPr>
      <w:color w:val="0000FF"/>
      <w:u w:val="single"/>
    </w:rPr>
  </w:style>
  <w:style w:type="character" w:styleId="24">
    <w:name w:val="annotation reference"/>
    <w:basedOn w:val="21"/>
    <w:qFormat/>
    <w:uiPriority w:val="0"/>
    <w:rPr>
      <w:sz w:val="21"/>
      <w:szCs w:val="21"/>
    </w:rPr>
  </w:style>
  <w:style w:type="paragraph" w:styleId="25">
    <w:name w:val="List Paragraph"/>
    <w:basedOn w:val="1"/>
    <w:next w:val="1"/>
    <w:qFormat/>
    <w:uiPriority w:val="34"/>
    <w:pPr>
      <w:widowControl/>
      <w:ind w:firstLine="420" w:firstLineChars="200"/>
      <w:jc w:val="left"/>
    </w:pPr>
    <w:rPr>
      <w:kern w:val="0"/>
      <w:sz w:val="24"/>
    </w:rPr>
  </w:style>
  <w:style w:type="character" w:customStyle="1" w:styleId="26">
    <w:name w:val="页眉 Char"/>
    <w:basedOn w:val="21"/>
    <w:link w:val="14"/>
    <w:semiHidden/>
    <w:qFormat/>
    <w:uiPriority w:val="99"/>
    <w:rPr>
      <w:sz w:val="18"/>
      <w:szCs w:val="18"/>
    </w:rPr>
  </w:style>
  <w:style w:type="character" w:customStyle="1" w:styleId="27">
    <w:name w:val="页脚 Char"/>
    <w:basedOn w:val="21"/>
    <w:link w:val="13"/>
    <w:semiHidden/>
    <w:qFormat/>
    <w:uiPriority w:val="99"/>
    <w:rPr>
      <w:sz w:val="18"/>
      <w:szCs w:val="18"/>
    </w:rPr>
  </w:style>
  <w:style w:type="character" w:customStyle="1" w:styleId="28">
    <w:name w:val="批注文字 Char"/>
    <w:basedOn w:val="21"/>
    <w:link w:val="8"/>
    <w:qFormat/>
    <w:uiPriority w:val="0"/>
    <w:rPr>
      <w:rFonts w:ascii="Calibri" w:hAnsi="Calibri" w:eastAsia="宋体" w:cs="Times New Roman"/>
      <w:szCs w:val="24"/>
    </w:rPr>
  </w:style>
  <w:style w:type="character" w:customStyle="1" w:styleId="29">
    <w:name w:val="批注框文本 Char"/>
    <w:basedOn w:val="21"/>
    <w:link w:val="12"/>
    <w:semiHidden/>
    <w:qFormat/>
    <w:uiPriority w:val="99"/>
    <w:rPr>
      <w:sz w:val="18"/>
      <w:szCs w:val="18"/>
    </w:rPr>
  </w:style>
  <w:style w:type="character" w:customStyle="1" w:styleId="30">
    <w:name w:val="标题 3 Char"/>
    <w:basedOn w:val="21"/>
    <w:link w:val="6"/>
    <w:qFormat/>
    <w:uiPriority w:val="0"/>
    <w:rPr>
      <w:rFonts w:ascii="宋体" w:hAnsi="Calibri" w:eastAsia="宋体" w:cs="Times New Roman"/>
      <w:b/>
      <w:kern w:val="0"/>
      <w:sz w:val="24"/>
      <w:szCs w:val="20"/>
      <w:u w:val="single"/>
    </w:rPr>
  </w:style>
  <w:style w:type="character" w:customStyle="1" w:styleId="31">
    <w:name w:val="纯文本 Char"/>
    <w:basedOn w:val="21"/>
    <w:link w:val="11"/>
    <w:qFormat/>
    <w:uiPriority w:val="99"/>
    <w:rPr>
      <w:rFonts w:ascii="宋体" w:hAnsi="Courier New" w:eastAsia="宋体" w:cs="Times New Roman"/>
      <w:szCs w:val="20"/>
    </w:rPr>
  </w:style>
  <w:style w:type="paragraph" w:customStyle="1" w:styleId="32">
    <w:name w:val="WPSOffice手动目录 1"/>
    <w:qFormat/>
    <w:uiPriority w:val="0"/>
    <w:pPr>
      <w:ind w:leftChars="0"/>
    </w:pPr>
    <w:rPr>
      <w:rFonts w:ascii="Times New Roman" w:hAnsi="Times New Roman" w:eastAsia="宋体" w:cs="Times New Roman"/>
      <w:sz w:val="20"/>
      <w:szCs w:val="20"/>
    </w:rPr>
  </w:style>
  <w:style w:type="paragraph" w:customStyle="1" w:styleId="33">
    <w:name w:val="_Style 35"/>
    <w:basedOn w:val="1"/>
    <w:next w:val="25"/>
    <w:qFormat/>
    <w:uiPriority w:val="34"/>
    <w:pPr>
      <w:widowControl/>
      <w:ind w:firstLine="420" w:firstLineChars="200"/>
      <w:jc w:val="left"/>
    </w:pPr>
    <w:rPr>
      <w:rFonts w:ascii="Times New Roman" w:hAnsi="Times New Roman"/>
      <w:kern w:val="0"/>
      <w:sz w:val="24"/>
    </w:rPr>
  </w:style>
  <w:style w:type="paragraph" w:customStyle="1" w:styleId="34">
    <w:name w:val="WPSOffice手动目录 2"/>
    <w:qFormat/>
    <w:uiPriority w:val="0"/>
    <w:pPr>
      <w:ind w:leftChars="200"/>
    </w:pPr>
    <w:rPr>
      <w:rFonts w:ascii="Times New Roman" w:hAnsi="Times New Roman" w:eastAsia="宋体" w:cs="Times New Roman"/>
      <w:sz w:val="20"/>
      <w:szCs w:val="20"/>
    </w:rPr>
  </w:style>
  <w:style w:type="paragraph" w:customStyle="1" w:styleId="35">
    <w:name w:val="WPSOffice手动目录 3"/>
    <w:qFormat/>
    <w:uiPriority w:val="0"/>
    <w:pPr>
      <w:ind w:leftChars="400"/>
    </w:pPr>
    <w:rPr>
      <w:rFonts w:ascii="Times New Roman" w:hAnsi="Times New Roman" w:eastAsia="宋体" w:cs="Times New Roman"/>
      <w:sz w:val="20"/>
      <w:szCs w:val="20"/>
    </w:rPr>
  </w:style>
  <w:style w:type="paragraph" w:customStyle="1" w:styleId="36">
    <w:name w:val="Table Paragraph"/>
    <w:basedOn w:val="1"/>
    <w:qFormat/>
    <w:uiPriority w:val="1"/>
    <w:rPr>
      <w:rFonts w:ascii="新宋体" w:hAnsi="新宋体" w:eastAsia="新宋体" w:cs="新宋体"/>
    </w:rPr>
  </w:style>
  <w:style w:type="character" w:customStyle="1" w:styleId="37">
    <w:name w:val="overfont"/>
    <w:basedOn w:val="21"/>
    <w:qFormat/>
    <w:uiPriority w:val="0"/>
  </w:style>
  <w:style w:type="paragraph" w:customStyle="1" w:styleId="38">
    <w:name w:val="正文文本 2 New New New"/>
    <w:basedOn w:val="1"/>
    <w:qFormat/>
    <w:uiPriority w:val="0"/>
    <w:pPr>
      <w:adjustRightInd w:val="0"/>
      <w:snapToGrid w:val="0"/>
      <w:spacing w:line="480" w:lineRule="atLeast"/>
    </w:pPr>
    <w:rPr>
      <w:rFonts w:ascii="宋体" w:hAnsi="宋体" w:eastAsia="宋体" w:cs="Times New Roman"/>
      <w:sz w:val="28"/>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69</Pages>
  <Words>36645</Words>
  <Characters>38643</Characters>
  <Lines>310</Lines>
  <Paragraphs>87</Paragraphs>
  <TotalTime>0</TotalTime>
  <ScaleCrop>false</ScaleCrop>
  <LinksUpToDate>false</LinksUpToDate>
  <CharactersWithSpaces>40445</CharactersWithSpaces>
  <Application>WPS Office_11.1.0.11435_F1E327BC-269C-435d-A152-05C5408002CA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2021-01-22T05:02:00Z</dcterms:created>
  <dc:creator>Administrator</dc:creator>
  <cp:lastModifiedBy>Administrator</cp:lastModifiedBy>
  <cp:lastPrinted>2021-01-28T06:36:00Z</cp:lastPrinted>
  <dcterms:modified xsi:type="dcterms:W3CDTF">2022-07-26T09:25:50Z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2052-11.1.0.11435</vt:lpwstr>
  </property>
  <property fmtid="{D5CDD505-2E9C-101B-9397-08002B2CF9AE}" pid="3" name="ICV">
    <vt:lpwstr>5115E384BB664356A195072DFFBF4FE5</vt:lpwstr>
  </property>
</Properties>
</file>